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Heading1"/>
      </w:pPr>
      <w:r>
        <w:t>Legal, Ethical &amp; Architectural Evaluation of SHA PMT v2.1 Solutions</w:t>
      </w:r>
    </w:p>
    <w:p>
      <w:r/>
      <w:r>
        <w:rPr>
          <w:b/>
        </w:rPr>
        <w:t>Executive Summary:</w:t>
      </w:r>
      <w:r>
        <w:t xml:space="preserve"> This report examines key flaws and strengths in the SHA means-testing algorithm, focusing on Kenyan legal compliance (Constitution, Data Protection Act 2019, Social Health Insurance Act 2023, Law of Succession Act), algorithmic fairness, privacy, and system design. For each issue (S-7, S-2, S-1, P-23, P-22, S-9, and P-38/P-45) we summarize the problem, assess legal and technical risks, propose fair and lawful alternatives, and outline implementation steps (policy changes, code modifications, and system controls). We compare the original versus recommended approaches in risk, privacy, and complexity. We propose concrete designs for each solution: a transaction-pattern "household float" proxy in place of gender bias; a uniform dependency verification workflow instead of ASAL family caps; a per-capita consolidation method for polygamous households; a granular consent UI and tiered data retention scheme; and human-in-the-loop fraud review with CI/CD fairness gates. The recommendations ensure compliance with Kenyan law (e.g., Article 27 prohibits sex/geography discrimination), adherence to DPA principles (explicit consent, data minimization), and state equity duties (Article 56 mandates special health access for marginalized groups). Detailed legal citations and fairness research are provided. Mermaid diagrams illustrate the consent flow, data-retention lifecycle, and fraud-review loop.</w:t>
      </w:r>
    </w:p>
    <w:p>
      <w:r>
        <w:rPr>
          <w:b/>
        </w:rPr>
        <w:t xml:space="preserve">Primary Legal Track (High Court March 2026 Ruling): </w:t>
      </w:r>
      <w:r>
        <w:t>In addition to the CAJ compliance directives, on March 19, 2026, the High Court of Kenya (Justice Bahati Mwamuye) declared the SHIF rollout unconstitutional due to lack of administrative and technological infrastructure, giving the government 90 days (until June 17, 2026) to fix these gaps. The AGI model directly satisfies the court's infrastructure repair mandate, aligning with both administrative and judicial directives.</w:t>
      </w:r>
    </w:p>
    <w:p>
      <w:r>
        <w:t>────────────────────────────────────────────────────────────</w:t>
      </w:r>
    </w:p>
    <w:p>
      <w:r>
        <w:t>## S-7: "Women's M-Pesa Financial Autonomy Adjustment" (Critical Flaw)</w:t>
      </w:r>
    </w:p>
    <w:p>
      <w:r/>
      <w:r>
        <w:rPr>
          <w:b/>
        </w:rPr>
        <w:t>Problem Summary:</w:t>
      </w:r>
      <w:r>
        <w:t xml:space="preserve"> The original proposal applies a </w:t>
      </w:r>
      <w:r>
        <w:rPr>
          <w:b/>
        </w:rPr>
        <w:t>40% downward adjustment</w:t>
      </w:r>
      <w:r>
        <w:t xml:space="preserve"> to a woman's M-Pesa balance, based on the assumption that women hold household cash (the "household float"). This explicitly uses gender as a factor in contribution calculation.</w:t>
      </w:r>
    </w:p>
    <w:p>
      <w:pPr>
        <w:pStyle w:val="ListBullet"/>
      </w:pPr>
      <w:r>
        <w:t>Legal Risk (High): This is direct sex-based discrimination by a state mechanism. The Kenyan Constitution explicitly forbids the State from discriminating on grounds including sex. Article 27(4) states "The State shall not discriminate directly or indirectly against any person… on any ground, including… sex". Hardcoding a gender-based financial "discount" violates this. Even allowing affirmative measures (Art.27(6-7)) must be based on need, not arbitrary gender classification. A court would likely strike down any public algorithm that reduces women's score solely because of sex.</w:t>
      </w:r>
    </w:p>
    <w:p>
      <w:pPr>
        <w:pStyle w:val="ListBullet"/>
      </w:pPr>
      <w:r>
        <w:t>Fairness &amp; Proxy Validity: Using gender as a proxy for financial behavior is legally and statistically problematic. Gender is a protected attribute; even if intended to help women, here it penalizes them and encodes stereotypes. Statistically, many men also hold household floats, and many women do not; the proxy is weak. Instead, a more valid proxy is actual transaction patterns ("household float" behavior), which is neutral to gender. This approach avoids disparate treatment of a protected group and is better justified as behavior-based.</w:t>
      </w:r>
    </w:p>
    <w:p>
      <w:pPr>
        <w:pStyle w:val="ListBullet"/>
      </w:pPr>
      <w:r>
        <w:t>Recommended Alternative – Transaction-Pattern Household Proxy: Remove any gender variable. Instead, detect "household spending" patterns from M-Pesa transaction data for every account:</w:t>
      </w:r>
    </w:p>
    <w:p>
      <w:pPr>
        <w:pStyle w:val="ListBullet"/>
      </w:pPr>
      <w:r>
        <w:t>Identify if the account shows a high volume of small outbound payments for utilities, groceries, school fees, etc. (e.g. &gt;X small payments per week to typical "household vendors").</w:t>
      </w:r>
    </w:p>
    <w:p>
      <w:pPr>
        <w:pStyle w:val="ListBullet"/>
      </w:pPr>
      <w:r>
        <w:t>Compute a "Household Float Score" (e.g. ratio of outgoing expense payments to incoming payments).</w:t>
      </w:r>
    </w:p>
    <w:p>
      <w:pPr>
        <w:pStyle w:val="ListBullet"/>
      </w:pPr>
      <w:r>
        <w:t>If the pattern matches a caretaker profile (e.g. many frequent bills, school fees, maternity clinic payments, etc.), apply a "Household Expense Float" allowance to the retained balance, regardless of gender.</w:t>
      </w:r>
    </w:p>
    <w:p>
      <w:pPr>
        <w:pStyle w:val="ListBullet"/>
      </w:pPr>
      <w:r>
        <w:t>This behavior-based proxy directly measures resource sharing and is less discriminatory. It should be implemented carefully (using clustering or thresholds on transaction categories). Peer-reviewed literature warns against naive proxies for protected classes; this approach uses evidence-backed behavior patterns.</w:t>
      </w:r>
    </w:p>
    <w:p>
      <w:pPr>
        <w:pStyle w:val="ListBullet"/>
      </w:pPr>
      <w:r>
        <w:t>Implementation Steps (Algorithm): In `AlgorithmSimulation.js`, remove any gender check. Instead, add a function like `calculateHouseholdFloat(transactions)` that:</w:t>
      </w:r>
    </w:p>
    <w:p>
      <w:pPr>
        <w:pStyle w:val="ListNumber"/>
      </w:pPr>
      <w:r>
        <w:t>Analyzes recent M-Pesa transaction logs (e.g. last 3-6 months).</w:t>
      </w:r>
    </w:p>
    <w:p>
      <w:pPr>
        <w:pStyle w:val="ListNumber"/>
      </w:pPr>
      <w:r>
        <w:t>Counts outgoing payments to common utility/grocery vendors and the variance of payment sizes.</w:t>
      </w:r>
    </w:p>
    <w:p>
      <w:pPr>
        <w:pStyle w:val="ListNumber"/>
      </w:pPr>
      <w:r>
        <w:t>Flags if the account regularly pays multiple small recurring bills.</w:t>
      </w:r>
    </w:p>
    <w:p>
      <w:pPr>
        <w:pStyle w:val="ListNumber"/>
      </w:pPr>
      <w:r>
        <w:t>Outputs a discount factor (e.g. 0–40%) to reduce the assessed retained balance (just like "Utility Discount").</w:t>
      </w:r>
    </w:p>
    <w:p>
      <w:pPr>
        <w:pStyle w:val="ListNumber"/>
      </w:pPr>
      <w:r>
        <w:t>Ensure fairness by validating this proxy against ground truth (e.g. poverty surveys).</w:t>
      </w:r>
    </w:p>
    <w:p>
      <w:pPr>
        <w:pStyle w:val="ListBullet"/>
      </w:pPr>
      <w:r>
        <w:t>Policy Text: No new legal text is needed, but we should document: "We no longer adjust contributions by gender. Instead, a 'household expense' discount is applied if transaction history evidences caretaker-like spending (small frequent payments). This change aligns with constitutional equality and data-protection principles."</w:t>
      </w:r>
    </w:p>
    <w:p>
      <w:pPr>
        <w:pStyle w:val="ListBullet"/>
      </w:pPr>
      <w:r>
        <w:t>Code Changes: Update `AlgorithmSimulation.js`:</w:t>
      </w:r>
    </w:p>
    <w:p>
      <w:pPr>
        <w:pStyle w:val="ListBullet"/>
      </w:pPr>
      <w:r>
        <w:t>Remove any gender-based logic (e.g. delete or comment out the 40% female discount).</w:t>
      </w:r>
    </w:p>
    <w:p>
      <w:pPr>
        <w:pStyle w:val="ListBullet"/>
      </w:pPr>
      <w:r>
        <w:t>Add a new function, e.g. `function householdFloatAdjustment(transactions) { … }`.</w:t>
      </w:r>
    </w:p>
    <w:p>
      <w:pPr>
        <w:pStyle w:val="ListBullet"/>
      </w:pPr>
      <w:r>
        <w:t>Integrate it into the contribution calculation pipeline, adding a "Household Float Allowance" deduction.</w:t>
      </w:r>
    </w:p>
    <w:p>
      <w:pPr>
        <w:pStyle w:val="ListBullet"/>
      </w:pPr>
      <w:r>
        <w:t>Add Tests: Write unit tests for typical transaction patterns to ensure the new proxy triggers appropriately. Example: synthetic data with lots of small utility payments should get the allowance; others not.</w:t>
      </w:r>
    </w:p>
    <w:p>
      <w:pPr>
        <w:pStyle w:val="ListBullet"/>
      </w:pPr>
      <w:r>
        <w:t>Documentation: Update assumptions in `ASSUMPTIONS.md` accordingly.</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Implementation 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(S-7)**</w:t>
            </w:r>
          </w:p>
        </w:tc>
        <w:tc>
          <w:tcPr>
            <w:tcW w:type="dxa" w:w="1568"/>
            <w:shd w:val="clear" w:color="auto" w:fill="f0f4fa"/>
          </w:tcPr>
          <w:p>
            <w:r>
              <w:rPr>
                <w:sz w:val="18"/>
              </w:rPr>
              <w:t>**High** (sex-based, violates Art.27)</w:t>
            </w:r>
          </w:p>
        </w:tc>
        <w:tc>
          <w:tcPr>
            <w:tcW w:type="dxa" w:w="1568"/>
            <w:shd w:val="clear" w:color="auto" w:fill="f0f4fa"/>
          </w:tcPr>
          <w:p>
            <w:r>
              <w:rPr>
                <w:sz w:val="18"/>
              </w:rPr>
              <w:t>**High** (protected proxy)</w:t>
            </w:r>
          </w:p>
        </w:tc>
        <w:tc>
          <w:tcPr>
            <w:tcW w:type="dxa" w:w="1568"/>
            <w:shd w:val="clear" w:color="auto" w:fill="f0f4fa"/>
          </w:tcPr>
          <w:p>
            <w:r>
              <w:rPr>
                <w:sz w:val="18"/>
              </w:rPr>
              <w:t>Low/Medium* (no new data)</w:t>
            </w:r>
          </w:p>
        </w:tc>
        <w:tc>
          <w:tcPr>
            <w:tcW w:type="dxa" w:w="1568"/>
            <w:shd w:val="clear" w:color="auto" w:fill="f0f4fa"/>
          </w:tcPr>
          <w:p>
            <w:r>
              <w:rPr>
                <w:sz w:val="18"/>
              </w:rPr>
              <w:t>Low (simple adjustment)</w:t>
            </w:r>
          </w:p>
        </w:tc>
        <w:tc>
          <w:tcPr>
            <w:tcW w:type="dxa" w:w="1568"/>
            <w:shd w:val="clear" w:color="auto" w:fill="f0f4fa"/>
          </w:tcPr>
          <w:p>
            <w:r>
              <w:rPr>
                <w:sz w:val="18"/>
              </w:rPr>
              <w:t>~1-2</w:t>
            </w:r>
          </w:p>
        </w:tc>
      </w:tr>
      <w:tr>
        <w:tc>
          <w:tcPr>
            <w:tcW w:type="dxa" w:w="1568"/>
          </w:tcPr>
          <w:p>
            <w:r>
              <w:rPr>
                <w:sz w:val="18"/>
              </w:rPr>
              <w:t>**Proposed (Behavioral Proxy)**</w:t>
            </w:r>
          </w:p>
        </w:tc>
        <w:tc>
          <w:tcPr>
            <w:tcW w:type="dxa" w:w="1568"/>
          </w:tcPr>
          <w:p>
            <w:r>
              <w:rPr>
                <w:sz w:val="18"/>
              </w:rPr>
              <w:t>Low (gender removed)</w:t>
            </w:r>
          </w:p>
        </w:tc>
        <w:tc>
          <w:tcPr>
            <w:tcW w:type="dxa" w:w="1568"/>
          </w:tcPr>
          <w:p>
            <w:r>
              <w:rPr>
                <w:sz w:val="18"/>
              </w:rPr>
              <w:t>Lower (uses neutral proxy)</w:t>
            </w:r>
          </w:p>
        </w:tc>
        <w:tc>
          <w:tcPr>
            <w:tcW w:type="dxa" w:w="1568"/>
          </w:tcPr>
          <w:p>
            <w:r>
              <w:rPr>
                <w:sz w:val="18"/>
              </w:rPr>
              <w:t>Medium* (analyzes sensitive transactions)</w:t>
            </w:r>
          </w:p>
        </w:tc>
        <w:tc>
          <w:tcPr>
            <w:tcW w:type="dxa" w:w="1568"/>
          </w:tcPr>
          <w:p>
            <w:r>
              <w:rPr>
                <w:sz w:val="18"/>
              </w:rPr>
              <w:t>Medium (pattern analysis)</w:t>
            </w:r>
          </w:p>
        </w:tc>
        <w:tc>
          <w:tcPr>
            <w:tcW w:type="dxa" w:w="1568"/>
          </w:tcPr>
          <w:p>
            <w:r>
              <w:rPr>
                <w:sz w:val="18"/>
              </w:rPr>
              <w:t>~3-5</w:t>
            </w:r>
          </w:p>
        </w:tc>
      </w:tr>
    </w:tbl>
    <w:p/>
    <w:p>
      <w:r>
        <w:t>*Privacy risk increases slightly since transaction history is now used more intensively; must ensure encryption and limited access.</w:t>
      </w:r>
    </w:p>
    <w:p>
      <w:r>
        <w:t>────────────────────────────────────────────────────────────</w:t>
      </w:r>
    </w:p>
    <w:p>
      <w:r>
        <w:t>## S-2: "ASAL Dependency Cap at 40%" (Critical Flaw)</w:t>
      </w:r>
    </w:p>
    <w:p>
      <w:r/>
      <w:r>
        <w:rPr>
          <w:b/>
        </w:rPr>
        <w:t>Problem Summary:</w:t>
      </w:r>
      <w:r>
        <w:t xml:space="preserve"> The draft algorithm caps family-dependency deductions differently by region: </w:t>
      </w:r>
      <w:r>
        <w:rPr>
          <w:i/>
        </w:rPr>
        <w:t>40% cap</w:t>
      </w:r>
      <w:r>
        <w:t xml:space="preserve"> in ASAL (arid/semi-arid) counties versus </w:t>
      </w:r>
      <w:r>
        <w:rPr>
          <w:i/>
        </w:rPr>
        <w:t>65%</w:t>
      </w:r>
      <w:r>
        <w:t xml:space="preserve"> elsewhere, to discourage large ASAL families. This explicitly uses geography as a factor.</w:t>
      </w:r>
    </w:p>
    <w:p>
      <w:pPr>
        <w:pStyle w:val="ListBullet"/>
      </w:pPr>
      <w:r>
        <w:t>Legal Risk (High): Penalizing households based on geography or de facto ethnic origin violates Article 27's ban on indirect discrimination and Article 56's duty to support marginalized groups. ASAL communities are historically marginalized pastoralists, so a punitive cap contravenes the Constitution's requirement to help disadvantaged areas. The Social Health Insurance Act itself aims for "equitable access" to health, making this cap arguably unconstitutional and contrary to SHIA's equity goal. The analysis notes: "penalizing ASAL households… contradicts equity principles" (Art.56).</w:t>
      </w:r>
    </w:p>
    <w:p>
      <w:pPr>
        <w:pStyle w:val="ListBullet"/>
      </w:pPr>
      <w:r>
        <w:t>Fairness &amp; Proxy Validity: Using county as a proxy for fertility or economic status is dubious. Large family structures in ASAL are cultural, not a "fraud incentive." Instead, dependents should be treated uniformly across the country. Using geography here likely has disparate impact on protected groups (social origin, disability of lacking resources).</w:t>
      </w:r>
    </w:p>
    <w:p>
      <w:pPr>
        <w:pStyle w:val="ListBullet"/>
      </w:pPr>
      <w:r>
        <w:t>Recommended Alternative – Universal Dependency Verification:</w:t>
      </w:r>
    </w:p>
    <w:p>
      <w:pPr>
        <w:pStyle w:val="ListBullet"/>
      </w:pPr>
      <w:r>
        <w:t>Uniform Dependency Algorithm: Remove region-based caps. Apply the same dependency deduction rules nationwide.</w:t>
      </w:r>
    </w:p>
    <w:p>
      <w:pPr>
        <w:pStyle w:val="ListBullet"/>
      </w:pPr>
      <w:r>
        <w:t>Verification Workflow: To address fraud risk with large families, implement a verification step for dependents. For each claimed dependent (spouse or child), require a documented proof: e.g. birth certificate, school enrollment, or spouse ID. This discourages bogus claims without penalizing genuine large households.</w:t>
      </w:r>
    </w:p>
    <w:p>
      <w:pPr>
        <w:pStyle w:val="ListBullet"/>
      </w:pPr>
      <w:r>
        <w:t>Evidence-Based Deductions: For verified dependents, apply a deduction (as per original formula, e.g. 8% per dependent in code). If verification fails, ignore extra unverified dependents. This focuses on accuracy, not geographic penalty.</w:t>
      </w:r>
    </w:p>
    <w:p>
      <w:pPr>
        <w:pStyle w:val="ListBullet"/>
      </w:pPr>
      <w:r>
        <w:t>ASAL Land Adjustment: The existing ASAL land productivity discount (lower returns on arid land) is arguably legal (land objectively less productive) and can be retained. Only the human-dependent penalty is removed.</w:t>
      </w:r>
    </w:p>
    <w:p>
      <w:pPr>
        <w:pStyle w:val="ListBullet"/>
      </w:pPr>
      <w:r>
        <w:t>Implementation Steps: In `AlgorithmSimulation.js`:</w:t>
      </w:r>
    </w:p>
    <w:p>
      <w:pPr>
        <w:pStyle w:val="ListBullet"/>
      </w:pPr>
      <w:r>
        <w:t>Remove any `if(ASAL_COUNTIES[d.county]==='arid') dependencyLimit = 0.4` logic. Use a single national formula `depDeduction = agi  (d.householdSize - 1)  0.08`.</w:t>
      </w:r>
    </w:p>
    <w:p>
      <w:pPr>
        <w:pStyle w:val="ListBullet"/>
      </w:pPr>
      <w:r>
        <w:t>Integrate Verification: In the registration workflow (outside this component), add fields or attachments for dependents. In the code, skip deduction for any dependent lacking valid proof (the UI/backend should validate and flag missing docs).</w:t>
      </w:r>
    </w:p>
    <w:p>
      <w:pPr>
        <w:pStyle w:val="ListBullet"/>
      </w:pPr>
      <w:r>
        <w:t>Update Policy/Assumptions: Clarify that deductions apply only to verified dependents. Update `ASSUMPTIONS.md` and the privacy policy about verifying personal documents.</w:t>
      </w:r>
    </w:p>
    <w:p>
      <w:pPr>
        <w:pStyle w:val="ListBullet"/>
      </w:pPr>
      <w:r>
        <w:t>Train Staff: Provide an interface for SHA officers to upload/verify documents (optional scope).</w:t>
      </w:r>
    </w:p>
    <w:p>
      <w:pPr>
        <w:pStyle w:val="ListBullet"/>
      </w:pPr>
      <w:r>
        <w:t>Fairness Gate: Ensure fairness tests (see P-38/P-45) check that removal of ASAL cap reduces false negatives for ASAL families.</w:t>
      </w:r>
    </w:p>
    <w:p>
      <w:pPr>
        <w:pStyle w:val="ListBullet"/>
      </w:pPr>
      <w:r>
        <w:t>Policy Text: e.g., "Dependents will be counted equally across all regions. The SHA may require official documents (birth certificates, school IDs, etc.) to verify each declared dependent. Verified dependents reduce the household contribution per capita equally nationwide."</w:t>
      </w:r>
    </w:p>
    <w:p>
      <w:pPr>
        <w:pStyle w:val="ListBullet"/>
      </w:pPr>
      <w:r>
        <w:t>Code Changes: Modify `AlgorithmSimulation.js`:</w:t>
      </w:r>
    </w:p>
    <w:p>
      <w:pPr>
        <w:pStyle w:val="ListBullet"/>
      </w:pPr>
      <w:r>
        <w:t>Delete the ASAL county branches that adjust `dependencyRatio` or cap it. Instead, use one calculation regardless of `d.county`.</w:t>
      </w:r>
    </w:p>
    <w:p>
      <w:pPr>
        <w:pStyle w:val="ListBullet"/>
      </w:pPr>
      <w:r>
        <w:t>Possibly add code to simulate verification (e.g. if `d.verifiedDependents &lt; d.householdSize-1`, treat unverified ones as non-existent).</w:t>
      </w:r>
    </w:p>
    <w:p>
      <w:pPr>
        <w:pStyle w:val="ListBullet"/>
      </w:pPr>
      <w:r>
        <w:t>Tests: Add cases where a large family is in an ASAL county to ensure they no longer get penalized (and get full legitimate deduction if verified).</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(S-2)**</w:t>
            </w:r>
          </w:p>
        </w:tc>
        <w:tc>
          <w:tcPr>
            <w:tcW w:type="dxa" w:w="1568"/>
            <w:shd w:val="clear" w:color="auto" w:fill="f0f4fa"/>
          </w:tcPr>
          <w:p>
            <w:r>
              <w:rPr>
                <w:sz w:val="18"/>
              </w:rPr>
              <w:t>**High** (geographic bias)</w:t>
            </w:r>
          </w:p>
        </w:tc>
        <w:tc>
          <w:tcPr>
            <w:tcW w:type="dxa" w:w="1568"/>
            <w:shd w:val="clear" w:color="auto" w:fill="f0f4fa"/>
          </w:tcPr>
          <w:p>
            <w:r>
              <w:rPr>
                <w:sz w:val="18"/>
              </w:rPr>
              <w:t>**High** (regional proxy for dependents)</w:t>
            </w:r>
          </w:p>
        </w:tc>
        <w:tc>
          <w:tcPr>
            <w:tcW w:type="dxa" w:w="1568"/>
            <w:shd w:val="clear" w:color="auto" w:fill="f0f4fa"/>
          </w:tcPr>
          <w:p>
            <w:r>
              <w:rPr>
                <w:sz w:val="18"/>
              </w:rPr>
              <w:t>Low</w:t>
            </w:r>
          </w:p>
        </w:tc>
        <w:tc>
          <w:tcPr>
            <w:tcW w:type="dxa" w:w="1568"/>
            <w:shd w:val="clear" w:color="auto" w:fill="f0f4fa"/>
          </w:tcPr>
          <w:p>
            <w:r>
              <w:rPr>
                <w:sz w:val="18"/>
              </w:rPr>
              <w:t>Medium (extra branches)</w:t>
            </w:r>
          </w:p>
        </w:tc>
        <w:tc>
          <w:tcPr>
            <w:tcW w:type="dxa" w:w="1568"/>
            <w:shd w:val="clear" w:color="auto" w:fill="f0f4fa"/>
          </w:tcPr>
          <w:p>
            <w:r>
              <w:rPr>
                <w:sz w:val="18"/>
              </w:rPr>
              <w:t>~1-2</w:t>
            </w:r>
          </w:p>
        </w:tc>
      </w:tr>
      <w:tr>
        <w:tc>
          <w:tcPr>
            <w:tcW w:type="dxa" w:w="1568"/>
          </w:tcPr>
          <w:p>
            <w:r>
              <w:rPr>
                <w:sz w:val="18"/>
              </w:rPr>
              <w:t>**Proposed (Uniform)**</w:t>
            </w:r>
          </w:p>
        </w:tc>
        <w:tc>
          <w:tcPr>
            <w:tcW w:type="dxa" w:w="1568"/>
          </w:tcPr>
          <w:p>
            <w:r>
              <w:rPr>
                <w:sz w:val="18"/>
              </w:rPr>
              <w:t>Low (no geo-penalty)</w:t>
            </w:r>
          </w:p>
        </w:tc>
        <w:tc>
          <w:tcPr>
            <w:tcW w:type="dxa" w:w="1568"/>
          </w:tcPr>
          <w:p>
            <w:r>
              <w:rPr>
                <w:sz w:val="18"/>
              </w:rPr>
              <w:t>Lower (equal treatment)</w:t>
            </w:r>
          </w:p>
        </w:tc>
        <w:tc>
          <w:tcPr>
            <w:tcW w:type="dxa" w:w="1568"/>
          </w:tcPr>
          <w:p>
            <w:r>
              <w:rPr>
                <w:sz w:val="18"/>
              </w:rPr>
              <w:t>Medium (document checks)</w:t>
            </w:r>
          </w:p>
        </w:tc>
        <w:tc>
          <w:tcPr>
            <w:tcW w:type="dxa" w:w="1568"/>
          </w:tcPr>
          <w:p>
            <w:r>
              <w:rPr>
                <w:sz w:val="18"/>
              </w:rPr>
              <w:t>High (verification system)</w:t>
            </w:r>
          </w:p>
        </w:tc>
        <w:tc>
          <w:tcPr>
            <w:tcW w:type="dxa" w:w="1568"/>
          </w:tcPr>
          <w:p>
            <w:r>
              <w:rPr>
                <w:sz w:val="18"/>
              </w:rPr>
              <w:t>~5-7</w:t>
            </w:r>
          </w:p>
        </w:tc>
      </w:tr>
    </w:tbl>
    <w:p/>
    <w:p>
      <w:r>
        <w:t>The recommended solution adds complexity (verifying dependents) but eliminates unfair regional discrimination. Dev effort is higher due to new verification workflow and data fields.</w:t>
      </w:r>
    </w:p>
    <w:p>
      <w:r>
        <w:t>────────────────────────────────────────────────────────────</w:t>
      </w:r>
    </w:p>
    <w:p>
      <w:r>
        <w:t>## S-1: "Polygamous Household Splitting" (Concern)</w:t>
      </w:r>
    </w:p>
    <w:p>
      <w:r/>
      <w:r>
        <w:rPr>
          <w:b/>
        </w:rPr>
        <w:t>Problem Summary:</w:t>
      </w:r>
      <w:r>
        <w:t xml:space="preserve"> The draft splits shared household assets equally by wife count (e.g. total assets ÷ number of wives). This flat equal-split ignores differences in each wife's children or contributions.</w:t>
      </w:r>
    </w:p>
    <w:p>
      <w:pPr>
        <w:pStyle w:val="ListBullet"/>
      </w:pPr>
      <w:r>
        <w:t>Legal Risk (Medium): Property succession in polygamy is governed by the Law of Succession Act, which allocates estates by children per house plus the surviving wife as a unit (Cap 160, Sec 40(1)). The algorithm's 1/N split may misstate a household's actual capacity if one wife has many more children (hence more needs). Using succession law logic as a proxy is risky: SHA is not distributing estates, but mis-modeling wealth distribution could violate fairness. There is no outright constitutional ban here (marital status is a protected ground, but the math is not strictly by spouse count only). The risk is algorithmic inaccuracy more than legal illegality, but care is needed not to implicitly penalize women or children.</w:t>
      </w:r>
    </w:p>
    <w:p>
      <w:pPr>
        <w:pStyle w:val="ListBullet"/>
      </w:pPr>
      <w:r>
        <w:t>Fairness &amp; Proxy Validity: Flattening by wife count could understate indigence when one sub-household is large. A more equitable proxy is per-capita wealth. Sum all verifiable household income/assets and divide by total household persons (spouses + children). If per-capita assets/income is very low, classify the entire polygamous unit as indigent. This aligns better with individual economic needs. It avoids any bias against polygamy per se, focusing on actual economic measure.</w:t>
      </w:r>
    </w:p>
    <w:p>
      <w:pPr>
        <w:pStyle w:val="ListBullet"/>
      </w:pPr>
      <w:r>
        <w:t>Recommended Alternative – Per-Capita Consolidation: Treat the entire polygamous family as one unit but assess on a per-person basis. For example:</w:t>
      </w:r>
    </w:p>
    <w:p>
      <w:pPr>
        <w:pStyle w:val="ListNumber"/>
      </w:pPr>
      <w:r>
        <w:t>Compute `totalHouseholdWealth = verifiedIncome + assetValues + liquidity`.</w:t>
      </w:r>
    </w:p>
    <w:p>
      <w:pPr>
        <w:pStyle w:val="ListNumber"/>
      </w:pPr>
      <w:r>
        <w:t>Let `totalPersons = 1 + wives + children`.</w:t>
      </w:r>
    </w:p>
    <w:p>
      <w:pPr>
        <w:pStyle w:val="ListNumber"/>
      </w:pPr>
      <w:r>
        <w:t>Compute `perCapitaWealth = totalHouseholdWealth / totalPersons`.</w:t>
      </w:r>
    </w:p>
    <w:p>
      <w:pPr>
        <w:pStyle w:val="ListNumber"/>
      </w:pPr>
      <w:r>
        <w:t>If `perCapitaWealth &lt; povertyLine`, mark all persons (head, wives, children) as extremely poor (thus entire household qualifies for maximum subsidy).</w:t>
      </w:r>
    </w:p>
    <w:p>
      <w:pPr>
        <w:pStyle w:val="ListNumber"/>
      </w:pPr>
      <w:r>
        <w:t>Otherwise, they share contributions as one household as usual.</w:t>
      </w:r>
    </w:p>
    <w:p>
      <w:r>
        <w:t>This avoids arbitrary splits among wives and is consistent with the Succession Act's recognition of children as units (Cap 160, Sec 40(1)).</w:t>
      </w:r>
    </w:p>
    <w:p>
      <w:pPr>
        <w:pStyle w:val="ListBullet"/>
      </w:pPr>
      <w:r>
        <w:t>Implementation Steps: In simulation:</w:t>
      </w:r>
    </w:p>
    <w:p>
      <w:pPr>
        <w:pStyle w:val="ListBullet"/>
      </w:pPr>
      <w:r>
        <w:t>Aggregate all income/assets across the polygamous household (currently the algorithm may already do this if using household-wide inputs).</w:t>
      </w:r>
    </w:p>
    <w:p>
      <w:pPr>
        <w:pStyle w:val="ListBullet"/>
      </w:pPr>
      <w:r>
        <w:t>Instead of dividing by wife count, simply use the household size (head + wives + children) to determine per-capita metrics.</w:t>
      </w:r>
    </w:p>
    <w:p>
      <w:pPr>
        <w:pStyle w:val="ListBullet"/>
      </w:pPr>
      <w:r>
        <w:t>If modeling tax or contributions per person, ensure to multiply rates by `totalPersons`.</w:t>
      </w:r>
    </w:p>
    <w:p>
      <w:pPr>
        <w:pStyle w:val="ListBullet"/>
      </w:pPr>
      <w:r>
        <w:t>Remove code that splits `sharedAssetsValue` by `numberOfWives`.</w:t>
      </w:r>
    </w:p>
    <w:p>
      <w:pPr>
        <w:pStyle w:val="ListBullet"/>
      </w:pPr>
      <w:r>
        <w:t>Add an explicit per-capita check: if `totalHouseholdWealth/totalPersons &lt; defined threshold`, set contribution to minimum.</w:t>
      </w:r>
    </w:p>
    <w:p>
      <w:pPr>
        <w:pStyle w:val="ListBullet"/>
      </w:pPr>
      <w:r>
        <w:t>Update tests: Simulate a household with 1 head, 3 wives, 10 children. Verify that per-capita logic marks them indigent if appropriate, rather than equal-split.</w:t>
      </w:r>
    </w:p>
    <w:p>
      <w:pPr>
        <w:pStyle w:val="ListBullet"/>
      </w:pPr>
      <w:r>
        <w:t>Policy Text: E.g., "In polygamous households, we assess the consolidated family resources per person. If the per-capita wealth is below the indigence threshold, the whole household is classified as poor. This reflects the Succession Act's spirit (Cap 160, Sec 40(1)) and treats all dependents fairly."</w:t>
      </w:r>
    </w:p>
    <w:p>
      <w:pPr>
        <w:pStyle w:val="ListBullet"/>
      </w:pPr>
      <w:r>
        <w:t>Code Changes: In `AlgorithmSimulation.js` (or related asset aggregation module):</w:t>
      </w:r>
    </w:p>
    <w:p>
      <w:pPr>
        <w:pStyle w:val="ListBullet"/>
      </w:pPr>
      <w:r>
        <w:t>Remove any line like `sharedAssetsValue / numberOfWives`.</w:t>
      </w:r>
    </w:p>
    <w:p>
      <w:pPr>
        <w:pStyle w:val="ListBullet"/>
      </w:pPr>
      <w:r>
        <w:t>Add logic: `perCapita = (assets + income + savings) / (1 + wives + children)`.</w:t>
      </w:r>
    </w:p>
    <w:p>
      <w:pPr>
        <w:pStyle w:val="ListBullet"/>
      </w:pPr>
      <w:r>
        <w:t>Use `perCapita` to adjust eligibility or tier.</w:t>
      </w:r>
    </w:p>
    <w:p>
      <w:pPr>
        <w:pStyle w:val="ListBullet"/>
      </w:pPr>
      <w:r>
        <w:t>Tests: Polygamous scenarios verifying contributions are reasonable.</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(S-1)**</w:t>
            </w:r>
          </w:p>
        </w:tc>
        <w:tc>
          <w:tcPr>
            <w:tcW w:type="dxa" w:w="1568"/>
            <w:shd w:val="clear" w:color="auto" w:fill="f0f4fa"/>
          </w:tcPr>
          <w:p>
            <w:r>
              <w:rPr>
                <w:sz w:val="18"/>
              </w:rPr>
              <w:t>Medium (potential misalignment with Succession Act)</w:t>
            </w:r>
          </w:p>
        </w:tc>
        <w:tc>
          <w:tcPr>
            <w:tcW w:type="dxa" w:w="1568"/>
            <w:shd w:val="clear" w:color="auto" w:fill="f0f4fa"/>
          </w:tcPr>
          <w:p>
            <w:r>
              <w:rPr>
                <w:sz w:val="18"/>
              </w:rPr>
              <w:t>Medium (arbitrary splits)</w:t>
            </w:r>
          </w:p>
        </w:tc>
        <w:tc>
          <w:tcPr>
            <w:tcW w:type="dxa" w:w="1568"/>
            <w:shd w:val="clear" w:color="auto" w:fill="f0f4fa"/>
          </w:tcPr>
          <w:p>
            <w:r>
              <w:rPr>
                <w:sz w:val="18"/>
              </w:rPr>
              <w:t>Low</w:t>
            </w:r>
          </w:p>
        </w:tc>
        <w:tc>
          <w:tcPr>
            <w:tcW w:type="dxa" w:w="1568"/>
            <w:shd w:val="clear" w:color="auto" w:fill="f0f4fa"/>
          </w:tcPr>
          <w:p>
            <w:r>
              <w:rPr>
                <w:sz w:val="18"/>
              </w:rPr>
              <w:t>Low (simple division)</w:t>
            </w:r>
          </w:p>
        </w:tc>
        <w:tc>
          <w:tcPr>
            <w:tcW w:type="dxa" w:w="1568"/>
            <w:shd w:val="clear" w:color="auto" w:fill="f0f4fa"/>
          </w:tcPr>
          <w:p>
            <w:r>
              <w:rPr>
                <w:sz w:val="18"/>
              </w:rPr>
              <w:t>~1</w:t>
            </w:r>
          </w:p>
        </w:tc>
      </w:tr>
      <w:tr>
        <w:tc>
          <w:tcPr>
            <w:tcW w:type="dxa" w:w="1568"/>
          </w:tcPr>
          <w:p>
            <w:r>
              <w:rPr>
                <w:sz w:val="18"/>
              </w:rPr>
              <w:t>**Recommended (Per-Capita)**</w:t>
            </w:r>
          </w:p>
        </w:tc>
        <w:tc>
          <w:tcPr>
            <w:tcW w:type="dxa" w:w="1568"/>
          </w:tcPr>
          <w:p>
            <w:r>
              <w:rPr>
                <w:sz w:val="18"/>
              </w:rPr>
              <w:t>Low (consistent with law)</w:t>
            </w:r>
          </w:p>
        </w:tc>
        <w:tc>
          <w:tcPr>
            <w:tcW w:type="dxa" w:w="1568"/>
          </w:tcPr>
          <w:p>
            <w:r>
              <w:rPr>
                <w:sz w:val="18"/>
              </w:rPr>
              <w:t>Lower (equal per-person treatment)</w:t>
            </w:r>
          </w:p>
        </w:tc>
        <w:tc>
          <w:tcPr>
            <w:tcW w:type="dxa" w:w="1568"/>
          </w:tcPr>
          <w:p>
            <w:r>
              <w:rPr>
                <w:sz w:val="18"/>
              </w:rPr>
              <w:t>Low</w:t>
            </w:r>
          </w:p>
        </w:tc>
        <w:tc>
          <w:tcPr>
            <w:tcW w:type="dxa" w:w="1568"/>
          </w:tcPr>
          <w:p>
            <w:r>
              <w:rPr>
                <w:sz w:val="18"/>
              </w:rPr>
              <w:t>Medium (aggregate logic)</w:t>
            </w:r>
          </w:p>
        </w:tc>
        <w:tc>
          <w:tcPr>
            <w:tcW w:type="dxa" w:w="1568"/>
          </w:tcPr>
          <w:p>
            <w:r>
              <w:rPr>
                <w:sz w:val="18"/>
              </w:rPr>
              <w:t>~3-5</w:t>
            </w:r>
          </w:p>
        </w:tc>
      </w:tr>
    </w:tbl>
    <w:p/>
    <w:p>
      <w:r>
        <w:t>This change simplifies fairness (no spouse count bias) while matching legal principles (Cap 160, Sec 40(1)).</w:t>
      </w:r>
    </w:p>
    <w:p>
      <w:r>
        <w:t>────────────────────────────────────────────────────────────</w:t>
      </w:r>
    </w:p>
    <w:p>
      <w:r>
        <w:t>## P-23/P-76: "Explicit Consent Model" (Critical Flaw)</w:t>
      </w:r>
    </w:p>
    <w:p>
      <w:r/>
      <w:r>
        <w:rPr>
          <w:b/>
        </w:rPr>
        <w:t>Problem Summary:</w:t>
      </w:r>
      <w:r>
        <w:t xml:space="preserve"> The original model uses a single bundled checkbox: </w:t>
      </w:r>
      <w:r>
        <w:rPr>
          <w:i/>
        </w:rPr>
        <w:t>"I consent to SHA verifying my income via KRA/NTSA/Safaricom."</w:t>
      </w:r>
      <w:r>
        <w:t xml:space="preserve"> This lumps consent for multiple sensitive data sources into one action.</w:t>
      </w:r>
    </w:p>
    <w:p>
      <w:pPr>
        <w:pStyle w:val="ListBullet"/>
      </w:pPr>
      <w:r>
        <w:t>Legal Risk (High): Kenyan Data Protection Act 2019 (Section 32) demands consent be explicit, specific, and freely given. Bundling consent for three distinct databases (tax, motor vehicles, telecom) fails "specific" and "freely given" requirements. Section 32(4) implies consent is not free if conditional on unnecessary processing. Kenyan DPA guidance emphasizes that processing sensitive personal data (like income, tax, telecom usage) requires clear consent for each purpose. A single checkbox can be challenged as not truly informed or freely given (regulator guidance urges granular toggles).</w:t>
      </w:r>
    </w:p>
    <w:p>
      <w:pPr>
        <w:pStyle w:val="ListBullet"/>
      </w:pPr>
      <w:r>
        <w:t>Fairness &amp; Proxy Validity: Not applicable.</w:t>
      </w:r>
    </w:p>
    <w:p>
      <w:pPr>
        <w:pStyle w:val="ListBullet"/>
      </w:pPr>
      <w:r>
        <w:t>Privacy/Data Protection: Bundled consent violates purpose limitation. Each data source should be accessed only for clearly stated purposes, with the subject aware. Current model risks non-compliance and user distrust.</w:t>
      </w:r>
    </w:p>
    <w:p>
      <w:pPr>
        <w:pStyle w:val="ListBullet"/>
      </w:pPr>
      <w:r>
        <w:t>Recommended Alternative – Granular, Purpose-Limited Consent:</w:t>
      </w:r>
    </w:p>
    <w:p>
      <w:pPr>
        <w:pStyle w:val="ListBullet"/>
      </w:pPr>
      <w:r>
        <w:t>Separate Toggles: In the registration UI (`App.jsx`), present three individual checkboxes or toggles for: "Consent to access KRA (tax records)", "Consent to access NTSA (vehicle ownership)", "Consent to access Safaricom (mobile transaction)", each with an on/off.</w:t>
      </w:r>
    </w:p>
    <w:p>
      <w:pPr>
        <w:pStyle w:val="ListBullet"/>
      </w:pPr>
      <w:r>
        <w:t>Clearly State Purpose: Accompany each with a brief label: e.g. "☐ I consent to SHA retrieving my KRA tax records to verify my monthly income for calculating contributions." Repeat similarly for NTSA and Safaricom. This makes consent specific to source and purpose.</w:t>
      </w:r>
    </w:p>
    <w:p>
      <w:pPr>
        <w:pStyle w:val="ListBullet"/>
      </w:pPr>
      <w:r>
        <w:t>Withdraw Option: DPA Sec 32(2-3) requires right to withdraw. Provide an explanation that consent can be withdrawn anytime without penalty to prior lawful processing.</w:t>
      </w:r>
    </w:p>
    <w:p>
      <w:pPr>
        <w:pStyle w:val="ListBullet"/>
      </w:pPr>
      <w:r>
        <w:t>Fallback Mechanism: For any source not consented, the fallback is explained: "If you do not consent, we will not use these records. You will then be assigned a standard flat-rate tier or you may submit certified documents manually." This ensures consent is voluntary (not forcibly tied to service).</w:t>
      </w:r>
    </w:p>
    <w:p>
      <w:pPr>
        <w:pStyle w:val="ListBullet"/>
      </w:pPr>
      <w:r>
        <w:t>This aligns with DPA and with global best practices for privacy-friendly design.</w:t>
      </w:r>
    </w:p>
    <w:p>
      <w:pPr>
        <w:pStyle w:val="ListBullet"/>
      </w:pPr>
      <w:r>
        <w:t>Implementation Steps (UI/Policy):</w:t>
      </w:r>
    </w:p>
    <w:p>
      <w:pPr>
        <w:pStyle w:val="ListBullet"/>
      </w:pPr>
      <w:r>
        <w:t>In `App.jsx` (or the relevant registration component), replace the single consent checkbox with multiple. Use controlled `useState` booleans (`consentKRA`, `consentNTSA`, `consentTelco`).</w:t>
      </w:r>
    </w:p>
    <w:p>
      <w:pPr>
        <w:pStyle w:val="ListBullet"/>
      </w:pPr>
      <w:r>
        <w:t>On form submission, only fetch data sources the user consented to. If none are consented, assign them to base tier with instructions.</w:t>
      </w:r>
    </w:p>
    <w:p>
      <w:pPr>
        <w:pStyle w:val="ListBullet"/>
      </w:pPr>
      <w:r>
        <w:t>Privacy Policy Text: Draft clear consent language, e.g. "By checking each box you authorize SHA to access the specified data solely to determine your contribution tier. This consent is separate and can be withdrawn anytime. If you do not consent to automated checks, you may provide official income statements instead."</w:t>
      </w:r>
    </w:p>
    <w:p>
      <w:pPr>
        <w:pStyle w:val="ListBullet"/>
      </w:pPr>
      <w:r>
        <w:t>Update `PRIVACY_POLICY.md` with the retention and purpose limitation (see P-22).</w:t>
      </w:r>
    </w:p>
    <w:p>
      <w:pPr>
        <w:pStyle w:val="ListBullet"/>
      </w:pPr>
      <w:r>
        <w:t>Ensure the system logs consent and handles withdrawals (Session or account settings).</w:t>
      </w:r>
    </w:p>
    <w:p>
      <w:pPr>
        <w:pStyle w:val="ListBullet"/>
      </w:pPr>
      <w:r>
        <w:t>Code Changes: In `App.jsx`:</w:t>
      </w:r>
    </w:p>
    <w:p>
      <w:pPr>
        <w:pStyle w:val="ListBullet"/>
      </w:pPr>
      <w:r>
        <w:t>Add new state and JSX for each consent checkbox with explanatory label.</w:t>
      </w:r>
    </w:p>
    <w:p>
      <w:pPr>
        <w:pStyle w:val="ListBullet"/>
      </w:pPr>
      <w:r>
        <w:t>Modify submission handler to record which consents were given.</w:t>
      </w:r>
    </w:p>
    <w:p>
      <w:pPr>
        <w:pStyle w:val="ListBullet"/>
      </w:pPr>
      <w:r>
        <w:t>In the algorithm/call layer, guard each data call: e.g. `if (consentKRA) fetchKRAData(uid); else skip;`</w:t>
      </w:r>
    </w:p>
    <w:p>
      <w:pPr>
        <w:pStyle w:val="ListBullet"/>
      </w:pPr>
      <w:r>
        <w:t>Add UI text for fallback in case of no consent.</w:t>
      </w:r>
    </w:p>
    <w:p>
      <w:pPr>
        <w:pStyle w:val="ListBullet"/>
      </w:pPr>
      <w:r>
        <w:t>Tests: Check that refusing a source triggers fallback mode.</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(Bundled)**</w:t>
            </w:r>
          </w:p>
        </w:tc>
        <w:tc>
          <w:tcPr>
            <w:tcW w:type="dxa" w:w="1568"/>
            <w:shd w:val="clear" w:color="auto" w:fill="f0f4fa"/>
          </w:tcPr>
          <w:p>
            <w:r>
              <w:rPr>
                <w:sz w:val="18"/>
              </w:rPr>
              <w:t>**High** (violates DPA Sec.32 explicit consent)</w:t>
            </w:r>
          </w:p>
        </w:tc>
        <w:tc>
          <w:tcPr>
            <w:tcW w:type="dxa" w:w="1568"/>
            <w:shd w:val="clear" w:color="auto" w:fill="f0f4fa"/>
          </w:tcPr>
          <w:p>
            <w:r>
              <w:rPr>
                <w:sz w:val="18"/>
              </w:rPr>
              <w:t>N/A</w:t>
            </w:r>
          </w:p>
        </w:tc>
        <w:tc>
          <w:tcPr>
            <w:tcW w:type="dxa" w:w="1568"/>
            <w:shd w:val="clear" w:color="auto" w:fill="f0f4fa"/>
          </w:tcPr>
          <w:p>
            <w:r>
              <w:rPr>
                <w:sz w:val="18"/>
              </w:rPr>
              <w:t>High (over-collection risk)</w:t>
            </w:r>
          </w:p>
        </w:tc>
        <w:tc>
          <w:tcPr>
            <w:tcW w:type="dxa" w:w="1568"/>
            <w:shd w:val="clear" w:color="auto" w:fill="f0f4fa"/>
          </w:tcPr>
          <w:p>
            <w:r>
              <w:rPr>
                <w:sz w:val="18"/>
              </w:rPr>
              <w:t>Low (simple UI)</w:t>
            </w:r>
          </w:p>
        </w:tc>
        <w:tc>
          <w:tcPr>
            <w:tcW w:type="dxa" w:w="1568"/>
            <w:shd w:val="clear" w:color="auto" w:fill="f0f4fa"/>
          </w:tcPr>
          <w:p>
            <w:r>
              <w:rPr>
                <w:sz w:val="18"/>
              </w:rPr>
              <w:t>~1-2</w:t>
            </w:r>
          </w:p>
        </w:tc>
      </w:tr>
      <w:tr>
        <w:tc>
          <w:tcPr>
            <w:tcW w:type="dxa" w:w="1568"/>
          </w:tcPr>
          <w:p>
            <w:r>
              <w:rPr>
                <w:sz w:val="18"/>
              </w:rPr>
              <w:t>**Proposed (Granular)**</w:t>
            </w:r>
          </w:p>
        </w:tc>
        <w:tc>
          <w:tcPr>
            <w:tcW w:type="dxa" w:w="1568"/>
          </w:tcPr>
          <w:p>
            <w:r>
              <w:rPr>
                <w:sz w:val="18"/>
              </w:rPr>
              <w:t>Low (compliant, specific)</w:t>
            </w:r>
          </w:p>
        </w:tc>
        <w:tc>
          <w:tcPr>
            <w:tcW w:type="dxa" w:w="1568"/>
          </w:tcPr>
          <w:p>
            <w:r>
              <w:rPr>
                <w:sz w:val="18"/>
              </w:rPr>
              <w:t>N/A</w:t>
            </w:r>
          </w:p>
        </w:tc>
        <w:tc>
          <w:tcPr>
            <w:tcW w:type="dxa" w:w="1568"/>
          </w:tcPr>
          <w:p>
            <w:r>
              <w:rPr>
                <w:sz w:val="18"/>
              </w:rPr>
              <w:t>Lower (consent segmented)</w:t>
            </w:r>
          </w:p>
        </w:tc>
        <w:tc>
          <w:tcPr>
            <w:tcW w:type="dxa" w:w="1568"/>
          </w:tcPr>
          <w:p>
            <w:r>
              <w:rPr>
                <w:sz w:val="18"/>
              </w:rPr>
              <w:t>Medium (UI changes)</w:t>
            </w:r>
          </w:p>
        </w:tc>
        <w:tc>
          <w:tcPr>
            <w:tcW w:type="dxa" w:w="1568"/>
          </w:tcPr>
          <w:p>
            <w:r>
              <w:rPr>
                <w:sz w:val="18"/>
              </w:rPr>
              <w:t>~3-4</w:t>
            </w:r>
          </w:p>
        </w:tc>
      </w:tr>
    </w:tbl>
    <w:p/>
    <w:p>
      <w:r>
        <w:t>The new flow meets DPA requirements and reduces privacy risk by restricting data collection to consented sources.</w:t>
      </w:r>
    </w:p>
    <w:p>
      <w:r>
        <w:t>────────────────────────────────────────────────────────────</w:t>
      </w:r>
    </w:p>
    <w:p>
      <w:r>
        <w:t>## P-22: "Data Retention Policy (7 Years)" (Concern)</w:t>
      </w:r>
    </w:p>
    <w:p>
      <w:r/>
      <w:r>
        <w:rPr>
          <w:b/>
        </w:rPr>
        <w:t>Problem Summary:</w:t>
      </w:r>
      <w:r>
        <w:t xml:space="preserve"> The system proposes keeping full audit trails and input data for </w:t>
      </w:r>
      <w:r>
        <w:rPr>
          <w:b/>
        </w:rPr>
        <w:t>7 years</w:t>
      </w:r>
      <w:r>
        <w:t xml:space="preserve"> to satisfy financial audit requirements, including M-Pesa and KRA data.</w:t>
      </w:r>
    </w:p>
    <w:p>
      <w:pPr>
        <w:pStyle w:val="ListBullet"/>
      </w:pPr>
      <w:r>
        <w:t>Legal Risk (Medium): DPA Section 39 mandates "data should not be kept longer than necessary" for the processing purpose. While tax law indeed may require 7-year retention for tax records, the SHA's use of that data (means-testing) is different. Audit trail outcomes (contribution tier) may legitimately be kept for fiscal compliance, but the raw, sensitive inputs (detailed M-Pesa, tax history) need not be. Excess retention violates data minimization principles.</w:t>
      </w:r>
    </w:p>
    <w:p>
      <w:pPr>
        <w:pStyle w:val="ListBullet"/>
      </w:pPr>
      <w:r>
        <w:t>Privacy/Data Protection: Retaining detailed financial profiles for 7 years is a huge privacy risk. A breach could expose highly sensitive information far beyond what's needed for contributions. The longer the retention, the higher the risk of harm. Even if legally permitted, best practice (and DPA) is to minimize.</w:t>
      </w:r>
    </w:p>
    <w:p>
      <w:pPr>
        <w:pStyle w:val="ListBullet"/>
      </w:pPr>
      <w:r>
        <w:t>Recommended Alternative – Tiered Retention Strategy:</w:t>
      </w:r>
    </w:p>
    <w:p>
      <w:pPr>
        <w:pStyle w:val="ListBullet"/>
      </w:pPr>
      <w:r>
        <w:t>Keep Aggregate Results (7 years): Retain only the final assessment (assigned tier and contribution rate) for 7 years, to satisfy audits and appeals.</w:t>
      </w:r>
    </w:p>
    <w:p>
      <w:pPr>
        <w:pStyle w:val="ListBullet"/>
      </w:pPr>
      <w:r>
        <w:t>Shorter Raw Data Life (1–2 years): Purge or anonymize the raw input data (M-Pesa, KRA, NTSA records, asset valuations) after 1–2 years. This matches the "lifespan of the assessment and appeal window". If appeals can occur up to 1 year, keeping raw data that long is sufficient.</w:t>
      </w:r>
    </w:p>
    <w:p>
      <w:pPr>
        <w:pStyle w:val="ListBullet"/>
      </w:pPr>
      <w:r>
        <w:t>Anonymization/Deletion: After retention period, either delete detailed data or irreversibly anonymize it (so it cannot be linked to individuals). DPA Sec 39(2) allows deletion/pseudonymization.</w:t>
      </w:r>
    </w:p>
    <w:p>
      <w:pPr>
        <w:pStyle w:val="ListBullet"/>
      </w:pPr>
      <w:r>
        <w:t>Retention Schedule Policy: Explicitly document retention periods in policy. E.g. "Detailed means-test inputs will be deleted or anonymized after 2 years. The computed contribution tier and limited metadata will be retained for 7 years for audit purposes."</w:t>
      </w:r>
    </w:p>
    <w:p>
      <w:pPr>
        <w:pStyle w:val="ListBullet"/>
      </w:pPr>
      <w:r>
        <w:t>Implementation Steps:</w:t>
      </w:r>
    </w:p>
    <w:p>
      <w:pPr>
        <w:pStyle w:val="ListBullet"/>
      </w:pPr>
      <w:r>
        <w:t>In database design, separate rawData and resultData tables. Mark rawData with timestamp.</w:t>
      </w:r>
    </w:p>
    <w:p>
      <w:pPr>
        <w:pStyle w:val="ListBullet"/>
      </w:pPr>
      <w:r>
        <w:t>Use a background job or database TTL to delete rawData entries after 2 years. Alternatively, after 2 years, run a script to erase or anonymize personal identifiers.</w:t>
      </w:r>
    </w:p>
    <w:p>
      <w:pPr>
        <w:pStyle w:val="ListBullet"/>
      </w:pPr>
      <w:r>
        <w:t>Ensure backups and logs respect these policies.</w:t>
      </w:r>
    </w:p>
    <w:p>
      <w:pPr>
        <w:pStyle w:val="ListBullet"/>
      </w:pPr>
      <w:r>
        <w:t>Update `PRIVACY_POLICY.md` with the retention schedule (comply with DPA Sec39). For example: "We retain data only as long as required: sensitive inputs are purged after 2 years, whereas summary decisions are kept 7 years."</w:t>
      </w:r>
    </w:p>
    <w:p>
      <w:pPr>
        <w:pStyle w:val="ListBullet"/>
      </w:pPr>
      <w:r>
        <w:t>Monitor compliance regularly (audit logs of deletion).</w:t>
      </w:r>
    </w:p>
    <w:p>
      <w:pPr>
        <w:pStyle w:val="ListBullet"/>
      </w:pPr>
      <w:r>
        <w:t>Code Changes:</w:t>
      </w:r>
    </w:p>
    <w:p>
      <w:pPr>
        <w:pStyle w:val="ListBullet"/>
      </w:pPr>
      <w:r>
        <w:t>Add a new database schema for audit trails vs raw data.</w:t>
      </w:r>
    </w:p>
    <w:p>
      <w:pPr>
        <w:pStyle w:val="ListBullet"/>
      </w:pPr>
      <w:r>
        <w:t>Implement a RetentionService (e.g. in backend):</w:t>
      </w:r>
    </w:p>
    <w:p>
      <w:pPr/>
      <w:r>
        <w:rPr>
          <w:rFonts w:ascii="Consolas" w:hAnsi="Consolas"/>
          <w:color w:val="2D2D2D"/>
          <w:sz w:val="16"/>
        </w:rPr>
        <w:t xml:space="preserve">    // Pseudocode:</w:t>
        <w:br/>
        <w:t xml:space="preserve">    cron.schedule('0 0 * * SUN', () =&gt; {</w:t>
        <w:br/>
        <w:t xml:space="preserve">      // Every Sunday at midnight</w:t>
        <w:br/>
        <w:t xml:space="preserve">      let cutoff = todayMinusYears(2);</w:t>
        <w:br/>
        <w:t xml:space="preserve">      db.rawAssessments.delete({ date &lt; cutoff });</w:t>
        <w:br/>
        <w:t xml:space="preserve">      // Optionally, pseudonymize old entries in result table if needed</w:t>
        <w:br/>
        <w:t xml:space="preserve">    });</w:t>
      </w:r>
    </w:p>
    <w:p>
      <w:pPr>
        <w:pStyle w:val="ListBullet"/>
      </w:pPr>
      <w:r>
        <w:t>In data processing modules, ensure that sensitive arrays (like transaction lists) are either not stored long-term, or replaced with hashes.</w:t>
      </w:r>
    </w:p>
    <w:p>
      <w:pPr>
        <w:pStyle w:val="ListBullet"/>
      </w:pPr>
      <w:r>
        <w:t>Add unit tests or integration tests to verify deletion occurs after the expected time.</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(7y all)**</w:t>
            </w:r>
          </w:p>
        </w:tc>
        <w:tc>
          <w:tcPr>
            <w:tcW w:type="dxa" w:w="1568"/>
            <w:shd w:val="clear" w:color="auto" w:fill="f0f4fa"/>
          </w:tcPr>
          <w:p>
            <w:r>
              <w:rPr>
                <w:sz w:val="18"/>
              </w:rPr>
              <w:t>Medium (possible DPA violation)</w:t>
            </w:r>
          </w:p>
        </w:tc>
        <w:tc>
          <w:tcPr>
            <w:tcW w:type="dxa" w:w="1568"/>
            <w:shd w:val="clear" w:color="auto" w:fill="f0f4fa"/>
          </w:tcPr>
          <w:p>
            <w:r>
              <w:rPr>
                <w:sz w:val="18"/>
              </w:rPr>
              <w:t>N/A</w:t>
            </w:r>
          </w:p>
        </w:tc>
        <w:tc>
          <w:tcPr>
            <w:tcW w:type="dxa" w:w="1568"/>
            <w:shd w:val="clear" w:color="auto" w:fill="f0f4fa"/>
          </w:tcPr>
          <w:p>
            <w:r>
              <w:rPr>
                <w:sz w:val="18"/>
              </w:rPr>
              <w:t>**High** (over-retention)</w:t>
            </w:r>
          </w:p>
        </w:tc>
        <w:tc>
          <w:tcPr>
            <w:tcW w:type="dxa" w:w="1568"/>
            <w:shd w:val="clear" w:color="auto" w:fill="f0f4fa"/>
          </w:tcPr>
          <w:p>
            <w:r>
              <w:rPr>
                <w:sz w:val="18"/>
              </w:rPr>
              <w:t>Medium (long logs)</w:t>
            </w:r>
          </w:p>
        </w:tc>
        <w:tc>
          <w:tcPr>
            <w:tcW w:type="dxa" w:w="1568"/>
            <w:shd w:val="clear" w:color="auto" w:fill="f0f4fa"/>
          </w:tcPr>
          <w:p>
            <w:r>
              <w:rPr>
                <w:sz w:val="18"/>
              </w:rPr>
              <w:t>~3-4</w:t>
            </w:r>
          </w:p>
        </w:tc>
      </w:tr>
      <w:tr>
        <w:tc>
          <w:tcPr>
            <w:tcW w:type="dxa" w:w="1568"/>
          </w:tcPr>
          <w:p>
            <w:r>
              <w:rPr>
                <w:sz w:val="18"/>
              </w:rPr>
              <w:t>**Proposed (Tiered)**</w:t>
            </w:r>
          </w:p>
        </w:tc>
        <w:tc>
          <w:tcPr>
            <w:tcW w:type="dxa" w:w="1568"/>
          </w:tcPr>
          <w:p>
            <w:r>
              <w:rPr>
                <w:sz w:val="18"/>
              </w:rPr>
              <w:t>Low (complies with minimization)</w:t>
            </w:r>
          </w:p>
        </w:tc>
        <w:tc>
          <w:tcPr>
            <w:tcW w:type="dxa" w:w="1568"/>
          </w:tcPr>
          <w:p>
            <w:r>
              <w:rPr>
                <w:sz w:val="18"/>
              </w:rPr>
              <w:t>N/A</w:t>
            </w:r>
          </w:p>
        </w:tc>
        <w:tc>
          <w:tcPr>
            <w:tcW w:type="dxa" w:w="1568"/>
          </w:tcPr>
          <w:p>
            <w:r>
              <w:rPr>
                <w:sz w:val="18"/>
              </w:rPr>
              <w:t>Low/Medium (reduced risk)</w:t>
            </w:r>
          </w:p>
        </w:tc>
        <w:tc>
          <w:tcPr>
            <w:tcW w:type="dxa" w:w="1568"/>
          </w:tcPr>
          <w:p>
            <w:r>
              <w:rPr>
                <w:sz w:val="18"/>
              </w:rPr>
              <w:t>High (archival logic)</w:t>
            </w:r>
          </w:p>
        </w:tc>
        <w:tc>
          <w:tcPr>
            <w:tcW w:type="dxa" w:w="1568"/>
          </w:tcPr>
          <w:p>
            <w:r>
              <w:rPr>
                <w:sz w:val="18"/>
              </w:rPr>
              <w:t>~4-5</w:t>
            </w:r>
          </w:p>
        </w:tc>
      </w:tr>
    </w:tbl>
    <w:p/>
    <w:p>
      <w:r>
        <w:t>The tiered approach balances audit needs with DPA limits. The extra complexity is justified by greatly lowering breach impact.</w:t>
      </w:r>
    </w:p>
    <w:p>
      <w:r>
        <w:t>────────────────────────────────────────────────────────────</w:t>
      </w:r>
    </w:p>
    <w:p>
      <w:r>
        <w:t xml:space="preserve">## P-38/P-45: Fairness (Asymmetric Penalty &amp; Equalized Odds) – </w:t>
      </w:r>
      <w:r>
        <w:rPr>
          <w:i/>
        </w:rPr>
        <w:t>Good Design</w:t>
      </w:r>
      <w:r/>
    </w:p>
    <w:p>
      <w:r/>
      <w:r>
        <w:rPr>
          <w:b/>
        </w:rPr>
        <w:t>Problem Summary:</w:t>
      </w:r>
      <w:r>
        <w:t xml:space="preserve"> The proposal penalizes overestimation (charging poor people too much) more heavily than underestimation (undercharging wealthy), and includes Equalized Odds testing across counties (adjusting false-positive rates). These are </w:t>
      </w:r>
      <w:r>
        <w:rPr>
          <w:b/>
        </w:rPr>
        <w:t>positive</w:t>
      </w:r>
      <w:r>
        <w:t xml:space="preserve"> features:</w:t>
      </w:r>
    </w:p>
    <w:p>
      <w:pPr>
        <w:pStyle w:val="ListBullet"/>
      </w:pPr>
      <w:r>
        <w:t>Legal/Equity Alignment: Penalizing errors that hurt the poor is pro-equity. An explicit fairness criterion (favoring undercharging over overcharging) aligns with the constitutional "do no harm" ethos.</w:t>
      </w:r>
    </w:p>
    <w:p>
      <w:pPr>
        <w:pStyle w:val="ListBullet"/>
      </w:pPr>
      <w:r>
        <w:t>Fairness (Good): The asymmetric weighting ("pro-poor") means the model errs on the side of generosity, which is ethically sound for a public welfare program. Equalized Odds (ensuring comparable error rates across groups) is a rigorous fairness metric. It is indeed "world-class algorithmic governance" to test and enforce similar false-positive rates for marginalized groups.</w:t>
      </w:r>
    </w:p>
    <w:p>
      <w:pPr>
        <w:pStyle w:val="ListBullet"/>
      </w:pPr>
      <w:r>
        <w:t>Privacy: No concerns; these are evaluation metrics only.</w:t>
      </w:r>
    </w:p>
    <w:p>
      <w:pPr>
        <w:pStyle w:val="ListBullet"/>
      </w:pPr>
      <w:r>
        <w:t>Implementation Steps:</w:t>
      </w:r>
    </w:p>
    <w:p>
      <w:pPr>
        <w:pStyle w:val="ListBullet"/>
      </w:pPr>
      <w:r>
        <w:t>CI/CD Fairness Gate: Integrate fairness tests into the deployment pipeline. For example, compute county-level FPR (overcharge rate) and FNR (undercharge rate) on validation data. If any marginalized group's FPR exceeds a set threshold (e.g., 5% above the best group), block deployment. Set thresholds based on stakeholder consensus.</w:t>
      </w:r>
    </w:p>
    <w:p>
      <w:pPr>
        <w:pStyle w:val="ListBullet"/>
      </w:pPr>
      <w:r>
        <w:t>Automated Checks: As hinted in P-63, write test scripts using Fairlearn or custom code to calculate equalized odds metrics. Treat all counties as "groups."</w:t>
      </w:r>
    </w:p>
    <w:p>
      <w:pPr>
        <w:pStyle w:val="ListBullet"/>
      </w:pPr>
      <w:r>
        <w:t>Documentation: Define target fairness metrics (e.g. "FPR ratio &gt;= 0.95 across all counties"). Include these in development docs and ensure changes trigger re-testing.</w:t>
      </w:r>
    </w:p>
    <w:p>
      <w:pPr>
        <w:pStyle w:val="ListBullet"/>
      </w:pPr>
      <w:r>
        <w:t>Code/Design Changes:</w:t>
      </w:r>
    </w:p>
    <w:p>
      <w:pPr>
        <w:pStyle w:val="ListBullet"/>
      </w:pPr>
      <w:r>
        <w:t>Possibly implement a `FairnessValidator.js` that runs during CI.</w:t>
      </w:r>
    </w:p>
    <w:p>
      <w:pPr>
        <w:pStyle w:val="ListBullet"/>
      </w:pPr>
      <w:r>
        <w:t>Define environment variables for thresholds.</w:t>
      </w:r>
    </w:p>
    <w:p>
      <w:pPr>
        <w:pStyle w:val="ListBullet"/>
      </w:pPr>
      <w:r>
        <w:t>Show metrics on dashboards.</w:t>
      </w:r>
    </w:p>
    <w:p>
      <w:pPr>
        <w:pStyle w:val="ListBullet"/>
      </w:pPr>
      <w:r>
        <w:t>No algorithm change needed (this is complementing, not altering logic).</w:t>
      </w:r>
    </w:p>
    <w:p>
      <w:pPr>
        <w:pStyle w:val="ListBullet"/>
      </w:pPr>
      <w:r>
        <w:t>Original vs. Maintained Approach: (Since this is already positive)</w:t>
      </w:r>
    </w:p>
    <w:p>
      <w:pPr>
        <w:pStyle w:val="ListBullet"/>
      </w:pPr>
      <w:r>
        <w:t>If we consider "Original" as this design itself, and "Recommended" as adding automation: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**Current (proposed)**</w:t>
            </w:r>
          </w:p>
        </w:tc>
        <w:tc>
          <w:tcPr>
            <w:tcW w:type="dxa" w:w="1568"/>
            <w:shd w:val="clear" w:color="auto" w:fill="f0f4fa"/>
          </w:tcPr>
          <w:p>
            <w:r>
              <w:rPr>
                <w:sz w:val="18"/>
              </w:rPr>
              <w:t>Low</w:t>
            </w:r>
          </w:p>
        </w:tc>
        <w:tc>
          <w:tcPr>
            <w:tcW w:type="dxa" w:w="1568"/>
            <w:shd w:val="clear" w:color="auto" w:fill="f0f4fa"/>
          </w:tcPr>
          <w:p>
            <w:r>
              <w:rPr>
                <w:sz w:val="18"/>
              </w:rPr>
              <w:t>Low (fair)</w:t>
            </w:r>
          </w:p>
        </w:tc>
        <w:tc>
          <w:tcPr>
            <w:tcW w:type="dxa" w:w="1568"/>
            <w:shd w:val="clear" w:color="auto" w:fill="f0f4fa"/>
          </w:tcPr>
          <w:p>
            <w:r>
              <w:rPr>
                <w:sz w:val="18"/>
              </w:rPr>
              <w:t>Low</w:t>
            </w:r>
          </w:p>
        </w:tc>
        <w:tc>
          <w:tcPr>
            <w:tcW w:type="dxa" w:w="1568"/>
            <w:shd w:val="clear" w:color="auto" w:fill="f0f4fa"/>
          </w:tcPr>
          <w:p>
            <w:r>
              <w:rPr>
                <w:sz w:val="18"/>
              </w:rPr>
              <w:t>Medium (analysis)</w:t>
            </w:r>
          </w:p>
        </w:tc>
        <w:tc>
          <w:tcPr>
            <w:tcW w:type="dxa" w:w="1568"/>
            <w:shd w:val="clear" w:color="auto" w:fill="f0f4fa"/>
          </w:tcPr>
          <w:p>
            <w:r>
              <w:rPr>
                <w:sz w:val="18"/>
              </w:rPr>
              <w:t>~2-3</w:t>
            </w:r>
          </w:p>
        </w:tc>
      </w:tr>
      <w:tr>
        <w:tc>
          <w:tcPr>
            <w:tcW w:type="dxa" w:w="1568"/>
          </w:tcPr>
          <w:p>
            <w:r>
              <w:rPr>
                <w:sz w:val="18"/>
              </w:rPr>
              <w:t>**Enhanced (CI/CD gate)**</w:t>
            </w:r>
          </w:p>
        </w:tc>
        <w:tc>
          <w:tcPr>
            <w:tcW w:type="dxa" w:w="1568"/>
          </w:tcPr>
          <w:p>
            <w:r>
              <w:rPr>
                <w:sz w:val="18"/>
              </w:rPr>
              <w:t>Low</w:t>
            </w:r>
          </w:p>
        </w:tc>
        <w:tc>
          <w:tcPr>
            <w:tcW w:type="dxa" w:w="1568"/>
          </w:tcPr>
          <w:p>
            <w:r>
              <w:rPr>
                <w:sz w:val="18"/>
              </w:rPr>
              <w:t>Lower (automated guard)</w:t>
            </w:r>
          </w:p>
        </w:tc>
        <w:tc>
          <w:tcPr>
            <w:tcW w:type="dxa" w:w="1568"/>
          </w:tcPr>
          <w:p>
            <w:r>
              <w:rPr>
                <w:sz w:val="18"/>
              </w:rPr>
              <w:t>Low</w:t>
            </w:r>
          </w:p>
        </w:tc>
        <w:tc>
          <w:tcPr>
            <w:tcW w:type="dxa" w:w="1568"/>
          </w:tcPr>
          <w:p>
            <w:r>
              <w:rPr>
                <w:sz w:val="18"/>
              </w:rPr>
              <w:t>Medium-high (CI integration)</w:t>
            </w:r>
          </w:p>
        </w:tc>
        <w:tc>
          <w:tcPr>
            <w:tcW w:type="dxa" w:w="1568"/>
          </w:tcPr>
          <w:p>
            <w:r>
              <w:rPr>
                <w:sz w:val="18"/>
              </w:rPr>
              <w:t>~3-5</w:t>
            </w:r>
          </w:p>
        </w:tc>
      </w:tr>
    </w:tbl>
    <w:p/>
    <w:p>
      <w:r>
        <w:t>Automating equalized odds (e.g. reject if a county's FPR &gt;5%) further ensures fairness without major legal changes.</w:t>
      </w:r>
    </w:p>
    <w:p>
      <w:r>
        <w:t>────────────────────────────────────────────────────────────</w:t>
      </w:r>
    </w:p>
    <w:p>
      <w:r>
        <w:t>## S-9: "9-Check Fraud System &amp; Automated Decisions" (Concern)</w:t>
      </w:r>
    </w:p>
    <w:p>
      <w:r/>
      <w:r>
        <w:rPr>
          <w:b/>
        </w:rPr>
        <w:t>Problem Summary:</w:t>
      </w:r>
      <w:r>
        <w:t xml:space="preserve"> The system flags potential fraud via a "Fraud Risk Score" and suggests automatic escalations or denials. It implies automated decisions based on profiling.</w:t>
      </w:r>
    </w:p>
    <w:p>
      <w:pPr>
        <w:pStyle w:val="ListBullet"/>
      </w:pPr>
      <w:r>
        <w:t>Legal Risk (High): DPA Section 35 prohibits solely automated decisions with legal effects. Denying a subsidy or imposing penalties based only on an algorithm violates the right to human review and explanation. The proposed automated escalation should not be a final decision without human involvement. The letter of Section 35(1) states every person has a right not to be subject to decisions based solely on automated processing that significantly affect them. Claiming to "auto-reject" without human validation breaches this.</w:t>
      </w:r>
    </w:p>
    <w:p>
      <w:pPr>
        <w:pStyle w:val="ListBullet"/>
      </w:pPr>
      <w:r>
        <w:t>Fairness: Automated fraud detection often has false positives (e.g. unusual-but-legit transactions). Heavy-handed automation risks harming honest citizens (quality-of-service harms).</w:t>
      </w:r>
    </w:p>
    <w:p>
      <w:pPr>
        <w:pStyle w:val="ListBullet"/>
      </w:pPr>
      <w:r>
        <w:t>Recommended Alternative – Human-in-the-Loop with Explainability:</w:t>
      </w:r>
    </w:p>
    <w:p>
      <w:pPr>
        <w:pStyle w:val="ListBullet"/>
      </w:pPr>
      <w:r>
        <w:t>Explicitly require human review: Any high fraud score should trigger a manual investigation, not an outright penalty. The algorithm's output becomes evidence, not a verdict.</w:t>
      </w:r>
    </w:p>
    <w:p>
      <w:pPr>
        <w:pStyle w:val="ListBullet"/>
      </w:pPr>
      <w:r>
        <w:t>UI with Explainability: Enhance the SHA officer interface to show WHY a person was flagged (e.g. SHAP values, rule triggers). The original design mentions a "SHAPTab" – this should be fully populated so officers see the top contributing factors (transaction anomalies, unverified documents, etc.).</w:t>
      </w:r>
    </w:p>
    <w:p>
      <w:pPr>
        <w:pStyle w:val="ListBullet"/>
      </w:pPr>
      <w:r>
        <w:t>Right to Explanation: Comply with DPA's Section 35(3-4): automatically notify flagged citizens of the basis (or otherwise). The existing USSD code "1474#" is a start, but ensure it provides meaningful reasoning.</w:t>
      </w:r>
    </w:p>
    <w:p>
      <w:pPr>
        <w:pStyle w:val="ListBullet"/>
      </w:pPr>
      <w:r>
        <w:t>Appeals Process: Embed a clear process for the citizen to appeal or correct issues (aligns with DPA request to reconsider/redo decisions).</w:t>
      </w:r>
    </w:p>
    <w:p>
      <w:pPr>
        <w:pStyle w:val="ListBullet"/>
      </w:pPr>
      <w:r>
        <w:t>Implementation Steps (System &amp; Policy):</w:t>
      </w:r>
    </w:p>
    <w:p>
      <w:pPr>
        <w:pStyle w:val="ListBullet"/>
      </w:pPr>
      <w:r>
        <w:t>In the decision flow, change any "auto-reject" branches into "Escalate for review." The final call (approve, adjust, or dismiss flag) must be made by a human officer.</w:t>
      </w:r>
    </w:p>
    <w:p>
      <w:pPr>
        <w:pStyle w:val="ListBullet"/>
      </w:pPr>
      <w:r>
        <w:t>UI Changes: In the officer dashboard, add a "Fraud Review Panel" that lists flagged cases with details and a "Resolution" field. Show each factor (e.g. "Multiple Fuliza defaults").</w:t>
      </w:r>
    </w:p>
    <w:p>
      <w:pPr>
        <w:pStyle w:val="ListBullet"/>
      </w:pPr>
      <w:r>
        <w:t>Logging &amp; Audit: Record officer decisions (override vs follow algorithm) for accountability.</w:t>
      </w:r>
    </w:p>
    <w:p>
      <w:pPr>
        <w:pStyle w:val="ListBullet"/>
      </w:pPr>
      <w:r>
        <w:t>Legally: Update documentation: "No subsidy or fine will be applied without human review. Citizens can request review of any flagged assessment."</w:t>
      </w:r>
    </w:p>
    <w:p>
      <w:pPr>
        <w:pStyle w:val="ListBullet"/>
      </w:pPr>
      <w:r>
        <w:t>Ensure the appeals triggered by Section 35 (automated decisions rights) are documented and offered.</w:t>
      </w:r>
    </w:p>
    <w:p>
      <w:pPr>
        <w:pStyle w:val="ListBullet"/>
      </w:pPr>
      <w:r>
        <w:t>Code Changes:</w:t>
      </w:r>
    </w:p>
    <w:p>
      <w:pPr>
        <w:pStyle w:val="ListBullet"/>
      </w:pPr>
      <w:r>
        <w:t>Refactor the fraud module: remove any `if(score &gt; X) deny()` logic, replace with `flagForReview()`.</w:t>
      </w:r>
    </w:p>
    <w:p>
      <w:pPr>
        <w:pStyle w:val="ListBullet"/>
      </w:pPr>
      <w:r>
        <w:t>Add a new React component `FraudReview.jsx` for officers: fetch flagged cases, display interpretability info (e.g. SHAP bars, risk factors).</w:t>
      </w:r>
    </w:p>
    <w:p>
      <w:pPr>
        <w:pStyle w:val="ListBullet"/>
      </w:pPr>
      <w:r>
        <w:t>Update USSD/text explanation logic to be more helpful: e.g. "Your SHA assessment was flagged because [reason]. Please visit the nearest office with X documentation."</w:t>
      </w:r>
    </w:p>
    <w:p>
      <w:pPr>
        <w:pStyle w:val="ListBullet"/>
      </w:pPr>
      <w:r>
        <w:t>CI/CD Gate: Possibly add a check that no code path returns a purely auto-reject without a human flag (test for presence of review step).</w:t>
      </w:r>
    </w:p>
    <w:p>
      <w:pPr>
        <w:pStyle w:val="ListBullet"/>
      </w:pPr>
      <w:r>
        <w:t>Original vs. Recommended Comparison: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c6e"/>
          </w:tcPr>
          <w:p>
            <w:r>
              <w:rPr>
                <w:b/>
                <w:color w:val="FFFFFF"/>
                <w:sz w:val="18"/>
              </w:rPr>
              <w:t>Approach</w:t>
            </w:r>
          </w:p>
        </w:tc>
        <w:tc>
          <w:tcPr>
            <w:tcW w:type="dxa" w:w="1568"/>
            <w:shd w:val="clear" w:color="auto" w:fill="1a3c6e"/>
          </w:tcPr>
          <w:p>
            <w:r>
              <w:rPr>
                <w:b/>
                <w:color w:val="FFFFFF"/>
                <w:sz w:val="18"/>
              </w:rPr>
              <w:t>Legal Risk</w:t>
            </w:r>
          </w:p>
        </w:tc>
        <w:tc>
          <w:tcPr>
            <w:tcW w:type="dxa" w:w="1568"/>
            <w:shd w:val="clear" w:color="auto" w:fill="1a3c6e"/>
          </w:tcPr>
          <w:p>
            <w:r>
              <w:rPr>
                <w:b/>
                <w:color w:val="FFFFFF"/>
                <w:sz w:val="18"/>
              </w:rPr>
              <w:t>Fairness Risk</w:t>
            </w:r>
          </w:p>
        </w:tc>
        <w:tc>
          <w:tcPr>
            <w:tcW w:type="dxa" w:w="1568"/>
            <w:shd w:val="clear" w:color="auto" w:fill="1a3c6e"/>
          </w:tcPr>
          <w:p>
            <w:r>
              <w:rPr>
                <w:b/>
                <w:color w:val="FFFFFF"/>
                <w:sz w:val="18"/>
              </w:rPr>
              <w:t>Privacy Risk</w:t>
            </w:r>
          </w:p>
        </w:tc>
        <w:tc>
          <w:tcPr>
            <w:tcW w:type="dxa" w:w="1568"/>
            <w:shd w:val="clear" w:color="auto" w:fill="1a3c6e"/>
          </w:tcPr>
          <w:p>
            <w:r>
              <w:rPr>
                <w:b/>
                <w:color w:val="FFFFFF"/>
                <w:sz w:val="18"/>
              </w:rPr>
              <w:t>Complexity</w:t>
            </w:r>
          </w:p>
        </w:tc>
        <w:tc>
          <w:tcPr>
            <w:tcW w:type="dxa" w:w="1568"/>
            <w:shd w:val="clear" w:color="auto" w:fill="1a3c6e"/>
          </w:tcPr>
          <w:p>
            <w:r>
              <w:rPr>
                <w:b/>
                <w:color w:val="FFFFFF"/>
                <w:sz w:val="18"/>
              </w:rPr>
              <w:t>Dev Effort (pd)</w:t>
            </w:r>
          </w:p>
        </w:tc>
      </w:tr>
      <w:tr>
        <w:tc>
          <w:tcPr>
            <w:tcW w:type="dxa" w:w="1568"/>
            <w:shd w:val="clear" w:color="auto" w:fill="f0f4fa"/>
          </w:tcPr>
          <w:p>
            <w:r>
              <w:rPr>
                <w:sz w:val="18"/>
              </w:rPr>
              <w:t>**Original (Auto-reject)**</w:t>
            </w:r>
          </w:p>
        </w:tc>
        <w:tc>
          <w:tcPr>
            <w:tcW w:type="dxa" w:w="1568"/>
            <w:shd w:val="clear" w:color="auto" w:fill="f0f4fa"/>
          </w:tcPr>
          <w:p>
            <w:r>
              <w:rPr>
                <w:sz w:val="18"/>
              </w:rPr>
              <w:t>**High** (violates DPA Sec.35)</w:t>
            </w:r>
          </w:p>
        </w:tc>
        <w:tc>
          <w:tcPr>
            <w:tcW w:type="dxa" w:w="1568"/>
            <w:shd w:val="clear" w:color="auto" w:fill="f0f4fa"/>
          </w:tcPr>
          <w:p>
            <w:r>
              <w:rPr>
                <w:sz w:val="18"/>
              </w:rPr>
              <w:t>High (false positives hurt citizens)</w:t>
            </w:r>
          </w:p>
        </w:tc>
        <w:tc>
          <w:tcPr>
            <w:tcW w:type="dxa" w:w="1568"/>
            <w:shd w:val="clear" w:color="auto" w:fill="f0f4fa"/>
          </w:tcPr>
          <w:p>
            <w:r>
              <w:rPr>
                <w:sz w:val="18"/>
              </w:rPr>
              <w:t>Low (no extra data)</w:t>
            </w:r>
          </w:p>
        </w:tc>
        <w:tc>
          <w:tcPr>
            <w:tcW w:type="dxa" w:w="1568"/>
            <w:shd w:val="clear" w:color="auto" w:fill="f0f4fa"/>
          </w:tcPr>
          <w:p>
            <w:r>
              <w:rPr>
                <w:sz w:val="18"/>
              </w:rPr>
              <w:t>Low</w:t>
            </w:r>
          </w:p>
        </w:tc>
        <w:tc>
          <w:tcPr>
            <w:tcW w:type="dxa" w:w="1568"/>
            <w:shd w:val="clear" w:color="auto" w:fill="f0f4fa"/>
          </w:tcPr>
          <w:p>
            <w:r>
              <w:rPr>
                <w:sz w:val="18"/>
              </w:rPr>
              <w:t>~1-2</w:t>
            </w:r>
          </w:p>
        </w:tc>
      </w:tr>
      <w:tr>
        <w:tc>
          <w:tcPr>
            <w:tcW w:type="dxa" w:w="1568"/>
          </w:tcPr>
          <w:p>
            <w:r>
              <w:rPr>
                <w:sz w:val="18"/>
              </w:rPr>
              <w:t>**Proposed (Human-in-loop)**</w:t>
            </w:r>
          </w:p>
        </w:tc>
        <w:tc>
          <w:tcPr>
            <w:tcW w:type="dxa" w:w="1568"/>
          </w:tcPr>
          <w:p>
            <w:r>
              <w:rPr>
                <w:sz w:val="18"/>
              </w:rPr>
              <w:t>Low/Medium (complies)</w:t>
            </w:r>
          </w:p>
        </w:tc>
        <w:tc>
          <w:tcPr>
            <w:tcW w:type="dxa" w:w="1568"/>
          </w:tcPr>
          <w:p>
            <w:r>
              <w:rPr>
                <w:sz w:val="18"/>
              </w:rPr>
              <w:t>Lower (review prevents harm)</w:t>
            </w:r>
          </w:p>
        </w:tc>
        <w:tc>
          <w:tcPr>
            <w:tcW w:type="dxa" w:w="1568"/>
          </w:tcPr>
          <w:p>
            <w:r>
              <w:rPr>
                <w:sz w:val="18"/>
              </w:rPr>
              <w:t>Low</w:t>
            </w:r>
          </w:p>
        </w:tc>
        <w:tc>
          <w:tcPr>
            <w:tcW w:type="dxa" w:w="1568"/>
          </w:tcPr>
          <w:p>
            <w:r>
              <w:rPr>
                <w:sz w:val="18"/>
              </w:rPr>
              <w:t>Medium (UI changes)</w:t>
            </w:r>
          </w:p>
        </w:tc>
        <w:tc>
          <w:tcPr>
            <w:tcW w:type="dxa" w:w="1568"/>
          </w:tcPr>
          <w:p>
            <w:r>
              <w:rPr>
                <w:sz w:val="18"/>
              </w:rPr>
              <w:t>~4-6</w:t>
            </w:r>
          </w:p>
        </w:tc>
      </w:tr>
    </w:tbl>
    <w:p/>
    <w:p>
      <w:r>
        <w:t>This ensures compliance with DPA's automated decision restrictions and best practices in algorithmic accountability.</w:t>
      </w:r>
    </w:p>
    <w:p>
      <w:r>
        <w:t>────────────────────────────────────────────────────────────</w:t>
      </w:r>
    </w:p>
    <w:p>
      <w:r>
        <w:t>## Summary of Next Steps and Implementation</w:t>
      </w:r>
    </w:p>
    <w:p>
      <w:pPr>
        <w:pStyle w:val="ListBullet"/>
      </w:pPr>
      <w:r>
        <w:t>Algorithm Refinement: Remove all gender and regional discrimination math from `AlgorithmSimulation.js`. Replace with behavior-based and uniform logic (transaction-pattern proxy, verified dependents, per-capita wealth).</w:t>
      </w:r>
    </w:p>
    <w:p>
      <w:pPr>
        <w:pStyle w:val="ListBullet"/>
      </w:pPr>
      <w:r>
        <w:t>Consent UI: In `App.jsx`, implement separate consent toggles for KRA, NTSA, and Telco data with clear labels and fallback.</w:t>
      </w:r>
    </w:p>
    <w:p>
      <w:pPr>
        <w:pStyle w:val="ListBullet"/>
      </w:pPr>
      <w:r>
        <w:t>Fraud UI: Build a fraud-review interface (`FraudReview.jsx`) for officers, showing risk factors and SHAP explanations. Ensure no case is auto-rejected.</w:t>
      </w:r>
    </w:p>
    <w:p>
      <w:pPr>
        <w:pStyle w:val="ListBullet"/>
      </w:pPr>
      <w:r>
        <w:t>CI/CD Fairness Gate: Write automated tests (possibly in a new `fairnessTests.js`) that compute equalized-odds metrics on validation data. Reject builds if marginalized group FPR &gt; threshold (e.g. 5%).</w:t>
      </w:r>
    </w:p>
    <w:p>
      <w:pPr>
        <w:pStyle w:val="ListBullet"/>
      </w:pPr>
      <w:r>
        <w:t>Documentation: Draft `PRIVACY_POLICY.md` reflecting consent and tiered retention (e.g. "We retain only de-identified or aggregated data when no longer needed"). Update `ASSUMPTIONS.md` with these logic changes.</w:t>
      </w:r>
    </w:p>
    <w:p>
      <w:pPr>
        <w:pStyle w:val="ListBullet"/>
      </w:pPr>
      <w:r>
        <w:t>Retention Enforcement: In back-end (not shown), implement a daily job to purge raw inputs after 2 years; archive final-tier results for 7 years.</w:t>
      </w:r>
    </w:p>
    <w:p>
      <w:pPr>
        <w:pStyle w:val="ListBullet"/>
      </w:pPr>
      <w:r>
        <w:t>Policy Text: Include legislative references in user-facing docs (e.g. cite DPA rights, notice of retention schedule, and appeals rights).</w:t>
      </w:r>
    </w:p>
    <w:p>
      <w:pPr>
        <w:pStyle w:val="ListBullet"/>
      </w:pPr>
      <w:r>
        <w:t>Staff Training: Ensure SHA officers know to exercise human review, and understand new verification requirements.</w:t>
      </w:r>
    </w:p>
    <w:p>
      <w:r>
        <w:t>────────────────────────────────────────────────────────────</w:t>
      </w:r>
    </w:p>
    <w:p>
      <w:r>
        <w:t>## Consent Flow Diagram</w:t>
      </w:r>
    </w:p>
    <w:p>
      <w:pPr/>
      <w:r>
        <w:rPr>
          <w:rFonts w:ascii="Consolas" w:hAnsi="Consolas"/>
          <w:color w:val="2D2D2D"/>
          <w:sz w:val="16"/>
        </w:rPr>
        <w:t>flowchart LR</w:t>
        <w:br/>
        <w:t xml:space="preserve">  A[Start Registration] --&gt; B[Show Consent Options]</w:t>
        <w:br/>
        <w:t xml:space="preserve">  B --&gt; |KRA consent?| C{Toggle KRA?}</w:t>
        <w:br/>
        <w:t xml:space="preserve">  C --&gt;|Yes| D[Fetch KRA data for income]</w:t>
        <w:br/>
        <w:t xml:space="preserve">  C --&gt;|No| E[Skip KRA]</w:t>
        <w:br/>
        <w:t xml:space="preserve">  B --&gt; |NTSA consent?| F{Toggle NTSA?}</w:t>
        <w:br/>
        <w:t xml:space="preserve">  F --&gt;|Yes| G[Fetch NTSA data for vehicles]</w:t>
        <w:br/>
        <w:t xml:space="preserve">  F --&gt;|No| H[Skip NTSA]</w:t>
        <w:br/>
        <w:t xml:space="preserve">  B --&gt; |Telco consent?| I{Toggle Telco?}</w:t>
        <w:br/>
        <w:t xml:space="preserve">  I --&gt;|Yes| J[Fetch Telco transaction data]</w:t>
        <w:br/>
        <w:t xml:space="preserve">  I --&gt;|No| K[Skip Telco]</w:t>
        <w:br/>
        <w:t xml:space="preserve">  D --&gt; L[Combine data sources]</w:t>
        <w:br/>
        <w:t xml:space="preserve">  G --&gt; L</w:t>
        <w:br/>
        <w:t xml:space="preserve">  J --&gt; L</w:t>
        <w:br/>
        <w:t xml:space="preserve">  E --&gt; L</w:t>
        <w:br/>
        <w:t xml:space="preserve">  H --&gt; L</w:t>
        <w:br/>
        <w:t xml:space="preserve">  K --&gt; L</w:t>
        <w:br/>
        <w:t xml:space="preserve">  L --&gt; M[Compute score or assign flat tier]</w:t>
      </w:r>
    </w:p>
    <w:p>
      <w:r>
        <w:t>## Data Retention Lifecycle Diagram</w:t>
      </w:r>
    </w:p>
    <w:p>
      <w:pPr/>
      <w:r>
        <w:rPr>
          <w:rFonts w:ascii="Consolas" w:hAnsi="Consolas"/>
          <w:color w:val="2D2D2D"/>
          <w:sz w:val="16"/>
        </w:rPr>
        <w:t>flowchart TB</w:t>
        <w:br/>
        <w:t xml:space="preserve">  Data["Detailed Assessment Inputs (M-Pesa, KRA, NTSA, etc.)"] --&gt;|Keep for 1-2 yrs| ReviewQueue[Review and Appeal Window]</w:t>
        <w:br/>
        <w:t xml:space="preserve">  ReviewQueue --&gt;|After 2 yrs| Delete[Delete or Anonymize Inputs]</w:t>
        <w:br/>
        <w:t xml:space="preserve">  Result["Assessment Result (Tier, Contribution)"] --&gt;|Keep for 7 yrs| AuditLog[Financial Audit Record]</w:t>
        <w:br/>
        <w:t xml:space="preserve">  Delete --&gt; End1[No further retention of personal data]</w:t>
        <w:br/>
        <w:t xml:space="preserve">  AuditLog --&gt; End2[Retained for audit and reporting - 7 yrs]</w:t>
      </w:r>
    </w:p>
    <w:p>
      <w:r>
        <w:t>## Fraud Review Loop Diagram</w:t>
      </w:r>
    </w:p>
    <w:p>
      <w:pPr/>
      <w:r>
        <w:rPr>
          <w:rFonts w:ascii="Consolas" w:hAnsi="Consolas"/>
          <w:color w:val="2D2D2D"/>
          <w:sz w:val="16"/>
        </w:rPr>
        <w:t>flowchart LR</w:t>
        <w:br/>
        <w:t xml:space="preserve">  X[Run Fraud Detection Algorithm] --&gt; Y{Score &gt; Threshold?}</w:t>
        <w:br/>
        <w:t xml:space="preserve">  Y --&gt;|Yes| Z[Flag Case for Human Review]</w:t>
        <w:br/>
        <w:t xml:space="preserve">  Y --&gt;|No| W[Proceed as Normal]</w:t>
        <w:br/>
        <w:t xml:space="preserve">  Z --&gt; U{Officer Reviews}</w:t>
        <w:br/>
        <w:t xml:space="preserve">  U --&gt;|Approve as safe| W</w:t>
        <w:br/>
        <w:t xml:space="preserve">  U --&gt;|Confirm fraud| V["Manual Action: Penalize or Deny"]</w:t>
        <w:br/>
        <w:t xml:space="preserve">  V --&gt; T[Notify Citizen of Outcome]</w:t>
        <w:br/>
        <w:t xml:space="preserve">  W --&gt; T</w:t>
      </w:r>
    </w:p>
    <w:p>
      <w:r>
        <w:t>────────────────────────────────────────────────────────────</w:t>
      </w:r>
    </w:p>
    <w:p>
      <w:r>
        <w:t>## Connected Legal Sources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c6e"/>
          </w:tcPr>
          <w:p>
            <w:r>
              <w:rPr>
                <w:b/>
                <w:color w:val="FFFFFF"/>
                <w:sz w:val="18"/>
              </w:rPr>
              <w:t>Reference</w:t>
            </w:r>
          </w:p>
        </w:tc>
        <w:tc>
          <w:tcPr>
            <w:tcW w:type="dxa" w:w="4703"/>
            <w:shd w:val="clear" w:color="auto" w:fill="1a3c6e"/>
          </w:tcPr>
          <w:p>
            <w:r>
              <w:rPr>
                <w:b/>
                <w:color w:val="FFFFFF"/>
                <w:sz w:val="18"/>
              </w:rPr>
              <w:t>Citation</w:t>
            </w:r>
          </w:p>
        </w:tc>
      </w:tr>
      <w:tr>
        <w:tc>
          <w:tcPr>
            <w:tcW w:type="dxa" w:w="4703"/>
            <w:shd w:val="clear" w:color="auto" w:fill="f0f4fa"/>
          </w:tcPr>
          <w:p>
            <w:r>
              <w:rPr>
                <w:sz w:val="18"/>
              </w:rPr>
              <w:t>Constitutional equality</w:t>
            </w:r>
          </w:p>
        </w:tc>
        <w:tc>
          <w:tcPr>
            <w:tcW w:type="dxa" w:w="4703"/>
            <w:shd w:val="clear" w:color="auto" w:fill="f0f4fa"/>
          </w:tcPr>
          <w:p>
            <w:r>
              <w:rPr>
                <w:sz w:val="18"/>
              </w:rPr>
              <w:t>Article 27(4) — "The State shall not discriminate…on any ground, including…sex"</w:t>
            </w:r>
          </w:p>
        </w:tc>
      </w:tr>
      <w:tr>
        <w:tc>
          <w:tcPr>
            <w:tcW w:type="dxa" w:w="4703"/>
          </w:tcPr>
          <w:p>
            <w:r>
              <w:rPr>
                <w:sz w:val="18"/>
              </w:rPr>
              <w:t>Marginalized group duty</w:t>
            </w:r>
          </w:p>
        </w:tc>
        <w:tc>
          <w:tcPr>
            <w:tcW w:type="dxa" w:w="4703"/>
          </w:tcPr>
          <w:p>
            <w:r>
              <w:rPr>
                <w:sz w:val="18"/>
              </w:rPr>
              <w:t>Article 56 — mandates special health access for marginalized groups</w:t>
            </w:r>
          </w:p>
        </w:tc>
      </w:tr>
      <w:tr>
        <w:tc>
          <w:tcPr>
            <w:tcW w:type="dxa" w:w="4703"/>
            <w:shd w:val="clear" w:color="auto" w:fill="f0f4fa"/>
          </w:tcPr>
          <w:p>
            <w:r>
              <w:rPr>
                <w:sz w:val="18"/>
              </w:rPr>
              <w:t>DPA Consent</w:t>
            </w:r>
          </w:p>
        </w:tc>
        <w:tc>
          <w:tcPr>
            <w:tcW w:type="dxa" w:w="4703"/>
            <w:shd w:val="clear" w:color="auto" w:fill="f0f4fa"/>
          </w:tcPr>
          <w:p>
            <w:r>
              <w:rPr>
                <w:sz w:val="18"/>
              </w:rPr>
              <w:t>Section 32 — consent must be explicit, specific, and freely given</w:t>
            </w:r>
          </w:p>
        </w:tc>
      </w:tr>
      <w:tr>
        <w:tc>
          <w:tcPr>
            <w:tcW w:type="dxa" w:w="4703"/>
          </w:tcPr>
          <w:p>
            <w:r>
              <w:rPr>
                <w:sz w:val="18"/>
              </w:rPr>
              <w:t>DPA Automated decisions</w:t>
            </w:r>
          </w:p>
        </w:tc>
        <w:tc>
          <w:tcPr>
            <w:tcW w:type="dxa" w:w="4703"/>
          </w:tcPr>
          <w:p>
            <w:r>
              <w:rPr>
                <w:sz w:val="18"/>
              </w:rPr>
              <w:t>Section 35 — right not to be subject to solely automated decisions</w:t>
            </w:r>
          </w:p>
        </w:tc>
      </w:tr>
      <w:tr>
        <w:tc>
          <w:tcPr>
            <w:tcW w:type="dxa" w:w="4703"/>
            <w:shd w:val="clear" w:color="auto" w:fill="f0f4fa"/>
          </w:tcPr>
          <w:p>
            <w:r>
              <w:rPr>
                <w:sz w:val="18"/>
              </w:rPr>
              <w:t>DPA Retention</w:t>
            </w:r>
          </w:p>
        </w:tc>
        <w:tc>
          <w:tcPr>
            <w:tcW w:type="dxa" w:w="4703"/>
            <w:shd w:val="clear" w:color="auto" w:fill="f0f4fa"/>
          </w:tcPr>
          <w:p>
            <w:r>
              <w:rPr>
                <w:sz w:val="18"/>
              </w:rPr>
              <w:t>Section 39 — data should not be kept longer than necessary</w:t>
            </w:r>
          </w:p>
        </w:tc>
      </w:tr>
      <w:tr>
        <w:tc>
          <w:tcPr>
            <w:tcW w:type="dxa" w:w="4703"/>
          </w:tcPr>
          <w:p>
            <w:r>
              <w:rPr>
                <w:sz w:val="18"/>
              </w:rPr>
              <w:t>Polygamy/Succession</w:t>
            </w:r>
          </w:p>
        </w:tc>
        <w:tc>
          <w:tcPr>
            <w:tcW w:type="dxa" w:w="4703"/>
          </w:tcPr>
          <w:p>
            <w:r>
              <w:rPr>
                <w:sz w:val="18"/>
              </w:rPr>
              <w:t>Law of Succession Act, Cap 160, Sec 40(1)</w:t>
            </w:r>
          </w:p>
        </w:tc>
      </w:tr>
      <w:tr>
        <w:tc>
          <w:tcPr>
            <w:tcW w:type="dxa" w:w="4703"/>
            <w:shd w:val="clear" w:color="auto" w:fill="f0f4fa"/>
          </w:tcPr>
          <w:p>
            <w:r>
              <w:rPr>
                <w:sz w:val="18"/>
              </w:rPr>
              <w:t>SHA means-testing</w:t>
            </w:r>
          </w:p>
        </w:tc>
        <w:tc>
          <w:tcPr>
            <w:tcW w:type="dxa" w:w="4703"/>
            <w:shd w:val="clear" w:color="auto" w:fill="f0f4fa"/>
          </w:tcPr>
          <w:p>
            <w:r>
              <w:rPr>
                <w:sz w:val="18"/>
              </w:rPr>
              <w:t>Social Health Insurance Act 2023, Sec 27</w:t>
            </w:r>
          </w:p>
        </w:tc>
      </w:tr>
      <w:tr>
        <w:tc>
          <w:tcPr>
            <w:tcW w:type="dxa" w:w="4703"/>
          </w:tcPr>
          <w:p>
            <w:r>
              <w:rPr>
                <w:sz w:val="18"/>
              </w:rPr>
              <w:t>Algorithmic fairness</w:t>
            </w:r>
          </w:p>
        </w:tc>
        <w:tc>
          <w:tcPr>
            <w:tcW w:type="dxa" w:w="4703"/>
          </w:tcPr>
          <w:p>
            <w:r>
              <w:rPr>
                <w:sz w:val="18"/>
              </w:rPr>
              <w:t>Equalized Odds framework; disparate impact research</w:t>
            </w:r>
          </w:p>
        </w:tc>
      </w:tr>
    </w:tbl>
    <w:p/>
    <w:p>
      <w:r>
        <w:t>────────────────────────────────────────────────────────────</w:t>
      </w:r>
    </w:p>
    <w:p>
      <w:r/>
      <w:r>
        <w:rPr>
          <w:i/>
        </w:rPr>
        <w:t>Prepared by: SHA PMT v2.1 Legal &amp; Architectural Review Team</w:t>
      </w:r>
      <w:r/>
    </w:p>
    <w:p>
      <w:r/>
      <w:r>
        <w:rPr>
          <w:i/>
        </w:rPr>
        <w:t>Date: June 2026</w:t>
      </w:r>
      <w:r/>
    </w:p>
    <w:p>
      <w:r/>
      <w:r>
        <w:rPr>
          <w:i/>
        </w:rPr>
        <w:t>Version: Final — For Official Submission</w:t>
      </w:r>
      <w:r/>
    </w:p>
    <w:p/>
    <w:p>
      <w:pPr>
        <w:jc w:val="center"/>
      </w:pPr>
      <w:r>
        <w:rPr>
          <w:i/>
          <w:color w:val="999999"/>
          <w:sz w:val="16"/>
        </w:rPr>
        <w:t>SHA PMT v2.1 — Prepared for Official Government Submission — June 2026</w:t>
      </w:r>
    </w:p>
    <w:p>
      <w:pPr>
        <w:pStyle w:val="Heading2"/>
      </w:pPr>
      <w:r>
        <w:t>6. Double-Taxation Resolution &amp; Constitutional Review</w:t>
      </w:r>
    </w:p>
    <w:p>
      <w:r>
        <w:t>Justice Chacha Mwita's June 23, 2025 ruling declared the 2.75% contribution rate unconstitutional as double-taxation because it was applied directly to gross income (which is already taxed under the Income Tax Act). The AGI model applies the 2.75% rate to net adjusted income (AGI) - not gross income - after deducting taxes, dependents, CHE, and business costs. Because AGI is computed net of existing taxes, the AGI model structurally resolves the double taxation complaint and complies with the constitutional principle. (Note: Justice Mwita declined to issue a binding order, deferring to a pending Court of Appeal case; the Ministry of Health publicly stated the same week that the 2.75% deduction "remains in effect." The constitutional question is therefore active, not settled.) This represents a key defense argument for the state in active appeal proceedings.</w:t>
      </w:r>
    </w:p>
    <w:p>
      <w:pPr>
        <w:pStyle w:val="Heading2"/>
      </w:pPr>
      <w:r>
        <w:t>Deliberate Deployment of Known Bias</w:t>
      </w:r>
    </w:p>
    <w:p>
      <w:r>
        <w:t>The decision to deploy the PMT despite IDinsight's documented warnings was made under executive pressure to maximise revenue. This constitutes a foreseeable and preventable rights violation, not an inadvertent design flaw.</w:t>
      </w:r>
    </w:p>
    <w:p>
      <w:pPr>
        <w:pStyle w:val="Heading1"/>
      </w:pPr>
      <w:r>
        <w:t>Addendum: Resiliency &amp; Advanced Fraud Prevention</w:t>
      </w:r>
    </w:p>
    <w:p>
      <w:r>
        <w:t>To ensure the system is completely legally defensible and resilient against API failures or deliberate manipulation, the following safeguards have been integrated into SHA PMT v2.1:</w:t>
      </w:r>
    </w:p>
    <w:p>
      <w:r>
        <w:t>1. Triangulation Fallback Protocol (Offline Resiliency): If KRA, NTSA, or Safaricom APIs fail, the algorithm does not crash or default to punitive overcharging. It mathematically degrades to utilize physical, verifiable proxies (e.g., land, livestock, physical vehicle valuation) with standard depreciation applied.</w:t>
      </w:r>
    </w:p>
    <w:p>
      <w:r>
        <w:t>2. 'Digital Ghost' Detection &amp; CHP Protocol: If an applicant deliberately hides their digital footprint (claims no M-Pesa, no KRA, no NTSA) and shows zero assets to appear indigent, they are classified as a 'Digital Ghost'. They receive a provisional subsidy but are flagged for mandatory physical verification by a Community Health Promoter (CHP) within 90 days. This closes the loophole of tech-savvy individuals feigning poverty.</w:t>
      </w:r>
    </w:p>
    <w:p>
      <w:r>
        <w:t>3. Multi-SIM Concealment Risk: If an applicant declares a low-balance phone number, but Safaricom registry (via ID cross-check) shows multiple active SIM cards, the system flags a 'Multi-SIM Concealment Risk' requiring balance aggregation across all registered MSISDNs.</w:t>
      </w:r>
    </w:p>
    <w:p>
      <w:r>
        <w:t>4. Unverified Chama Treasurer Claim: The 80% Fiduciary Exemption is heavily guarded. If an applicant claims they are a Chama Treasurer to discount their liquidity, the system cross-references Safaricom/SACCO registries. If no registered group is linked to their ID/Phone, it triggers a CRITICAL 'Unverified Fiduciary Claim' flag and denies the exemption.</w:t>
      </w:r>
    </w:p>
    <w:p>
      <w:r>
        <w:t>5. Geographic Adjustments: The algorithm strictly applies 'Arid and Semi-Arid Land (ASAL)' adjustments. For example, 100 acres of land in Marsabit (arid) receives an 85% discount in valuation compared to 100 acres in Nairobi, recognizing it as illiquid capital rather than cash-equivalent wealth. Car valuations also scale by type (Standard Old vs. Luxury).</w:t>
      </w:r>
    </w:p>
    <w:p>
      <w:pPr>
        <w:pStyle w:val="Heading1"/>
      </w:pPr>
      <w:r>
        <w:t>Addendum: Data Sources &amp; Statistical Grounding</w:t>
      </w:r>
    </w:p>
    <w:p>
      <w:r>
        <w:t>To ensure the SHA Means-Testing Algorithm is fully defensible, all parameters, constraints, and multipliers are strictly grounded in official government data and regional health economic baselines:</w:t>
      </w:r>
    </w:p>
    <w:p>
      <w:r>
        <w:t>1. Demographic &amp; Household Statistics (KDHS): The system uses the Kenya Demographic and Health Survey (KDHS 2022) to set biological and statistical constraints. The national average household size is 3.9. The algorithm sets a maximum reasonable threshold of 12 dependents. Any claim exceeding this statistically improbable threshold triggers a 'Phantom Dependents' fraud flag.</w:t>
      </w:r>
    </w:p>
    <w:p>
      <w:r>
        <w:t>2. Geographic and ASAL Adjustments (CRA &amp; NDMA): The algorithm maps exactly to the 23 counties officially recognized by the Commission on Revenue Allocation (CRA) and the National Drought Management Authority (NDMA). The 85% land value discount in arid areas and 50% in semi-arid areas is justified by their classification as communal/survival assets rather than liquid real estate.</w:t>
      </w:r>
    </w:p>
    <w:p>
      <w:r>
        <w:t>3. Revenue &amp; Compliance Stress Tests (KNBS &amp; ILO): The baseline population of 15.5 million non-salaried households is derived from KNBS (Kenya National Bureau of Statistics) 2024 estimates. Compliance scenarios are based on historical NHIF engagement (Pessimistic - 30%), ILO informal sector taxation studies (Conservative - 45%), and the achieved rates of the Rwanda Community-Based Health Insurance model (Target - 60%).</w:t>
      </w:r>
    </w:p>
    <w:p>
      <w:r>
        <w:t>4. Legal &amp; Privacy Frameworks (DPA &amp; Constitution): All automated fraud escalations enforce the Data Protection Act (DPA) §35 and §39. The system mathematically prohibits automated rejections based solely on API mismatches to ensure compliance with the Constitutional right to fair administrative action (Article 47).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