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 Algorithmic Reform: The "AGI" Pivot</w:t>
      </w:r>
    </w:p>
    <w:p>
      <w:r/>
      <w:r>
        <w:rPr>
          <w:b/>
        </w:rPr>
        <w:t>Presentation Outline for Cabinet Secretaries &amp; Parliamentary Health Committee</w:t>
      </w:r>
      <w:r/>
    </w:p>
    <w:p>
      <w:pPr>
        <w:pStyle w:val="Heading1"/>
      </w:pPr>
      <w:r>
        <w:t>Slide 1: The Crisis We Can No longer Ignore</w:t>
      </w:r>
    </w:p>
    <w:p>
      <w:pPr>
        <w:pStyle w:val="ListBullet"/>
      </w:pPr>
      <w:r/>
      <w:r>
        <w:rPr>
          <w:b/>
        </w:rPr>
        <w:t>The Hook:</w:t>
      </w:r>
      <w:r>
        <w:t xml:space="preserve"> The "Error by Design" documentary (May 2026) proved what our citizens already knew: the current SHIF Proxy Means Test (PMT) algorithm is fundamentally broken.</w:t>
      </w:r>
    </w:p>
    <w:p>
      <w:pPr>
        <w:pStyle w:val="ListBullet"/>
      </w:pPr>
      <w:r/>
      <w:r>
        <w:rPr>
          <w:b/>
        </w:rPr>
        <w:t>The Human Cost:</w:t>
      </w:r>
      <w:r>
        <w:t xml:space="preserve"> Critically ill patients denied cancer treatment and dialysis because an algorithm overpredicted their income based on their roof material.</w:t>
      </w:r>
    </w:p>
    <w:p>
      <w:pPr>
        <w:pStyle w:val="ListBullet"/>
      </w:pPr>
      <w:r/>
      <w:r>
        <w:rPr>
          <w:b/>
        </w:rPr>
        <w:t>The Financial Cost:</w:t>
      </w:r>
      <w:r>
        <w:t xml:space="preserve"> The KSh 11 Billion fraud scandal (Oct '24 - Apr '25). The system is bleeding money through ghost patients and hidden assets.</w:t>
      </w:r>
    </w:p>
    <w:p>
      <w:pPr>
        <w:pStyle w:val="Heading1"/>
      </w:pPr>
      <w:r>
        <w:t>Slide 2: The Root Cause: "Lasso PMT"</w:t>
      </w:r>
    </w:p>
    <w:p>
      <w:pPr>
        <w:pStyle w:val="ListBullet"/>
      </w:pPr>
      <w:r/>
      <w:r>
        <w:rPr>
          <w:b/>
        </w:rPr>
        <w:t>The Flaw:</w:t>
      </w:r>
      <w:r>
        <w:t xml:space="preserve"> The current system uses visual proxies (stone walls, tile roofs) to guess wealth.</w:t>
      </w:r>
    </w:p>
    <w:p>
      <w:pPr>
        <w:pStyle w:val="ListBullet"/>
      </w:pPr>
      <w:r/>
      <w:r>
        <w:rPr>
          <w:b/>
        </w:rPr>
        <w:t>The Statistics:</w:t>
      </w:r>
      <w:r/>
    </w:p>
    <w:p>
      <w:pPr>
        <w:pStyle w:val="ListBullet"/>
      </w:pPr>
      <w:r>
        <w:t>Rural classification accuracy (R²) is only 0.46.</w:t>
      </w:r>
    </w:p>
    <w:p>
      <w:pPr>
        <w:pStyle w:val="ListBullet"/>
      </w:pPr>
      <w:r>
        <w:t>80% of the poorest households are overcharged.</w:t>
      </w:r>
    </w:p>
    <w:p>
      <w:pPr>
        <w:pStyle w:val="ListBullet"/>
      </w:pPr>
      <w:r>
        <w:t>Female-headed households face a 65% exclusion error.</w:t>
      </w:r>
    </w:p>
    <w:p>
      <w:pPr>
        <w:pStyle w:val="ListBullet"/>
      </w:pPr>
      <w:r/>
      <w:r>
        <w:rPr>
          <w:b/>
        </w:rPr>
        <w:t>The Conclusion:</w:t>
      </w:r>
      <w:r>
        <w:t xml:space="preserve"> We are taxing the poor for living in inherited ancestral homes while the wealthy hide their income.</w:t>
      </w:r>
    </w:p>
    <w:p>
      <w:pPr>
        <w:pStyle w:val="Heading1"/>
      </w:pPr>
      <w:r>
        <w:t>Slide 3: The Global Standard (What We Missed)</w:t>
      </w:r>
    </w:p>
    <w:p>
      <w:pPr>
        <w:pStyle w:val="ListBullet"/>
      </w:pPr>
      <w:r/>
      <w:r>
        <w:rPr>
          <w:b/>
        </w:rPr>
        <w:t>The Defense:</w:t>
      </w:r>
      <w:r>
        <w:t xml:space="preserve"> SHA cited Colombia (Sisben) and Indonesia (DTKS) to defend the PMT.</w:t>
      </w:r>
    </w:p>
    <w:p>
      <w:pPr>
        <w:pStyle w:val="ListBullet"/>
      </w:pPr>
      <w:r/>
      <w:r>
        <w:rPr>
          <w:b/>
        </w:rPr>
        <w:t>The Reality:</w:t>
      </w:r>
      <w:r/>
    </w:p>
    <w:p>
      <w:pPr>
        <w:pStyle w:val="ListBullet"/>
      </w:pPr>
      <w:r>
        <w:t>Colombia uses continuous retraining and 3 sub-modules. We don't.</w:t>
      </w:r>
    </w:p>
    <w:p>
      <w:pPr>
        <w:pStyle w:val="ListBullet"/>
      </w:pPr>
      <w:r>
        <w:t>Indonesia uses community-level verification. We don't.</w:t>
      </w:r>
    </w:p>
    <w:p>
      <w:pPr>
        <w:pStyle w:val="ListBullet"/>
      </w:pPr>
      <w:r/>
      <w:r>
        <w:rPr>
          <w:b/>
        </w:rPr>
        <w:t>The Pivot:</w:t>
      </w:r>
      <w:r>
        <w:t xml:space="preserve"> We must upgrade from a static PMT to a dynamic verification system.</w:t>
      </w:r>
    </w:p>
    <w:p>
      <w:pPr>
        <w:pStyle w:val="Heading1"/>
      </w:pPr>
      <w:r>
        <w:t>Slide 4: The Solution: Adjusted Gross Income (AGI) Model v2.1</w:t>
      </w:r>
    </w:p>
    <w:p>
      <w:pPr>
        <w:pStyle w:val="ListBullet"/>
      </w:pPr>
      <w:r/>
      <w:r>
        <w:rPr>
          <w:b/>
        </w:rPr>
        <w:t>The Shift:</w:t>
      </w:r>
      <w:r>
        <w:t xml:space="preserve"> Move away from guessing wealth based on houses, and start *verifying* wealth based on actual data.</w:t>
      </w:r>
    </w:p>
    <w:p>
      <w:pPr>
        <w:pStyle w:val="ListBullet"/>
      </w:pPr>
      <w:r/>
      <w:r>
        <w:rPr>
          <w:b/>
        </w:rPr>
        <w:t>The Engine:</w:t>
      </w:r>
      <w:r>
        <w:t xml:space="preserve"> An ensemble algorithm that mathematically ensures fairness (Equalized Odds difference &lt; 0.05).</w:t>
      </w:r>
    </w:p>
    <w:p>
      <w:pPr>
        <w:pStyle w:val="ListBullet"/>
      </w:pPr>
      <w:r/>
      <w:r>
        <w:rPr>
          <w:b/>
        </w:rPr>
        <w:t>The Rule:</w:t>
      </w:r>
      <w:r>
        <w:t xml:space="preserve"> If you are truly poor, you pay the subsidized rate. If you have hidden wealth, the system finds it.</w:t>
      </w:r>
    </w:p>
    <w:p>
      <w:pPr>
        <w:pStyle w:val="Heading1"/>
      </w:pPr>
      <w:r>
        <w:t>Slide 5: The "Triangulation Trinity" (How It Works)</w:t>
      </w:r>
    </w:p>
    <w:p>
      <w:pPr>
        <w:pStyle w:val="ListBullet"/>
      </w:pPr>
      <w:r>
        <w:t>We cross-reference self-declared data against three hard data sources:</w:t>
      </w:r>
    </w:p>
    <w:p>
      <w:pPr>
        <w:pStyle w:val="ListNumber"/>
      </w:pPr>
      <w:r/>
      <w:r>
        <w:rPr>
          <w:b/>
        </w:rPr>
        <w:t>KRA (Income):</w:t>
      </w:r>
      <w:r>
        <w:t xml:space="preserve"> Checks for PINs and declared tax brackets.</w:t>
      </w:r>
    </w:p>
    <w:p>
      <w:pPr>
        <w:pStyle w:val="ListNumber"/>
      </w:pPr>
      <w:r/>
      <w:r>
        <w:rPr>
          <w:b/>
        </w:rPr>
        <w:t>NTSA (Assets):</w:t>
      </w:r>
      <w:r>
        <w:t xml:space="preserve"> Checks for vehicle registrations.</w:t>
      </w:r>
    </w:p>
    <w:p>
      <w:pPr>
        <w:pStyle w:val="ListNumber"/>
      </w:pPr>
      <w:r/>
      <w:r>
        <w:rPr>
          <w:b/>
        </w:rPr>
        <w:t>Telcos/M-Pesa (Liquidity):</w:t>
      </w:r>
      <w:r>
        <w:t xml:space="preserve"> Checks gross velocity and average retained balance.</w:t>
      </w:r>
    </w:p>
    <w:p>
      <w:pPr>
        <w:pStyle w:val="ListBullet"/>
      </w:pPr>
      <w:r/>
      <w:r>
        <w:rPr>
          <w:b/>
        </w:rPr>
        <w:t>Result:</w:t>
      </w:r>
      <w:r>
        <w:t xml:space="preserve"> We stop guessing. We verify.</w:t>
      </w:r>
    </w:p>
    <w:p>
      <w:pPr>
        <w:pStyle w:val="Heading1"/>
      </w:pPr>
      <w:r>
        <w:t>Slide 6: Protecting the Vulnerable (7 Deductions)</w:t>
      </w:r>
    </w:p>
    <w:p>
      <w:pPr>
        <w:pStyle w:val="ListBullet"/>
      </w:pPr>
      <w:r>
        <w:t>The AGI model is the first in Africa to apply algorithmic compassion:</w:t>
      </w:r>
    </w:p>
    <w:p>
      <w:pPr>
        <w:pStyle w:val="ListNumber"/>
      </w:pPr>
      <w:r/>
      <w:r>
        <w:rPr>
          <w:b/>
        </w:rPr>
        <w:t>Digital Debt Relief:</w:t>
      </w:r>
      <w:r>
        <w:t xml:space="preserve"> Fuliza defaults reduce your taxable base.</w:t>
      </w:r>
    </w:p>
    <w:p>
      <w:pPr>
        <w:pStyle w:val="ListNumber"/>
      </w:pPr>
      <w:r/>
      <w:r>
        <w:rPr>
          <w:b/>
        </w:rPr>
        <w:t>Chronic Health Exemption (CHE):</w:t>
      </w:r>
      <w:r>
        <w:t xml:space="preserve"> Deductions for long-term illness.</w:t>
      </w:r>
    </w:p>
    <w:p>
      <w:pPr>
        <w:pStyle w:val="ListNumber"/>
      </w:pPr>
      <w:r/>
      <w:r>
        <w:rPr>
          <w:b/>
        </w:rPr>
        <w:t>Tools of Trade:</w:t>
      </w:r>
      <w:r>
        <w:t xml:space="preserve"> Bodabodas are depreciated assets, not luxury wealth signals.</w:t>
      </w:r>
    </w:p>
    <w:p>
      <w:pPr>
        <w:pStyle w:val="ListNumber"/>
      </w:pPr>
      <w:r/>
      <w:r>
        <w:rPr>
          <w:b/>
        </w:rPr>
        <w:t>Fiduciary Exemption:</w:t>
      </w:r>
      <w:r>
        <w:t xml:space="preserve"> Chama treasurers are not penalized for holding group funds.</w:t>
      </w:r>
    </w:p>
    <w:p>
      <w:pPr>
        <w:pStyle w:val="Heading1"/>
      </w:pPr>
      <w:r>
        <w:t>Slide 7: Fraud Engine &amp; Systemic Defense</w:t>
      </w:r>
    </w:p>
    <w:p>
      <w:pPr>
        <w:pStyle w:val="ListBullet"/>
      </w:pPr>
      <w:r>
        <w:t xml:space="preserve">The AGI includes a </w:t>
      </w:r>
      <w:r>
        <w:rPr>
          <w:b/>
        </w:rPr>
        <w:t>12-flag fraud detection engine</w:t>
      </w:r>
      <w:r>
        <w:t>.</w:t>
      </w:r>
    </w:p>
    <w:p>
      <w:pPr>
        <w:pStyle w:val="ListBullet"/>
      </w:pPr>
      <w:r>
        <w:t>It instantly flags:</w:t>
      </w:r>
    </w:p>
    <w:p>
      <w:pPr>
        <w:pStyle w:val="ListBullet"/>
      </w:pPr>
      <w:r>
        <w:t>Phantom dependents (Household Size vs. Age mismatch)</w:t>
      </w:r>
    </w:p>
    <w:p>
      <w:pPr>
        <w:pStyle w:val="ListBullet"/>
      </w:pPr>
      <w:r>
        <w:t>Asset-Liquidity Paradox (No income but high M-Pesa velocity)</w:t>
      </w:r>
    </w:p>
    <w:p>
      <w:pPr>
        <w:pStyle w:val="ListBullet"/>
      </w:pPr>
      <w:r>
        <w:t>Geographic Impossibility (Claiming rural poverty while transacting exclusively in Nairobi)</w:t>
      </w:r>
    </w:p>
    <w:p>
      <w:pPr>
        <w:pStyle w:val="ListBullet"/>
      </w:pPr>
      <w:r/>
      <w:r>
        <w:rPr>
          <w:b/>
        </w:rPr>
        <w:t>Impact:</w:t>
      </w:r>
      <w:r>
        <w:t xml:space="preserve"> Stops the bleeding that caused the KSh 11B scandal.</w:t>
      </w:r>
    </w:p>
    <w:p>
      <w:pPr>
        <w:pStyle w:val="Heading1"/>
      </w:pPr>
      <w:r>
        <w:t>Slide 8: The USSD Appeals Revolution</w:t>
      </w:r>
    </w:p>
    <w:p>
      <w:pPr>
        <w:pStyle w:val="ListBullet"/>
      </w:pPr>
      <w:r/>
      <w:r>
        <w:rPr>
          <w:b/>
        </w:rPr>
        <w:t>Current State:</w:t>
      </w:r>
      <w:r>
        <w:t xml:space="preserve"> Appeals take weeks. Patients die waiting.</w:t>
      </w:r>
    </w:p>
    <w:p>
      <w:pPr>
        <w:pStyle w:val="ListBullet"/>
      </w:pPr>
      <w:r/>
      <w:r>
        <w:rPr>
          <w:b/>
        </w:rPr>
        <w:t>Future State:</w:t>
      </w:r>
      <w:r>
        <w:t xml:space="preserve"> A citizen dials `*147*3#` and triggers an instant algorithmic re-verification via KRA and M-Pesa.</w:t>
      </w:r>
    </w:p>
    <w:p>
      <w:pPr>
        <w:pStyle w:val="ListBullet"/>
      </w:pPr>
      <w:r/>
      <w:r>
        <w:rPr>
          <w:b/>
        </w:rPr>
        <w:t>Result:</w:t>
      </w:r>
      <w:r>
        <w:t xml:space="preserve"> Instant provisional re-tiering in under 120 seconds on a 2G network. Fully compliant with Data Protection Act Section 35 (Right to Human/System Intervention).</w:t>
      </w:r>
    </w:p>
    <w:p>
      <w:pPr>
        <w:pStyle w:val="Heading1"/>
      </w:pPr>
      <w:r>
        <w:t>Slide 9: AI Bill 2026 Compliance</w:t>
      </w:r>
    </w:p>
    <w:p>
      <w:pPr>
        <w:pStyle w:val="ListBullet"/>
      </w:pPr>
      <w:r>
        <w:t>We are not just fixing the algorithm; we are future-proofing it against the incoming AI Bill.</w:t>
      </w:r>
    </w:p>
    <w:p>
      <w:pPr>
        <w:pStyle w:val="ListBullet"/>
      </w:pPr>
      <w:r/>
      <w:r>
        <w:rPr>
          <w:b/>
        </w:rPr>
        <w:t>Explainability:</w:t>
      </w:r>
      <w:r>
        <w:t xml:space="preserve"> Every citizen can dial `*147*4#` and get a "SHAP receipt" explaining exactly why they were placed in their tier.</w:t>
      </w:r>
    </w:p>
    <w:p>
      <w:pPr>
        <w:pStyle w:val="ListBullet"/>
      </w:pPr>
      <w:r/>
      <w:r>
        <w:rPr>
          <w:b/>
        </w:rPr>
        <w:t>Consent:</w:t>
      </w:r>
      <w:r>
        <w:t xml:space="preserve"> Explicit data-sharing consent built into the frontend workflow.</w:t>
      </w:r>
    </w:p>
    <w:p>
      <w:pPr>
        <w:pStyle w:val="Heading1"/>
      </w:pPr>
      <w:r>
        <w:t>Slide 10: The Financial Bottom Line (Fairness Pays)</w:t>
      </w:r>
    </w:p>
    <w:p>
      <w:pPr>
        <w:pStyle w:val="ListBullet"/>
      </w:pPr>
      <w:r/>
      <w:r>
        <w:rPr>
          <w:b/>
        </w:rPr>
        <w:t>Current System:</w:t>
      </w:r>
      <w:r>
        <w:t xml:space="preserve"> High premiums + High errors = 22.7% compliance (KSh 90B revenue).</w:t>
      </w:r>
    </w:p>
    <w:p>
      <w:pPr>
        <w:pStyle w:val="ListBullet"/>
      </w:pPr>
      <w:r/>
      <w:r>
        <w:rPr>
          <w:b/>
        </w:rPr>
        <w:t>AGI System:</w:t>
      </w:r>
      <w:r>
        <w:t xml:space="preserve"> Fair premiums + High trust = 60% target compliance.</w:t>
      </w:r>
    </w:p>
    <w:p>
      <w:pPr>
        <w:pStyle w:val="ListBullet"/>
      </w:pPr>
      <w:r/>
      <w:r>
        <w:rPr>
          <w:b/>
        </w:rPr>
        <w:t xml:space="preserve">The Math: 15.5M eligible population, 9.3M enrolled at 60% target compliance × KSh 520 average contribution = KSh 58B base revenue from the informal sector alone, heavily supplemented by closing fraud loopholes and capturing hidden high-net-worth individuals.</w:t>
      </w:r>
      <w:r>
        <w:t xml:space="preserve"/>
      </w:r>
      <w:r>
        <w:rPr>
          <w:b/>
        </w:rPr>
        <w:t/>
      </w:r>
      <w:r>
        <w:t xml:space="preserve"/>
      </w:r>
    </w:p>
    <w:p>
      <w:pPr>
        <w:pStyle w:val="ListBullet"/>
      </w:pPr>
      <w:r/>
      <w:r>
        <w:rPr>
          <w:b/>
        </w:rPr>
        <w:t>The Ask:</w:t>
      </w:r>
      <w:r>
        <w:t xml:space="preserve"> Adopt the AGI Model v2.1 to restore public trust, comply with the High Court mandate, and ensure sustainable healthcare funding.</w:t>
      </w:r>
    </w:p>
    <w:p>
      <w:pPr>
        <w:pStyle w:val="Heading1"/>
      </w:pPr>
      <w:r>
        <w:t>Addendum: Resiliency &amp; Advanced Fraud Prevention</w:t>
      </w:r>
    </w:p>
    <w:p>
      <w:r>
        <w:t>To ensure the system is completely legally defensible and resilient against API failures or deliberate manipulation, the following safeguards have been integrated into SHA PMT v2.1:</w:t>
      </w:r>
    </w:p>
    <w:p>
      <w:r>
        <w:t>1. Triangulation Fallback Protocol (Offline Resiliency): If KRA, NTSA, or Safaricom APIs fail, the algorithm does not crash or default to punitive overcharging. It mathematically degrades to utilize physical, verifiable proxies (e.g., land, livestock, physical vehicle valuation) with standard depreciation applied.</w:t>
      </w:r>
    </w:p>
    <w:p>
      <w:r>
        <w:t>2. 'Digital Ghost' Detection &amp; CHP Protocol: If an applicant deliberately hides their digital footprint (claims no M-Pesa, no KRA, no NTSA) and shows zero assets to appear indigent, they are classified as a 'Digital Ghost'. They receive a provisional subsidy but are flagged for mandatory physical verification by a Community Health Promoter (CHP) within 90 days. This closes the loophole of tech-savvy individuals feigning poverty.</w:t>
      </w:r>
    </w:p>
    <w:p>
      <w:r>
        <w:t>3. Multi-SIM Concealment Risk: If an applicant declares a low-balance phone number, but Safaricom registry (via ID cross-check) shows multiple active SIM cards, the system flags a 'Multi-SIM Concealment Risk' requiring balance aggregation across all registered MSISDNs.</w:t>
      </w:r>
    </w:p>
    <w:p>
      <w:r>
        <w:t>4. Unverified Chama Treasurer Claim: The 80% Fiduciary Exemption is heavily guarded. If an applicant claims they are a Chama Treasurer to discount their liquidity, the system cross-references Safaricom/SACCO registries. If no registered group is linked to their ID/Phone, it triggers a CRITICAL 'Unverified Fiduciary Claim' flag and denies the exemption.</w:t>
      </w:r>
    </w:p>
    <w:p>
      <w:r>
        <w:t>5. Geographic Adjustments: The algorithm strictly applies 'Arid and Semi-Arid Land (ASAL)' adjustments. For example, 100 acres of land in Marsabit (arid) receives an 85% discount in valuation compared to 100 acres in Nairobi, recognizing it as illiquid capital rather than cash-equivalent wealth. Car valuations also scale by type (Standard Old vs. Luxury).</w:t>
      </w:r>
    </w:p>
    <w:p>
      <w:pPr>
        <w:pStyle w:val="Heading1"/>
      </w:pPr>
      <w:r>
        <w:t>Addendum: Data Sources &amp; Statistical Grounding</w:t>
      </w:r>
    </w:p>
    <w:p>
      <w:r>
        <w:t>To ensure the SHA Means-Testing Algorithm is fully defensible, all parameters, constraints, and multipliers are strictly grounded in official government data and regional health economic baselines:</w:t>
      </w:r>
    </w:p>
    <w:p>
      <w:r>
        <w:t>1. Demographic &amp; Household Statistics (KDHS): The system uses the Kenya Demographic and Health Survey (KDHS 2022) to set biological and statistical constraints. The national average household size is 3.9. The algorithm sets a maximum reasonable threshold of 12 dependents. Any claim exceeding this statistically improbable threshold triggers a 'Phantom Dependents' fraud flag.</w:t>
      </w:r>
    </w:p>
    <w:p>
      <w:r>
        <w:t>2. Geographic and ASAL Adjustments (CRA &amp; NDMA): The algorithm maps exactly to the 23 counties officially recognized by the Commission on Revenue Allocation (CRA) and the National Drought Management Authority (NDMA). The 85% land value discount in arid areas and 50% in semi-arid areas is justified by their classification as communal/survival assets rather than liquid real estate.</w:t>
      </w:r>
    </w:p>
    <w:p>
      <w:r>
        <w:t>3. Revenue &amp; Compliance Stress Tests (KNBS &amp; ILO): The baseline population of 15.5 million non-salaried households is derived from KNBS (Kenya National Bureau of Statistics) 2024 estimates. Compliance scenarios are based on historical NHIF engagement (Pessimistic - 30%), ILO informal sector taxation studies (Conservative - 45%), and the achieved rates of the Rwanda Community-Based Health Insurance model (Target - 60%).</w:t>
      </w:r>
    </w:p>
    <w:p>
      <w:r>
        <w:t>4. Legal &amp; Privacy Frameworks (DPA &amp; Constitution): All automated fraud escalations enforce the Data Protection Act (DPA) §35 and §39. The system mathematically prohibits automated rejections based solely on API mismatches to ensure compliance with the Constitutional right to fair administrative action (Article 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