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SHA PMT v2.1 — Executive Summary</w:t>
            </w:r>
          </w:p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B0C4DE"/>
                <w:sz w:val="19"/>
                <w:szCs w:val="19"/>
              </w:rPr>
              <w:t xml:space="preserve">One-Page Briefing for Cabinet Secretaries and Parliamentary Health Committee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color w:val="8899BB"/>
                <w:sz w:val="17"/>
                <w:szCs w:val="17"/>
              </w:rPr>
              <w:t xml:space="preserve">Peter M. Kaulani  |  June 28, 2026</w:t>
            </w:r>
          </w:p>
        </w:tc>
      </w:tr>
    </w:tbl>
    <w:p>
      <w:pPr>
        <w:spacing w:after="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 PROBLEM</w:t>
            </w:r>
          </w:p>
        </w:tc>
      </w:tr>
    </w:tbl>
    <w:p>
      <w:pPr>
        <w:spacing w:after="0" w:before="20"/>
      </w:pPr>
    </w:p>
    <w:p>
      <w:pPr>
        <w:spacing w:after="30" w:before="30"/>
        <w:ind w:left="120"/>
        <w:jc w:val="both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The current SHA means-testing algorithm (Lasso PMT) has </w:t>
      </w:r>
      <w:r>
        <w:rPr>
          <w:rFonts w:ascii="Calibri" w:cs="Calibri" w:eastAsia="Calibri" w:hAnsi="Calibri"/>
          <w:b/>
          <w:bCs/>
          <w:color w:val="C0392B"/>
          <w:sz w:val="18"/>
          <w:szCs w:val="18"/>
        </w:rPr>
        <w:t xml:space="preserve">28+ systemic flaws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that overcharge the poorest Kenyans while failing to detect wealth among the affluent. The </w:t>
      </w:r>
      <w:r>
        <w:rPr>
          <w:rFonts w:ascii="Calibri" w:cs="Calibri" w:eastAsia="Calibri" w:hAnsi="Calibri"/>
          <w:b/>
          <w:bCs/>
          <w:i/>
          <w:iCs/>
          <w:color w:val="222222"/>
          <w:sz w:val="18"/>
          <w:szCs w:val="18"/>
        </w:rPr>
        <w:t xml:space="preserve">Error by Design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investigation (May 2026) proved that citizens are denied cancer treatment and dialysis because an algorithm overpredicted their income based on roof material. The </w:t>
      </w:r>
      <w:r>
        <w:rPr>
          <w:rFonts w:ascii="Calibri" w:cs="Calibri" w:eastAsia="Calibri" w:hAnsi="Calibri"/>
          <w:b/>
          <w:bCs/>
          <w:color w:val="C0392B"/>
          <w:sz w:val="18"/>
          <w:szCs w:val="18"/>
        </w:rPr>
        <w:t xml:space="preserve">KSh 11 Billion fraud scandal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(Oct 2024 – Apr 2025) showed the system is bleeding money through undetected evasion.</w:t>
      </w:r>
    </w:p>
    <w:p>
      <w:pPr>
        <w:spacing w:after="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 SOLUTION: ADJUSTABLE GROSS INCOME (AGI) MODEL</w:t>
            </w:r>
          </w:p>
        </w:tc>
      </w:tr>
    </w:tbl>
    <w:p>
      <w:pPr>
        <w:spacing w:after="0" w:before="20"/>
      </w:pPr>
    </w:p>
    <w:p>
      <w:pPr>
        <w:spacing w:after="50" w:before="30"/>
        <w:ind w:left="120"/>
        <w:jc w:val="both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Replaces intrusive proxy variables (wall material, roof type, floor type, electricity access) with </w:t>
      </w:r>
      <w:r>
        <w:rPr>
          <w:rFonts w:ascii="Calibri" w:cs="Calibri" w:eastAsia="Calibri" w:hAnsi="Calibri"/>
          <w:b/>
          <w:bCs/>
          <w:color w:val="2E5090"/>
          <w:sz w:val="18"/>
          <w:szCs w:val="18"/>
        </w:rPr>
        <w:t xml:space="preserve">digitally verifiable income signals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triangulated across KRA, NTSA TIMS, and Safaricom M-Pesa APIs.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0"/>
        <w:gridCol w:w="5000"/>
      </w:tblGrid>
      <w:tr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3-tier urban CoL index: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Tier 1 KSh 18K, Tier 2 KSh 10K, Rural KSh 4K</w:t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Dynamic rent ceilings: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KSh 35K (T1), KSh 20K (T2) — actual rent deducted</w:t>
            </w:r>
          </w:p>
        </w:tc>
      </w:tr>
      <w:tr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Smooth indigent transition slope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replacing the KSh 131K cliff</w:t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18-flag fraud engine: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IPRS, NTSA, KRA, Safaricom cross-ref</w:t>
            </w:r>
          </w:p>
        </w:tc>
      </w:tr>
      <w:tr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8 vulnerability exemptions: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PWDs (30%), Bodabodas (50%), Seasonal, Diaspora, Refugees/IDPs, SACCO savers, Consent-withheld, Chama treasurers</w:t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Full DPA 2019 compliance: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Granular consent, human-in-the-loop, tiered data retention</w:t>
            </w:r>
          </w:p>
        </w:tc>
      </w:tr>
    </w:tbl>
    <w:p>
      <w:pPr>
        <w:spacing w:after="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00"/>
        <w:gridCol w:w="5200"/>
      </w:tblGrid>
      <w:tr>
        <w:tc>
          <w:tcPr>
            <w:tcW w:type="pct" w:w="48%"/>
            <w:tcBorders>
              <w:top w:val="none"/>
              <w:left w:val="none"/>
              <w:bottom w:val="none"/>
              <w:right w:val="single" w:color="FFFFFF" w:sz="2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REVENUE IMPACT</w:t>
            </w:r>
          </w:p>
        </w:tc>
        <w:tc>
          <w:tcPr>
            <w:tcW w:type="pct" w:w="52%"/>
            <w:tcBorders>
              <w:top w:val="none"/>
              <w:left w:val="single" w:color="FFFFFF" w:sz="2"/>
              <w:bottom w:val="none"/>
              <w:right w:val="none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LEGAL FRAMEWORK</w:t>
            </w:r>
          </w:p>
        </w:tc>
      </w:tr>
      <w:tr>
        <w:tc>
          <w:tcPr>
            <w:tcW w:type="pct" w:w="48%"/>
            <w:tcBorders>
              <w:top w:val="none"/>
              <w:left w:val="none"/>
              <w:bottom w:val="none"/>
              <w:right w:val="single" w:color="B0C4DE" w:sz="1"/>
            </w:tcBorders>
            <w:shd w:fill="F0F4FA"/>
          </w:tcPr>
          <w:p>
            <w:pPr>
              <w:spacing w:after="20" w:before="50"/>
              <w:ind w:left="12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Avg. contribution: </w:t>
            </w: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KSh 520/mo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 (↓ from 575 — fairness exemptions)</w:t>
            </w:r>
          </w:p>
          <w:p>
            <w:pPr>
              <w:spacing w:after="20" w:before="20"/>
              <w:ind w:left="12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Breakeven compliance: </w:t>
            </w: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40% (↑ from 36%)</w:t>
            </w:r>
          </w:p>
          <w:p>
            <w:pPr>
              <w:spacing w:after="20" w:before="20"/>
              <w:ind w:left="12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Projected revenue at target: </w:t>
            </w:r>
            <w:r>
              <w:rPr>
                <w:rFonts w:ascii="Calibri" w:cs="Calibri" w:eastAsia="Calibri" w:hAnsi="Calibri"/>
                <w:b/>
                <w:bCs/>
                <w:color w:val="2E5090"/>
                <w:sz w:val="17"/>
                <w:szCs w:val="17"/>
              </w:rPr>
              <w:t xml:space="preserve">KSh 4.84 B/mo</w:t>
            </w:r>
          </w:p>
          <w:p>
            <w:pPr>
              <w:spacing w:after="50" w:before="20"/>
              <w:ind w:left="12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Net uplift: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Increased voluntary compliance offsets exemption cost</w:t>
            </w:r>
          </w:p>
        </w:tc>
        <w:tc>
          <w:tcPr>
            <w:tcW w:type="pct" w:w="52%"/>
            <w:tcBorders>
              <w:top w:val="none"/>
              <w:left w:val="single" w:color="B0C4DE" w:sz="1"/>
              <w:bottom w:val="none"/>
              <w:right w:val="none"/>
            </w:tcBorders>
            <w:shd w:fill="F0F4FA"/>
          </w:tcPr>
          <w:p>
            <w:pPr>
              <w:spacing w:after="15" w:before="50"/>
              <w:ind w:left="12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B2A4A"/>
                <w:sz w:val="17"/>
                <w:szCs w:val="17"/>
              </w:rPr>
              <w:t xml:space="preserve">Dual Legal Mandate:</w:t>
            </w:r>
          </w:p>
          <w:p>
            <w:pPr>
              <w:spacing w:after="10" w:before="1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High Court unconstitutionality ruling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 (Justice Bahati Mwamuye, Mar 19, 2026) — 90-day repair window</w:t>
            </w:r>
          </w:p>
          <w:p>
            <w:pPr>
              <w:spacing w:after="10" w:before="1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CAJ Order #CAJ/2026/05/0847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 — algorithm disclosure order (complied with as of June 28, 2026)</w:t>
            </w:r>
          </w:p>
          <w:p>
            <w:pPr>
              <w:spacing w:after="10" w:before="1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3.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Awino petition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 before Constitutional &amp; Human Rights Div., Milimani — ongoing</w:t>
            </w:r>
          </w:p>
          <w:p>
            <w:pPr>
              <w:spacing w:after="50" w:before="15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6"/>
                <w:szCs w:val="16"/>
              </w:rPr>
              <w:t xml:space="preserve">Compliance: </w:t>
            </w: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Art. 27(4), DPA 2019 §32/35/39, AI Bill 2026, High Court (Justice Mwita, June 2025) no double taxation</w:t>
            </w:r>
          </w:p>
        </w:tc>
      </w:tr>
    </w:tbl>
    <w:p>
      <w:pPr>
        <w:spacing w:after="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THREE ASKS</w:t>
            </w:r>
          </w:p>
        </w:tc>
      </w:tr>
    </w:tbl>
    <w:p>
      <w:pPr>
        <w:spacing w:after="0" w:before="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9400"/>
      </w:tblGrid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  <w:shd w:fill="2E5090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  <w:shd w:fill="F0F4FA"/>
          </w:tcPr>
          <w:p>
            <w:pPr>
              <w:spacing w:after="50" w:before="5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SHA to adopt the AGI model as the v2.1 means-testing standard</w:t>
            </w:r>
          </w:p>
        </w:tc>
      </w:tr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0" w:before="10"/>
            </w:pP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0" w:before="10"/>
            </w:pPr>
          </w:p>
        </w:tc>
      </w:tr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  <w:shd w:fill="2E5090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  <w:shd w:fill="F0F4FA"/>
          </w:tcPr>
          <w:p>
            <w:pPr>
              <w:spacing w:after="50" w:before="5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Data Commissioner to issue a compliance certificate</w:t>
            </w:r>
          </w:p>
        </w:tc>
      </w:tr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0" w:before="10"/>
            </w:pP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0" w:before="10"/>
            </w:pPr>
          </w:p>
        </w:tc>
      </w:tr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  <w:shd w:fill="2E5090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  <w:shd w:fill="F0F4FA"/>
          </w:tcPr>
          <w:p>
            <w:pPr>
              <w:spacing w:after="50" w:before="5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KIPPRA to conduct an independent policy review</w:t>
            </w:r>
          </w:p>
        </w:tc>
      </w:tr>
    </w:tbl>
    <w:p>
      <w:pPr>
        <w:spacing w:after="0" w:before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C4DE"/>
                <w:sz w:val="17"/>
                <w:szCs w:val="17"/>
              </w:rPr>
              <w:t xml:space="preserve">Contact:  </w:t>
            </w: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0712260057  |  info@kenia.go.ke</w:t>
            </w:r>
          </w:p>
        </w:tc>
      </w:tr>
    </w:tbl>
    <w:sectPr>
      <w:pgSz w:w="12240" w:h="15840" w:orient="portrait"/>
      <w:pgMar w:top="60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2026-07-07T13:33:52.446Z</dcterms:created>
  <dcterms:modified xsi:type="dcterms:W3CDTF">2026-07-07T13:33:52.449Z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