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200"/>
              <w:left w:type="dxa" w:w="240"/>
              <w:bottom w:type="dxa" w:w="80"/>
              <w:right w:type="dxa" w:w="24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SHA PMT v2.1 — Executive Briefing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EC6E8"/>
                <w:sz w:val="20"/>
                <w:szCs w:val="20"/>
              </w:rPr>
              <w:t xml:space="preserve">A Reform Proposal to Fix Kenya's Health Insurance Means-Testing Algorithm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color w:val="6B9DC0"/>
                <w:sz w:val="17"/>
                <w:szCs w:val="17"/>
              </w:rPr>
              <w:t xml:space="preserve">Peter M. Kaulani  ·  KCA University  ·  June 2026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  THE PROBLEM</w:t>
            </w:r>
          </w:p>
        </w:tc>
      </w:tr>
    </w:tbl>
    <w:p>
      <w:pPr>
        <w:spacing w:after="0" w:before="30"/>
      </w:pPr>
    </w:p>
    <w:p>
      <w:pPr>
        <w:spacing w:after="60" w:before="40"/>
        <w:ind w:left="0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Social Health Authority (SHA), launched October 2024, sets health insurance premiums for Kenya's 83% informal-sector workforce using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Proxy Means Testing (PMT) algorithm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. The investigation </w:t>
      </w:r>
      <w:r>
        <w:rPr>
          <w:rFonts w:ascii="Calibri" w:cs="Calibri" w:eastAsia="Calibri" w:hAnsi="Calibri"/>
          <w:b/>
          <w:bCs/>
          <w:i/>
          <w:iCs/>
          <w:color w:val="1A1A1A"/>
          <w:sz w:val="19"/>
          <w:szCs w:val="19"/>
        </w:rPr>
        <w:t xml:space="preserve">Error by Design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(Africa Uncensored · Lighthouse Reports · The Guardian, May 2026) and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pre-deployment IDinsight report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obtained through access-to-information requests — both confirm the algorithm was known to be flawed before launch. IDinsight warned it was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"inequitable, particularly for low-income households"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depended on an out-of-date 2020 survey. SHA deployed it anyway.</w:t>
      </w:r>
    </w:p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Core Algorithm Flaws (28 identified)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M-Pesa gross velocity treated as personal income (Chama trap)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Stone walls / tile roofs add KSh 120–150K to wealth score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Electricity access penalised as "luxury" (+KSh 80K)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ASAL land and livestock valued at full national market rate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Static per-head dependent deduction (not income-proportional)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No Catastrophic Health Expenditure (CHE) deduction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B71C1C"/>
                <w:sz w:val="16"/>
                <w:szCs w:val="16"/>
              </w:rPr>
              <w:t xml:space="preserve">• No appeal mechanism embedded in model logic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0F7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Documented Real-World Impact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1565C0"/>
                <w:sz w:val="16"/>
                <w:szCs w:val="16"/>
              </w:rPr>
              <w:t xml:space="preserve">• Farmers' predicted incomes double their actual earnings (Lighthouse Reports audit)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1565C0"/>
                <w:sz w:val="16"/>
                <w:szCs w:val="16"/>
              </w:rPr>
              <w:t xml:space="preserve">• Dialysis &amp; cancer patients losing treatment access after overclassification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1565C0"/>
                <w:sz w:val="16"/>
                <w:szCs w:val="16"/>
              </w:rPr>
              <w:t xml:space="preserve">• Only 3.1M of 19M+ registrants completed means-testing by Feb 2025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1565C0"/>
                <w:sz w:val="16"/>
                <w:szCs w:val="16"/>
              </w:rPr>
              <w:t xml:space="preserve">• SHIF annual deficit: KSh 38.3 billion (Auditor-General, March 2026)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1565C0"/>
                <w:sz w:val="16"/>
                <w:szCs w:val="16"/>
              </w:rPr>
              <w:t xml:space="preserve">• KSh 11B lost to hospital-side fraud (Oct 2024–Apr 2025): adverse selection accelerates this</w:t>
            </w:r>
          </w:p>
          <w:p>
            <w:pPr>
              <w:spacing w:after="0" w:before="18"/>
              <w:ind w:left="100"/>
            </w:pPr>
            <w:r>
              <w:rPr>
                <w:rFonts w:ascii="Calibri" w:cs="Calibri" w:eastAsia="Calibri" w:hAnsi="Calibri"/>
                <w:color w:val="1565C0"/>
                <w:sz w:val="16"/>
                <w:szCs w:val="16"/>
              </w:rPr>
              <w:t xml:space="preserve">• Informal sector contributed only KSh 5.72B of KSh 57.7B collected in FY2025</w:t>
            </w:r>
          </w:p>
        </w:tc>
      </w:tr>
    </w:tbl>
    <w:p>
      <w:pPr>
        <w:spacing w:after="0" w:before="40"/>
      </w:pPr>
    </w:p>
    <w:p>
      <w:pPr>
        <w:spacing w:after="60" w:before="20"/>
        <w:ind w:left="0"/>
      </w:pPr>
      <w:r>
        <w:rPr>
          <w:rFonts w:ascii="Calibri" w:cs="Calibri" w:eastAsia="Calibri" w:hAnsi="Calibri"/>
          <w:b/>
          <w:bCs/>
          <w:color w:val="BF6000"/>
          <w:sz w:val="17"/>
          <w:szCs w:val="17"/>
        </w:rPr>
        <w:t xml:space="preserve">Note on KSh 11 Billion Fraud: 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This loss came from rogue hospitals fraudulently billing SHA on the claims side. It is a separate but related problem. The PMT reform addresses the 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enrollment side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: correct assessments → fair premiums → more voluntary enrolment → lower adverse selection → less incentive for hospital fraud.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  THE SOLUTION: ADJUSTABLE GROSS INCOME (AGI) MODEL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AC0E0"/>
                <w:sz w:val="16"/>
                <w:szCs w:val="16"/>
              </w:rPr>
              <w:t xml:space="preserve">Preserves the statutory 2.75% rate — fixes the 28 systemic flaws in the base it is applied to</w:t>
            </w:r>
          </w:p>
        </w:tc>
      </w:tr>
    </w:tbl>
    <w:p>
      <w:pPr>
        <w:spacing w:after="0" w:before="30"/>
      </w:pPr>
    </w:p>
    <w:p>
      <w:pPr>
        <w:spacing w:after="60" w:before="40"/>
        <w:ind w:left="0"/>
        <w:jc w:val="both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Replace intrusive housing proxy variables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digitally triangulated income signals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cross-referenced via KRA, NTSA TIMS, and Safaricom M-Pesa retained balance. The SHA Act 2023 §27 rate of 2.75% is preserved. No legislative amendment is required.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1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17"/>
                <w:szCs w:val="17"/>
              </w:rPr>
              <w:t xml:space="preserve">CURRENT LASSO MODEL</w:t>
            </w:r>
          </w:p>
        </w:tc>
        <w:tc>
          <w:tcPr>
            <w:tcW w:type="dxa" w:w="31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0EE90"/>
                <w:sz w:val="17"/>
                <w:szCs w:val="17"/>
              </w:rPr>
              <w:t xml:space="preserve">PROPOSED AGI v2.1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Income Signal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Gross M-Pesa velocity (over-counts)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12-month avg retained balance (true liquidity)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Housing Proxies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Stone wall +120K, tile roof +150K to score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REMOVED — Error by Design evidence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Electricity Access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Treated as luxury (+80K to score)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EXCLUDED entirely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Urban Cost of Living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Penalised as wealth signal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Deducted: 18K/mo (T1), 10K (T2), 4K (Rural)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ASAL Land/Livestock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Full national market value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Arid: 85% off; Semi-arid: 50% off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Household Dependents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Fixed KSh 4K/head deduction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8% per dependent, ASAL-adjusted cap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Chronic Illness / PWD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No recognition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40% CHE deduction; 30% PWD (Art. 54)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Bodaboda Motorcycle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Full asset value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50% commercial exemption (NTSA-verified)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Chama Treasurer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Full M-Pesa balance counted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80% fiduciary liquidity exemption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DPA Consent Rights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No pathway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§32 consent-withheld route — no penalty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Fraud Detection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Post-hoc, manual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18-flag engine: KRA × NTSA × Safaricom</w:t>
            </w:r>
          </w:p>
        </w:tc>
      </w:tr>
      <w:tr>
        <w:tc>
          <w:tcPr>
            <w:tcW w:type="dxa" w:w="3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Transparency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No receipt</w:t>
            </w:r>
          </w:p>
        </w:tc>
        <w:tc>
          <w:tcPr>
            <w:tcW w:type="dxa" w:w="31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SHAP deduction receipt per household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  IMPACT: THREE HOUSEHOLDS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HOUSEHOLD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17"/>
                <w:szCs w:val="17"/>
              </w:rPr>
              <w:t xml:space="preserve">CURRENT LASSO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0EE90"/>
                <w:sz w:val="17"/>
                <w:szCs w:val="17"/>
              </w:rPr>
              <w:t xml:space="preserve">AGI MODEL v2.1</w:t>
            </w:r>
          </w:p>
        </w:tc>
      </w:tr>
      <w:tr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Mama Wanjiku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Chama Treasurer, Kakamega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Gross M-Pesa KSh 80K/mo as income → score KSh 768K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Monthly premium: KSh 1,760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→ WRONG (overcharged &gt;5×)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Retained balance KSh 2,500; 80% fiduciary exemption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Effective AGI: KSh 6,000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Monthly premium: KSh 300 (subsidised)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→ CORRECT</w:t>
            </w:r>
          </w:p>
        </w:tc>
      </w:tr>
      <w:tr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Mzee Kamau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Pensioner, Nyeri, stone house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Stone wall +120K, tile roof +150K, electricity +80K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Score KSh 350K+ → Monthly: KSh 801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→ WRONG (no income, penalised for ancestral home)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DF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Housing variables EXCLUDED by design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Age 72, no car, balance &lt;KSh 5K → Age override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Monthly premium: KSh 300 (subsidised)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→ CORRECT</w:t>
            </w:r>
          </w:p>
        </w:tc>
      </w:tr>
      <w:tr>
        <w:tc>
          <w:tcPr>
            <w:tcW w:type="dxa" w:w="21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Nairobi Professional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KRA PIN, NTSA car, high liquidity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Some asset signals captured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Monthly: ~KSh 500–800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→ Undercharges wealthy</w:t>
            </w:r>
          </w:p>
        </w:tc>
        <w:tc>
          <w:tcPr>
            <w:tcW w:type="dxa" w:w="36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1FB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KRA income + NTSA luxury car + high retained balance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Full AGI calculation applies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Monthly: KSh 900–1,200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→ CORRECT (wealthier pays proportionately more)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4.  FISCAL IMPACT — REVENUE PROJECTIONS</w:t>
            </w:r>
          </w:p>
        </w:tc>
      </w:tr>
    </w:tbl>
    <w:p>
      <w:pPr>
        <w:spacing w:after="0" w:before="30"/>
      </w:pPr>
    </w:p>
    <w:p>
      <w:pPr>
        <w:spacing w:after="50" w:before="30"/>
        <w:ind w:left="0"/>
        <w:jc w:val="both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AGI model increases sustainable revenue by reducing adverse selection and raising voluntary compliance. Revenue projections use KCHS 2022 (KNBS), CPI-adjusted to 2025/26, and ILO informal sector compliance elasticity data. Average monthly contribution KSh 520 (2.75% blended AGI). Population base: 15.5M non-formally-salaried workers.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000"/>
        <w:gridCol w:w="1780"/>
        <w:gridCol w:w="1780"/>
      </w:tblGrid>
      <w:tr>
        <w:tc>
          <w:tcPr>
            <w:tcW w:type="dxa" w:w="19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9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Compliance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Enrolled</w:t>
            </w:r>
          </w:p>
        </w:tc>
        <w:tc>
          <w:tcPr>
            <w:tcW w:type="dxa" w:w="17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 Revenue</w:t>
            </w:r>
          </w:p>
        </w:tc>
        <w:tc>
          <w:tcPr>
            <w:tcW w:type="dxa" w:w="178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Annual Revenue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Pessimistic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30%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4.65M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KSh 2.4B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KSh 29B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Conservative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45%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6.98M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KSh 3.6B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KSh 43B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Target (Rwanda parity)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60%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9.3M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KSh 4.8B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KSh 58B</w:t>
            </w:r>
          </w:p>
        </w:tc>
      </w:tr>
      <w:tr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Optimistic</w:t>
            </w:r>
          </w:p>
        </w:tc>
        <w:tc>
          <w:tcPr>
            <w:tcW w:type="dxa" w:w="19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75%</w:t>
            </w:r>
          </w:p>
        </w:tc>
        <w:tc>
          <w:tcPr>
            <w:tcW w:type="dxa" w:w="20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11.6M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KSh 6.0B</w:t>
            </w:r>
          </w:p>
        </w:tc>
        <w:tc>
          <w:tcPr>
            <w:tcW w:type="dxa" w:w="17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KSh 72B</w:t>
            </w:r>
          </w:p>
        </w:tc>
      </w:tr>
    </w:tbl>
    <w:p>
      <w:pPr>
        <w:spacing w:after="0" w:before="30"/>
      </w:pPr>
    </w:p>
    <w:p>
      <w:pPr>
        <w:spacing w:after="40" w:before="20"/>
        <w:ind w:left="0"/>
        <w:jc w:val="both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Rwanda's Mutuelles de Santé uses income-tiered community verification (not PMT) and achieved 60% compliance. Indonesia reversed its PMT model after IDinsight documented 82% error rates. Both transitions are directly analogous to this proposal.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5.  KEY TECHNICAL INNOVATIONS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Triangulation Trinity: </w:t>
            </w: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KRA × NTSA TIMS × Safaricom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. Three independent government data sources audit every self-declaration. Fraud resistance is built in, not bolted on.</w:t>
            </w:r>
          </w:p>
        </w:tc>
        <w:tc>
          <w:tcPr>
            <w:tcW w:type="dxa" w:w="46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8 Vulnerability Exemptions: 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PWD (30%), Bodaboda (50%), Seasonal workers, Chama treasurers, Diaspora remittances, Refugees/IDPs, SACCO bypass, Consent-withheld. Each mapped to a constitutional or legal basis.</w:t>
            </w:r>
          </w:p>
        </w:tc>
      </w:tr>
      <w:tr>
        <w:tc>
          <w:tcPr>
            <w:tcW w:type="dxa" w:w="46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18-Flag Automated Fraud Engine: 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Detects phantom dependents, income splitting, false commercial claims, undeclared NTSA vehicles, multi-SIM concealment, and KRA income mismatches — all without housing inspections.</w:t>
            </w:r>
          </w:p>
        </w:tc>
        <w:tc>
          <w:tcPr>
            <w:tcW w:type="dxa" w:w="46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Smooth Indigent Transition: 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2.75% × KSh 131,000 ÷ 12 = KSh 300.21. The law's flat rate creates a mathematically smooth transition at the indigent threshold. No cliff. No jump.</w:t>
            </w:r>
          </w:p>
        </w:tc>
      </w:tr>
      <w:tr>
        <w:tc>
          <w:tcPr>
            <w:tcW w:type="dxa" w:w="46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SHAP Deduction Receipts: 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Every household receives a plain-language breakdown of every factor that changed their contribution. Constitutional compliance with Art. 35 (Access to Information).</w:t>
            </w:r>
          </w:p>
        </w:tc>
        <w:tc>
          <w:tcPr>
            <w:tcW w:type="dxa" w:w="468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7"/>
                <w:szCs w:val="17"/>
              </w:rPr>
              <w:t xml:space="preserve">Full DPA 2019 Compliance: </w:t>
            </w: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§32 consent-withheld pathway, 2-year raw data purge / 7-year outcome retention (§39), audit record per assessment, no automated penalty without human review.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6.  IMPLEMENTATION PREREQUISITES (Non-Negotiable)</w:t>
            </w:r>
          </w:p>
        </w:tc>
      </w:tr>
    </w:tbl>
    <w:p>
      <w:pPr>
        <w:spacing w:after="0" w:before="30"/>
      </w:pP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Step 1 — API MoU Framework (0–6 months):</w:t>
      </w:r>
    </w:p>
    <w:p>
      <w:pPr>
        <w:spacing w:after="20" w:before="0"/>
        <w:ind w:left="20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SHA must establish formal data-sharing Memoranda of Understanding with KRA, NTSA, and Safaricom under DPA 2019 §19. Without these three APIs, the fraud engine cannot function and the model falls back to pure self-declaration — replicating the current system's evasion vulnerability.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Step 2 — Pilot County — Recommend Nakuru (6–12 months):</w:t>
      </w:r>
    </w:p>
    <w:p>
      <w:pPr>
        <w:spacing w:after="20" w:before="0"/>
        <w:ind w:left="20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6-month live pilot in one Tier 2 county before national rollout. Nakuru offers urban-rural mix, non-ASAL context, moderate fraud risk, and existing SHA infrastructure. Pilot generates real-world data to validate model parameters against ground truth.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Step 3 — SHAP Transparency Obligation (at rollout):</w:t>
      </w:r>
    </w:p>
    <w:p>
      <w:pPr>
        <w:spacing w:after="20" w:before="0"/>
        <w:ind w:left="200"/>
        <w:jc w:val="both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Every household assessment must generate a SHAP deduction receipt — a non-technical explanation of every factor affecting their contribution. Minimum requirement for Art. 35 compliance and the Access to Information Act 2016.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7.  CONSTITUTIONAL &amp; LEGAL GROUNDING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F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Art. 27(4) — Non-discrimination</w:t>
            </w:r>
          </w:p>
        </w:tc>
        <w:tc>
          <w:tcPr>
            <w:tcW w:type="dxa" w:w="6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F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Current model produces higher error rates for women, ASAL residents, and rural poor. AGI model includes equalized-odds fairness testing across all demographic groups.</w:t>
            </w:r>
          </w:p>
        </w:tc>
      </w:tr>
      <w:tr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Art. 43 — Right to Health</w:t>
            </w:r>
          </w:p>
        </w:tc>
        <w:tc>
          <w:tcPr>
            <w:tcW w:type="dxa" w:w="6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Overcharging that drives unaffordable premiums and disenrollment directly violates the right to the highest attainable standard of health.</w:t>
            </w:r>
          </w:p>
        </w:tc>
      </w:tr>
      <w:tr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F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Art. 54 — PWD Protections</w:t>
            </w:r>
          </w:p>
        </w:tc>
        <w:tc>
          <w:tcPr>
            <w:tcW w:type="dxa" w:w="6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F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30% AGI deduction for NCPWD-registered persons. No provision exists in the current model.</w:t>
            </w:r>
          </w:p>
        </w:tc>
      </w:tr>
      <w:tr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Art. 56 — Marginalized Communities</w:t>
            </w:r>
          </w:p>
        </w:tc>
        <w:tc>
          <w:tcPr>
            <w:tcW w:type="dxa" w:w="6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40% ASAL dependency allowance cap; 85% arid land discount. Protects pastoralist communities systematically excluded by the current model.</w:t>
            </w:r>
          </w:p>
        </w:tc>
      </w:tr>
      <w:tr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F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DPA 2019</w:t>
            </w:r>
          </w:p>
        </w:tc>
        <w:tc>
          <w:tcPr>
            <w:tcW w:type="dxa" w:w="6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F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Consent-withheld pathway, tiered data retention, audit records. No automated adverse decision without human-in-the-loop review.</w:t>
            </w:r>
          </w:p>
        </w:tc>
      </w:tr>
      <w:tr>
        <w:tc>
          <w:tcPr>
            <w:tcW w:type="dxa" w:w="27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SHA Act 2023 §27 — 2.75% Rate</w:t>
            </w:r>
          </w:p>
        </w:tc>
        <w:tc>
          <w:tcPr>
            <w:tcW w:type="dxa" w:w="66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Fully preserved. The AGI model changes the income base, not the rate. No legislative amendment is required for implementation.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8.  KNOWN LIMITATIONS — HONEST ACKNOWLEDGEMENTS</w:t>
            </w:r>
          </w:p>
        </w:tc>
      </w:tr>
    </w:tbl>
    <w:p>
      <w:pPr>
        <w:spacing w:after="0" w:before="30"/>
      </w:pPr>
    </w:p>
    <w:p>
      <w:pPr>
        <w:spacing w:after="10" w:before="40"/>
        <w:ind w:left="0"/>
      </w:pPr>
      <w:r>
        <w:rPr>
          <w:rFonts w:ascii="Calibri" w:cs="Calibri" w:eastAsia="Calibri" w:hAnsi="Calibri"/>
          <w:b/>
          <w:bCs/>
          <w:color w:val="BF6000"/>
          <w:sz w:val="18"/>
          <w:szCs w:val="18"/>
        </w:rPr>
        <w:t xml:space="preserve">⚠ API Dependency Risk: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Full fraud resistance requires live KRA, NTSA, and Safaricom APIs. Until MoUs are signed, fallback mode (self-declaration + mandatory manual review within 14 days) must be the operational standard.</w:t>
      </w:r>
    </w:p>
    <w:p>
      <w:pPr>
        <w:spacing w:after="10" w:before="40"/>
        <w:ind w:left="0"/>
      </w:pPr>
      <w:r>
        <w:rPr>
          <w:rFonts w:ascii="Calibri" w:cs="Calibri" w:eastAsia="Calibri" w:hAnsi="Calibri"/>
          <w:b/>
          <w:bCs/>
          <w:color w:val="BF6000"/>
          <w:sz w:val="18"/>
          <w:szCs w:val="18"/>
        </w:rPr>
        <w:t xml:space="preserve">⚠ Rent Declaration: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Actual monthly rent is deducted up to a capped ceiling, but rent is currently self-declared and unverifiable at scale. Mitigation: cross-reference with KPLC meter addresses and county rates databases.</w:t>
      </w:r>
    </w:p>
    <w:p>
      <w:pPr>
        <w:spacing w:after="10" w:before="40"/>
        <w:ind w:left="0"/>
      </w:pPr>
      <w:r>
        <w:rPr>
          <w:rFonts w:ascii="Calibri" w:cs="Calibri" w:eastAsia="Calibri" w:hAnsi="Calibri"/>
          <w:b/>
          <w:bCs/>
          <w:color w:val="BF6000"/>
          <w:sz w:val="18"/>
          <w:szCs w:val="18"/>
        </w:rPr>
        <w:t xml:space="preserve">⚠ Cash Economy (Digital Ghosts):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Estimated 5–8% of informal workers have near-zero digital footprint. These citizens receive provisional indigent classification pending CHP physical verification within 90 days. SACCO account holders bypass this hold.</w:t>
      </w:r>
    </w:p>
    <w:p>
      <w:pPr>
        <w:spacing w:after="10" w:before="40"/>
        <w:ind w:left="0"/>
      </w:pPr>
      <w:r>
        <w:rPr>
          <w:rFonts w:ascii="Calibri" w:cs="Calibri" w:eastAsia="Calibri" w:hAnsi="Calibri"/>
          <w:b/>
          <w:bCs/>
          <w:color w:val="BF6000"/>
          <w:sz w:val="18"/>
          <w:szCs w:val="18"/>
        </w:rPr>
        <w:t xml:space="preserve">⚠ Chama Fiduciary Exemption: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The 80% fiduciary exemption prevents Chama treasurer overcharging but is open to false claims. Fraud Flag 14 (Unverified Fiduciary Claim) detects this if Safaricom group registration API is live.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9.  WHAT IS BEING REQUESTED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0–3 months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7"/>
                <w:szCs w:val="17"/>
              </w:rPr>
              <w:t xml:space="preserve">(Immediate)</w:t>
            </w:r>
          </w:p>
        </w:tc>
        <w:tc>
          <w:tcPr>
            <w:tcW w:type="dxa" w:w="7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SHA to comply with Access to Information Act 2016: release full PMT algorithm pseudocode and the IDinsight pre-deployment report. CAJ 21-day disclosure window applies (§23 ATI Act).</w:t>
            </w:r>
          </w:p>
        </w:tc>
      </w:tr>
      <w:tr>
        <w:tc>
          <w:tcPr>
            <w:tcW w:type="dxa" w:w="1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F6000"/>
                <w:sz w:val="17"/>
                <w:szCs w:val="17"/>
              </w:rPr>
              <w:t xml:space="preserve">3–12 months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BF6000"/>
                <w:sz w:val="17"/>
                <w:szCs w:val="17"/>
              </w:rPr>
              <w:t xml:space="preserve">(Medium-term)</w:t>
            </w:r>
          </w:p>
        </w:tc>
        <w:tc>
          <w:tcPr>
            <w:tcW w:type="dxa" w:w="7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Establish KRA × NTSA × Safaricom MoU framework. Commission KIPPRA independent actuarial review of AGI model parameters. Launch pilot in Nakuru County.</w:t>
            </w:r>
          </w:p>
        </w:tc>
      </w:tr>
      <w:tr>
        <w:tc>
          <w:tcPr>
            <w:tcW w:type="dxa" w:w="140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12–18 months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7"/>
                <w:szCs w:val="17"/>
              </w:rPr>
              <w:t xml:space="preserve">(Rollout)</w:t>
            </w:r>
          </w:p>
        </w:tc>
        <w:tc>
          <w:tcPr>
            <w:tcW w:type="dxa" w:w="79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National deployment with SHAP receipt per household. Parliamentary Health Committee review of PMT methodology. Annual KNBS fairness audit.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A4AE" w:sz="1"/>
              <w:left w:val="single" w:color="90A4AE" w:sz="1"/>
              <w:bottom w:val="single" w:color="90A4AE" w:sz="1"/>
              <w:right w:val="single" w:color="90A4AE" w:sz="1"/>
            </w:tcBorders>
            <w:shd w:fill="F8F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Full Technical Documentation Available on Request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SHA Algorithm v2.1 Documentation  ·  Assumptions Register  ·  SHAP Deduction Receipts (7 households)  ·  18-Flag Fraud Engine Specification  ·  Actuarial Financial Model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0A4AE"/>
                <w:sz w:val="15"/>
                <w:szCs w:val="15"/>
              </w:rPr>
              <w:t xml:space="preserve">Peter M. Kaulani  ·  KCA University, Nairobi  ·  SHA PMT Reform Initiative  ·  June 2026</w:t>
            </w:r>
          </w:p>
        </w:tc>
      </w:tr>
    </w:tbl>
    <w:sectPr>
      <w:pgSz w:w="12240" w:h="15840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2026-06-28T02:56:35.222Z</dcterms:created>
  <dcterms:modified xsi:type="dcterms:W3CDTF">2026-06-28T02:56:35.233Z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