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pct" w:w="100%"/>
            <w:tcBorders>
              <w:top w:val="none" w:sz="0"/>
              <w:left w:val="none" w:sz="0"/>
              <w:bottom w:val="none" w:sz="0"/>
              <w:right w:val="none" w:sz="0"/>
            </w:tcBorders>
            <w:shd w:fill="1B2A4A"/>
          </w:tcPr>
          <w:p>
            <w:pPr>
              <w:spacing w:after="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SHA PMT v2.1 — Executive Summary</w:t>
            </w:r>
          </w:p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B0C4DE"/>
                <w:sz w:val="19"/>
                <w:szCs w:val="19"/>
              </w:rPr>
              <w:t xml:space="preserve">One-Page Briefing for Cabinet Secretaries and Parliamentary Health Committee</w:t>
            </w:r>
          </w:p>
          <w:p>
            <w:pPr>
              <w:spacing w:after="140" w:before="0"/>
              <w:jc w:val="center"/>
            </w:pPr>
            <w:r>
              <w:rPr>
                <w:rFonts w:ascii="Calibri" w:cs="Calibri" w:eastAsia="Calibri" w:hAnsi="Calibri"/>
                <w:color w:val="8899BB"/>
                <w:sz w:val="17"/>
                <w:szCs w:val="17"/>
              </w:rPr>
              <w:t xml:space="preserve">Peter M. Kaulani  |  KCA University  |  June 27, 2026 (Updated)</w:t>
            </w:r>
          </w:p>
        </w:tc>
      </w:tr>
    </w:tbl>
    <w:p>
      <w:pPr>
        <w:spacing w:after="0"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pct" w:w="100%"/>
            <w:tcBorders>
              <w:top w:val="none" w:sz="0"/>
              <w:left w:val="none" w:sz="0"/>
              <w:bottom w:val="none" w:sz="0"/>
              <w:right w:val="none" w:sz="0"/>
            </w:tcBorders>
            <w:shd w:fill="1B2A4A"/>
          </w:tcPr>
          <w:p>
            <w:pPr>
              <w:spacing w:after="40" w:before="4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THE PROBLEM</w:t>
            </w:r>
          </w:p>
        </w:tc>
      </w:tr>
    </w:tbl>
    <w:p>
      <w:pPr>
        <w:spacing w:after="0" w:before="20"/>
      </w:pPr>
    </w:p>
    <w:p>
      <w:pPr>
        <w:spacing w:after="30" w:before="30"/>
        <w:ind w:left="120"/>
        <w:jc w:val="both"/>
      </w:pPr>
      <w:r>
        <w:rPr>
          <w:rFonts w:ascii="Calibri" w:cs="Calibri" w:eastAsia="Calibri" w:hAnsi="Calibri"/>
          <w:color w:val="222222"/>
          <w:sz w:val="18"/>
          <w:szCs w:val="18"/>
        </w:rPr>
        <w:t xml:space="preserve">The current SHA means-testing algorithm (Lasso PMT) has </w:t>
      </w:r>
      <w:r>
        <w:rPr>
          <w:rFonts w:ascii="Calibri" w:cs="Calibri" w:eastAsia="Calibri" w:hAnsi="Calibri"/>
          <w:b/>
          <w:bCs/>
          <w:color w:val="C0392B"/>
          <w:sz w:val="18"/>
          <w:szCs w:val="18"/>
        </w:rPr>
        <w:t xml:space="preserve">28+ systemic flaws</w:t>
      </w:r>
      <w:r>
        <w:rPr>
          <w:rFonts w:ascii="Calibri" w:cs="Calibri" w:eastAsia="Calibri" w:hAnsi="Calibri"/>
          <w:color w:val="222222"/>
          <w:sz w:val="18"/>
          <w:szCs w:val="18"/>
        </w:rPr>
        <w:t xml:space="preserve"> that overcharge the poorest Kenyans while failing to detect wealth among the affluent. The </w:t>
      </w:r>
      <w:r>
        <w:rPr>
          <w:rFonts w:ascii="Calibri" w:cs="Calibri" w:eastAsia="Calibri" w:hAnsi="Calibri"/>
          <w:b/>
          <w:bCs/>
          <w:i/>
          <w:iCs/>
          <w:color w:val="222222"/>
          <w:sz w:val="18"/>
          <w:szCs w:val="18"/>
        </w:rPr>
        <w:t xml:space="preserve">Error by Design</w:t>
      </w:r>
      <w:r>
        <w:rPr>
          <w:rFonts w:ascii="Calibri" w:cs="Calibri" w:eastAsia="Calibri" w:hAnsi="Calibri"/>
          <w:color w:val="222222"/>
          <w:sz w:val="18"/>
          <w:szCs w:val="18"/>
        </w:rPr>
        <w:t xml:space="preserve"> investigation (May 2026) proved that citizens are denied cancer treatment and dialysis because an algorithm overpredicted their income based on roof material. The </w:t>
      </w:r>
      <w:r>
        <w:rPr>
          <w:rFonts w:ascii="Calibri" w:cs="Calibri" w:eastAsia="Calibri" w:hAnsi="Calibri"/>
          <w:b/>
          <w:bCs/>
          <w:color w:val="C0392B"/>
          <w:sz w:val="18"/>
          <w:szCs w:val="18"/>
        </w:rPr>
        <w:t xml:space="preserve">KSh 11 Billion fraud scandal</w:t>
      </w:r>
      <w:r>
        <w:rPr>
          <w:rFonts w:ascii="Calibri" w:cs="Calibri" w:eastAsia="Calibri" w:hAnsi="Calibri"/>
          <w:color w:val="222222"/>
          <w:sz w:val="18"/>
          <w:szCs w:val="18"/>
        </w:rPr>
        <w:t xml:space="preserve"> (Oct 2024 – Apr 2025) showed the system is bleeding money through undetected evasion.</w:t>
      </w:r>
    </w:p>
    <w:p>
      <w:pPr>
        <w:spacing w:after="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pct" w:w="100%"/>
            <w:tcBorders>
              <w:top w:val="none" w:sz="0"/>
              <w:left w:val="none" w:sz="0"/>
              <w:bottom w:val="none" w:sz="0"/>
              <w:right w:val="none" w:sz="0"/>
            </w:tcBorders>
            <w:shd w:fill="1B2A4A"/>
          </w:tcPr>
          <w:p>
            <w:pPr>
              <w:spacing w:after="40" w:before="4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THE SOLUTION: ADJUSTABLE GROSS INCOME (AGI) MODEL</w:t>
            </w:r>
          </w:p>
        </w:tc>
      </w:tr>
    </w:tbl>
    <w:p>
      <w:pPr>
        <w:spacing w:after="0" w:before="20"/>
      </w:pPr>
    </w:p>
    <w:p>
      <w:pPr>
        <w:spacing w:after="50" w:before="30"/>
        <w:ind w:left="120"/>
        <w:jc w:val="both"/>
      </w:pPr>
      <w:r>
        <w:rPr>
          <w:rFonts w:ascii="Calibri" w:cs="Calibri" w:eastAsia="Calibri" w:hAnsi="Calibri"/>
          <w:color w:val="222222"/>
          <w:sz w:val="18"/>
          <w:szCs w:val="18"/>
        </w:rPr>
        <w:t xml:space="preserve">Replaces intrusive proxy variables (wall material, roof type, floor type, electricity access) with </w:t>
      </w:r>
      <w:r>
        <w:rPr>
          <w:rFonts w:ascii="Calibri" w:cs="Calibri" w:eastAsia="Calibri" w:hAnsi="Calibri"/>
          <w:b/>
          <w:bCs/>
          <w:color w:val="2E5090"/>
          <w:sz w:val="18"/>
          <w:szCs w:val="18"/>
        </w:rPr>
        <w:t xml:space="preserve">digitally verifiable income signals</w:t>
      </w:r>
      <w:r>
        <w:rPr>
          <w:rFonts w:ascii="Calibri" w:cs="Calibri" w:eastAsia="Calibri" w:hAnsi="Calibri"/>
          <w:color w:val="222222"/>
          <w:sz w:val="18"/>
          <w:szCs w:val="18"/>
        </w:rPr>
        <w:t xml:space="preserve"> triangulated across KRA, NTSA TIMS, and Safaricom M-Pesa APIs.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0"/>
        <w:gridCol w:w="5000"/>
      </w:tblGrid>
      <w:tr>
        <w:tc>
          <w:tcPr>
            <w:tcW w:type="pct" w:w="50%"/>
            <w:tcBorders>
              <w:top w:val="none" w:sz="0"/>
              <w:left w:val="none" w:sz="0"/>
              <w:bottom w:val="single" w:color="B0C4DE" w:sz="1"/>
              <w:right w:val="none" w:sz="0"/>
            </w:tcBorders>
          </w:tcPr>
          <w:p>
            <w:pPr>
              <w:spacing w:after="40" w:before="40"/>
              <w:ind w:left="80"/>
            </w:pPr>
            <w:r>
              <w:rPr>
                <w:rFonts w:ascii="Calibri" w:cs="Calibri" w:eastAsia="Calibri" w:hAnsi="Calibri"/>
                <w:color w:val="2E5090"/>
                <w:sz w:val="17"/>
                <w:szCs w:val="17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3-tier urban CoL index: </w:t>
            </w:r>
            <w:r>
              <w:rPr>
                <w:rFonts w:ascii="Calibri" w:cs="Calibri" w:eastAsia="Calibri" w:hAnsi="Calibri"/>
                <w:color w:val="555555"/>
                <w:sz w:val="17"/>
                <w:szCs w:val="17"/>
              </w:rPr>
              <w:t xml:space="preserve">Tier 1 KSh 18K, Tier 2 KSh 10K, Rural KSh 4K</w:t>
            </w:r>
          </w:p>
        </w:tc>
        <w:tc>
          <w:tcPr>
            <w:tcW w:type="pct" w:w="50%"/>
            <w:tcBorders>
              <w:top w:val="none" w:sz="0"/>
              <w:left w:val="none" w:sz="0"/>
              <w:bottom w:val="single" w:color="B0C4DE" w:sz="1"/>
              <w:right w:val="none" w:sz="0"/>
            </w:tcBorders>
          </w:tcPr>
          <w:p>
            <w:pPr>
              <w:spacing w:after="40" w:before="40"/>
              <w:ind w:left="80"/>
            </w:pPr>
            <w:r>
              <w:rPr>
                <w:rFonts w:ascii="Calibri" w:cs="Calibri" w:eastAsia="Calibri" w:hAnsi="Calibri"/>
                <w:color w:val="2E5090"/>
                <w:sz w:val="17"/>
                <w:szCs w:val="17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Dynamic rent ceilings: </w:t>
            </w:r>
            <w:r>
              <w:rPr>
                <w:rFonts w:ascii="Calibri" w:cs="Calibri" w:eastAsia="Calibri" w:hAnsi="Calibri"/>
                <w:color w:val="555555"/>
                <w:sz w:val="17"/>
                <w:szCs w:val="17"/>
              </w:rPr>
              <w:t xml:space="preserve">KSh 35K (T1), KSh 20K (T2) — actual rent deducted</w:t>
            </w:r>
          </w:p>
        </w:tc>
      </w:tr>
      <w:tr>
        <w:tc>
          <w:tcPr>
            <w:tcW w:type="pct" w:w="50%"/>
            <w:tcBorders>
              <w:top w:val="none" w:sz="0"/>
              <w:left w:val="none" w:sz="0"/>
              <w:bottom w:val="single" w:color="B0C4DE" w:sz="1"/>
              <w:right w:val="none" w:sz="0"/>
            </w:tcBorders>
          </w:tcPr>
          <w:p>
            <w:pPr>
              <w:spacing w:after="40" w:before="40"/>
              <w:ind w:left="80"/>
            </w:pPr>
            <w:r>
              <w:rPr>
                <w:rFonts w:ascii="Calibri" w:cs="Calibri" w:eastAsia="Calibri" w:hAnsi="Calibri"/>
                <w:color w:val="2E5090"/>
                <w:sz w:val="17"/>
                <w:szCs w:val="17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Smooth indigent transition slope </w:t>
            </w:r>
            <w:r>
              <w:rPr>
                <w:rFonts w:ascii="Calibri" w:cs="Calibri" w:eastAsia="Calibri" w:hAnsi="Calibri"/>
                <w:color w:val="555555"/>
                <w:sz w:val="17"/>
                <w:szCs w:val="17"/>
              </w:rPr>
              <w:t xml:space="preserve">replacing the KSh 131K cliff</w:t>
            </w:r>
          </w:p>
        </w:tc>
        <w:tc>
          <w:tcPr>
            <w:tcW w:type="pct" w:w="50%"/>
            <w:tcBorders>
              <w:top w:val="none" w:sz="0"/>
              <w:left w:val="none" w:sz="0"/>
              <w:bottom w:val="single" w:color="B0C4DE" w:sz="1"/>
              <w:right w:val="none" w:sz="0"/>
            </w:tcBorders>
          </w:tcPr>
          <w:p>
            <w:pPr>
              <w:spacing w:after="40" w:before="40"/>
              <w:ind w:left="80"/>
            </w:pPr>
            <w:r>
              <w:rPr>
                <w:rFonts w:ascii="Calibri" w:cs="Calibri" w:eastAsia="Calibri" w:hAnsi="Calibri"/>
                <w:color w:val="2E5090"/>
                <w:sz w:val="17"/>
                <w:szCs w:val="17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18-flag fraud engine: </w:t>
            </w:r>
            <w:r>
              <w:rPr>
                <w:rFonts w:ascii="Calibri" w:cs="Calibri" w:eastAsia="Calibri" w:hAnsi="Calibri"/>
                <w:color w:val="555555"/>
                <w:sz w:val="17"/>
                <w:szCs w:val="17"/>
              </w:rPr>
              <w:t xml:space="preserve">IPRS, NTSA, KRA, Safaricom cross-ref</w:t>
            </w:r>
          </w:p>
        </w:tc>
      </w:tr>
      <w:tr>
        <w:tc>
          <w:tcPr>
            <w:tcW w:type="pct" w:w="50%"/>
            <w:tcBorders>
              <w:top w:val="none" w:sz="0"/>
              <w:left w:val="none" w:sz="0"/>
              <w:bottom w:val="single" w:color="B0C4DE" w:sz="1"/>
              <w:right w:val="none" w:sz="0"/>
            </w:tcBorders>
          </w:tcPr>
          <w:p>
            <w:pPr>
              <w:spacing w:after="40" w:before="40"/>
              <w:ind w:left="80"/>
            </w:pPr>
            <w:r>
              <w:rPr>
                <w:rFonts w:ascii="Calibri" w:cs="Calibri" w:eastAsia="Calibri" w:hAnsi="Calibri"/>
                <w:color w:val="2E5090"/>
                <w:sz w:val="17"/>
                <w:szCs w:val="17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8 vulnerability exemptions: </w:t>
            </w:r>
            <w:r>
              <w:rPr>
                <w:rFonts w:ascii="Calibri" w:cs="Calibri" w:eastAsia="Calibri" w:hAnsi="Calibri"/>
                <w:color w:val="555555"/>
                <w:sz w:val="17"/>
                <w:szCs w:val="17"/>
              </w:rPr>
              <w:t xml:space="preserve">PWDs (30%), Bodabodas (50%), Seasonal, Diaspora, Refugees/IDPs, SACCO savers, Consent-withheld, Chama treasurers</w:t>
            </w:r>
          </w:p>
        </w:tc>
        <w:tc>
          <w:tcPr>
            <w:tcW w:type="pct" w:w="50%"/>
            <w:tcBorders>
              <w:top w:val="none" w:sz="0"/>
              <w:left w:val="none" w:sz="0"/>
              <w:bottom w:val="single" w:color="B0C4DE" w:sz="1"/>
              <w:right w:val="none" w:sz="0"/>
            </w:tcBorders>
          </w:tcPr>
          <w:p>
            <w:pPr>
              <w:spacing w:after="40" w:before="40"/>
              <w:ind w:left="80"/>
            </w:pPr>
            <w:r>
              <w:rPr>
                <w:rFonts w:ascii="Calibri" w:cs="Calibri" w:eastAsia="Calibri" w:hAnsi="Calibri"/>
                <w:color w:val="2E5090"/>
                <w:sz w:val="17"/>
                <w:szCs w:val="17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Full DPA 2019 compliance: </w:t>
            </w:r>
            <w:r>
              <w:rPr>
                <w:rFonts w:ascii="Calibri" w:cs="Calibri" w:eastAsia="Calibri" w:hAnsi="Calibri"/>
                <w:color w:val="555555"/>
                <w:sz w:val="17"/>
                <w:szCs w:val="17"/>
              </w:rPr>
              <w:t xml:space="preserve">Granular consent, human-in-the-loop, tiered data retention</w:t>
            </w:r>
          </w:p>
        </w:tc>
      </w:tr>
    </w:tbl>
    <w:p>
      <w:pPr>
        <w:spacing w:after="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00"/>
        <w:gridCol w:w="5200"/>
      </w:tblGrid>
      <w:tr>
        <w:tc>
          <w:tcPr>
            <w:tcW w:type="pct" w:w="48%"/>
            <w:tcBorders>
              <w:top w:val="none"/>
              <w:left w:val="none"/>
              <w:bottom w:val="none"/>
              <w:right w:val="single" w:color="FFFFFF" w:sz="2"/>
            </w:tcBorders>
            <w:shd w:fill="1B2A4A"/>
          </w:tcPr>
          <w:p>
            <w:pPr>
              <w:spacing w:after="40" w:before="4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REVENUE IMPACT</w:t>
            </w:r>
          </w:p>
        </w:tc>
        <w:tc>
          <w:tcPr>
            <w:tcW w:type="pct" w:w="52%"/>
            <w:tcBorders>
              <w:top w:val="none"/>
              <w:left w:val="single" w:color="FFFFFF" w:sz="2"/>
              <w:bottom w:val="none"/>
              <w:right w:val="none"/>
            </w:tcBorders>
            <w:shd w:fill="1B2A4A"/>
          </w:tcPr>
          <w:p>
            <w:pPr>
              <w:spacing w:after="40" w:before="4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LEGAL FRAMEWORK</w:t>
            </w:r>
          </w:p>
        </w:tc>
      </w:tr>
      <w:tr>
        <w:tc>
          <w:tcPr>
            <w:tcW w:type="pct" w:w="48%"/>
            <w:tcBorders>
              <w:top w:val="none"/>
              <w:left w:val="none"/>
              <w:bottom w:val="none"/>
              <w:right w:val="single" w:color="B0C4DE" w:sz="1"/>
            </w:tcBorders>
            <w:shd w:fill="F0F4FA"/>
          </w:tcPr>
          <w:p>
            <w:pPr>
              <w:spacing w:after="20" w:before="50"/>
              <w:ind w:left="120"/>
            </w:pPr>
            <w:r>
              <w:rPr>
                <w:rFonts w:ascii="Calibri" w:cs="Calibri" w:eastAsia="Calibri" w:hAnsi="Calibri"/>
                <w:color w:val="2E5090"/>
                <w:sz w:val="17"/>
                <w:szCs w:val="17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Avg. contribution: </w:t>
            </w:r>
            <w:r>
              <w:rPr>
                <w:rFonts w:ascii="Calibri" w:cs="Calibri" w:eastAsia="Calibri" w:hAnsi="Calibri"/>
                <w:color w:val="222222"/>
                <w:sz w:val="17"/>
                <w:szCs w:val="17"/>
              </w:rPr>
              <w:t xml:space="preserve">KSh 520/mo</w:t>
            </w:r>
            <w:r>
              <w:rPr>
                <w:rFonts w:ascii="Calibri" w:cs="Calibri" w:eastAsia="Calibri" w:hAnsi="Calibri"/>
                <w:color w:val="555555"/>
                <w:sz w:val="17"/>
                <w:szCs w:val="17"/>
              </w:rPr>
              <w:t xml:space="preserve"> (↓ from 575 — fairness exemptions)</w:t>
            </w:r>
          </w:p>
          <w:p>
            <w:pPr>
              <w:spacing w:after="20" w:before="20"/>
              <w:ind w:left="120"/>
            </w:pPr>
            <w:r>
              <w:rPr>
                <w:rFonts w:ascii="Calibri" w:cs="Calibri" w:eastAsia="Calibri" w:hAnsi="Calibri"/>
                <w:color w:val="2E5090"/>
                <w:sz w:val="17"/>
                <w:szCs w:val="17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Breakeven compliance: </w:t>
            </w:r>
            <w:r>
              <w:rPr>
                <w:rFonts w:ascii="Calibri" w:cs="Calibri" w:eastAsia="Calibri" w:hAnsi="Calibri"/>
                <w:color w:val="222222"/>
                <w:sz w:val="17"/>
                <w:szCs w:val="17"/>
              </w:rPr>
              <w:t xml:space="preserve">40% (↑ from 36%)</w:t>
            </w:r>
          </w:p>
          <w:p>
            <w:pPr>
              <w:spacing w:after="20" w:before="20"/>
              <w:ind w:left="120"/>
            </w:pPr>
            <w:r>
              <w:rPr>
                <w:rFonts w:ascii="Calibri" w:cs="Calibri" w:eastAsia="Calibri" w:hAnsi="Calibri"/>
                <w:color w:val="2E5090"/>
                <w:sz w:val="17"/>
                <w:szCs w:val="17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Projected revenue at target: </w:t>
            </w:r>
            <w:r>
              <w:rPr>
                <w:rFonts w:ascii="Calibri" w:cs="Calibri" w:eastAsia="Calibri" w:hAnsi="Calibri"/>
                <w:b/>
                <w:bCs/>
                <w:color w:val="2E5090"/>
                <w:sz w:val="17"/>
                <w:szCs w:val="17"/>
              </w:rPr>
              <w:t xml:space="preserve">KSh 4.84 B/mo</w:t>
            </w:r>
          </w:p>
          <w:p>
            <w:pPr>
              <w:spacing w:after="50" w:before="20"/>
              <w:ind w:left="120"/>
            </w:pPr>
            <w:r>
              <w:rPr>
                <w:rFonts w:ascii="Calibri" w:cs="Calibri" w:eastAsia="Calibri" w:hAnsi="Calibri"/>
                <w:color w:val="2E5090"/>
                <w:sz w:val="17"/>
                <w:szCs w:val="17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Net uplift: </w:t>
            </w:r>
            <w:r>
              <w:rPr>
                <w:rFonts w:ascii="Calibri" w:cs="Calibri" w:eastAsia="Calibri" w:hAnsi="Calibri"/>
                <w:color w:val="555555"/>
                <w:sz w:val="17"/>
                <w:szCs w:val="17"/>
              </w:rPr>
              <w:t xml:space="preserve">Increased voluntary compliance offsets exemption cost</w:t>
            </w:r>
          </w:p>
        </w:tc>
        <w:tc>
          <w:tcPr>
            <w:tcW w:type="pct" w:w="52%"/>
            <w:tcBorders>
              <w:top w:val="none"/>
              <w:left w:val="single" w:color="B0C4DE" w:sz="1"/>
              <w:bottom w:val="none"/>
              <w:right w:val="none"/>
            </w:tcBorders>
            <w:shd w:fill="F0F4FA"/>
          </w:tcPr>
          <w:p>
            <w:pPr>
              <w:spacing w:after="15" w:before="50"/>
              <w:ind w:left="12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B2A4A"/>
                <w:sz w:val="17"/>
                <w:szCs w:val="17"/>
              </w:rPr>
              <w:t xml:space="preserve">Dual Legal Mandate:</w:t>
            </w:r>
          </w:p>
          <w:p>
            <w:pPr>
              <w:spacing w:after="10" w:before="10"/>
              <w:ind w:left="2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C0392B"/>
                <w:sz w:val="17"/>
                <w:szCs w:val="17"/>
              </w:rPr>
              <w:t xml:space="preserve">High Court unconstitutionality ruling</w:t>
            </w:r>
            <w:r>
              <w:rPr>
                <w:rFonts w:ascii="Calibri" w:cs="Calibri" w:eastAsia="Calibri" w:hAnsi="Calibri"/>
                <w:color w:val="555555"/>
                <w:sz w:val="17"/>
                <w:szCs w:val="17"/>
              </w:rPr>
              <w:t xml:space="preserve"> (Justice Bahati Mwamuye, Mar 19, 2026) — 90-day repair window</w:t>
            </w:r>
          </w:p>
          <w:p>
            <w:pPr>
              <w:spacing w:after="10" w:before="10"/>
              <w:ind w:left="2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2.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CAJ Order #CAJ/2026/05/0847</w:t>
            </w:r>
            <w:r>
              <w:rPr>
                <w:rFonts w:ascii="Calibri" w:cs="Calibri" w:eastAsia="Calibri" w:hAnsi="Calibri"/>
                <w:color w:val="555555"/>
                <w:sz w:val="17"/>
                <w:szCs w:val="17"/>
              </w:rPr>
              <w:t xml:space="preserve"> — full algorithm disclosure by June 5, 2026</w:t>
            </w:r>
          </w:p>
          <w:p>
            <w:pPr>
              <w:spacing w:after="10" w:before="10"/>
              <w:ind w:left="2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3.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Awino petition</w:t>
            </w:r>
            <w:r>
              <w:rPr>
                <w:rFonts w:ascii="Calibri" w:cs="Calibri" w:eastAsia="Calibri" w:hAnsi="Calibri"/>
                <w:color w:val="555555"/>
                <w:sz w:val="17"/>
                <w:szCs w:val="17"/>
              </w:rPr>
              <w:t xml:space="preserve"> transferred to Constitutional &amp; Human Rights Div., Milimani (June 9, 2026)</w:t>
            </w:r>
          </w:p>
          <w:p>
            <w:pPr>
              <w:spacing w:after="50" w:before="15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6"/>
                <w:szCs w:val="16"/>
              </w:rPr>
              <w:t xml:space="preserve">Compliance: </w:t>
            </w: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Art. 27(4), DPA 2019 §32/35/39, AI Bill 2026, High Court (Justice Mwita, June 2025) no double taxation</w:t>
            </w:r>
          </w:p>
        </w:tc>
      </w:tr>
    </w:tbl>
    <w:p>
      <w:pPr>
        <w:spacing w:after="0"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pct" w:w="100%"/>
            <w:tcBorders>
              <w:top w:val="none" w:sz="0"/>
              <w:left w:val="none" w:sz="0"/>
              <w:bottom w:val="none" w:sz="0"/>
              <w:right w:val="none" w:sz="0"/>
            </w:tcBorders>
            <w:shd w:fill="1B2A4A"/>
          </w:tcPr>
          <w:p>
            <w:pPr>
              <w:spacing w:after="40" w:before="4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THREE ASKS</w:t>
            </w:r>
          </w:p>
        </w:tc>
      </w:tr>
    </w:tbl>
    <w:p>
      <w:pPr>
        <w:spacing w:after="0" w:before="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9400"/>
      </w:tblGrid>
      <w:tr>
        <w:tc>
          <w:tcPr>
            <w:tcW w:type="pct" w:w="6%"/>
            <w:tcBorders>
              <w:top w:val="none" w:sz="0"/>
              <w:left w:val="none" w:sz="0"/>
              <w:bottom w:val="none" w:sz="0"/>
              <w:right w:val="none" w:sz="0"/>
            </w:tcBorders>
            <w:shd w:fill="2E5090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pct" w:w="94%"/>
            <w:tcBorders>
              <w:top w:val="none" w:sz="0"/>
              <w:left w:val="none" w:sz="0"/>
              <w:bottom w:val="none" w:sz="0"/>
              <w:right w:val="none" w:sz="0"/>
            </w:tcBorders>
            <w:shd w:fill="F0F4FA"/>
          </w:tcPr>
          <w:p>
            <w:pPr>
              <w:spacing w:after="50" w:before="5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SHA to adopt the AGI model as the v2.1 means-testing standard</w:t>
            </w:r>
          </w:p>
        </w:tc>
      </w:tr>
      <w:tr>
        <w:tc>
          <w:tcPr>
            <w:tcW w:type="pct" w:w="6%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10" w:before="10"/>
            </w:pPr>
          </w:p>
        </w:tc>
        <w:tc>
          <w:tcPr>
            <w:tcW w:type="pct" w:w="94%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10" w:before="10"/>
            </w:pPr>
          </w:p>
        </w:tc>
      </w:tr>
      <w:tr>
        <w:tc>
          <w:tcPr>
            <w:tcW w:type="pct" w:w="6%"/>
            <w:tcBorders>
              <w:top w:val="none" w:sz="0"/>
              <w:left w:val="none" w:sz="0"/>
              <w:bottom w:val="none" w:sz="0"/>
              <w:right w:val="none" w:sz="0"/>
            </w:tcBorders>
            <w:shd w:fill="2E5090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pct" w:w="94%"/>
            <w:tcBorders>
              <w:top w:val="none" w:sz="0"/>
              <w:left w:val="none" w:sz="0"/>
              <w:bottom w:val="none" w:sz="0"/>
              <w:right w:val="none" w:sz="0"/>
            </w:tcBorders>
            <w:shd w:fill="F0F4FA"/>
          </w:tcPr>
          <w:p>
            <w:pPr>
              <w:spacing w:after="50" w:before="5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Data Commissioner to issue a compliance certificate</w:t>
            </w:r>
          </w:p>
        </w:tc>
      </w:tr>
      <w:tr>
        <w:tc>
          <w:tcPr>
            <w:tcW w:type="pct" w:w="6%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10" w:before="10"/>
            </w:pPr>
          </w:p>
        </w:tc>
        <w:tc>
          <w:tcPr>
            <w:tcW w:type="pct" w:w="94%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10" w:before="10"/>
            </w:pPr>
          </w:p>
        </w:tc>
      </w:tr>
      <w:tr>
        <w:tc>
          <w:tcPr>
            <w:tcW w:type="pct" w:w="6%"/>
            <w:tcBorders>
              <w:top w:val="none" w:sz="0"/>
              <w:left w:val="none" w:sz="0"/>
              <w:bottom w:val="none" w:sz="0"/>
              <w:right w:val="none" w:sz="0"/>
            </w:tcBorders>
            <w:shd w:fill="2E5090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pct" w:w="94%"/>
            <w:tcBorders>
              <w:top w:val="none" w:sz="0"/>
              <w:left w:val="none" w:sz="0"/>
              <w:bottom w:val="none" w:sz="0"/>
              <w:right w:val="none" w:sz="0"/>
            </w:tcBorders>
            <w:shd w:fill="F0F4FA"/>
          </w:tcPr>
          <w:p>
            <w:pPr>
              <w:spacing w:after="50" w:before="5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KIPPRA to conduct an independent policy review</w:t>
            </w:r>
          </w:p>
        </w:tc>
      </w:tr>
    </w:tbl>
    <w:p>
      <w:pPr>
        <w:spacing w:after="0" w:before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pct" w:w="100%"/>
            <w:tcBorders>
              <w:top w:val="none" w:sz="0"/>
              <w:left w:val="none" w:sz="0"/>
              <w:bottom w:val="none" w:sz="0"/>
              <w:right w:val="none" w:sz="0"/>
            </w:tcBorders>
            <w:shd w:fill="1B2A4A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C4DE"/>
                <w:sz w:val="17"/>
                <w:szCs w:val="17"/>
              </w:rPr>
              <w:t xml:space="preserve">Contact:  </w:t>
            </w: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0712260057  |  2507765@students.kcau.ac.ke</w:t>
            </w:r>
          </w:p>
        </w:tc>
      </w:tr>
    </w:tbl>
    <w:sectPr>
      <w:pgSz w:w="12240" w:h="15840" w:orient="portrait"/>
      <w:pgMar w:top="600" w:right="720" w:bottom="5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2026-06-28T17:02:46.426Z</dcterms:created>
  <dcterms:modified xsi:type="dcterms:W3CDTF">2026-06-28T17:02:46.428Z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