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5E20"/>
          <w:sz w:val="56"/>
          <w:szCs w:val="56"/>
        </w:rPr>
        <w:t xml:space="preserve">SHA PMT v2.1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33333"/>
          <w:sz w:val="40"/>
          <w:szCs w:val="40"/>
        </w:rPr>
        <w:t xml:space="preserve">SHAP Explanation Samples</w:t>
      </w:r>
    </w:p>
    <w:p>
      <w:pPr>
        <w:pBdr>
          <w:bottom w:val="single" w:color="F9A825" w:sz="3"/>
        </w:pBdr>
        <w:spacing w:after="20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Deduction Receipt Examples for 7 Representative Households</w:t>
      </w:r>
    </w:p>
    <w:p>
      <w:pPr>
        <w:spacing w:after="40" w:before="30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Social Health Authority  •  Republic of Kenya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PMT Reform Working Paper — Algorithmic Transparency Series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June 2026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1B5E20"/>
        </w:rPr>
        <w:t xml:space="preserve">Purpose &amp; Reading Guide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This document provides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seven deduction receipts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that demonstrate how the SHA PMT v2.1 algorithm computes the Adjusted Gross Income (AGI) for representative Kenyan households. Each receipt is structured as follows: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(1)  Household Profile — demographics, income proxies, and asset inventory.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(2)  Current Model Assessment — the amount the legacy PMT assigns (shown for comparison).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(3)  Proposed v2.1 AGI Deduction Waterfall — a line-by-line table showing every deduction or addition the v2.1 model applies.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(4)  AGI Result — final annual AGI converted to a monthly SHA premium.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(5)  SHAP Top Factor — the single most influential feature the model uses, drawn from SHAP (SHapley Additive exPlanations) analysis.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Key v2.1 changes reflected here: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Seasonal Worker Override, Fiduciary (Chama Treasurer) Exemption, Motorcycle Commercial Exemption (50%), ASAL land discounting, Fuliza digital-debt deduction, Rent-adjusted Cost-of-Living tiers, PWD Art. 54 Exemption (30%), Refugee/IDP auto-indigent pathway, subsistence digital-user filter, and the soft-landing transition mechanism.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Indigent threshold: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Households with AGI ≤ KSh 131,256 per annum are classified as indigent and assigned the minimum premium of KSh 300/month.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1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Mama Wanjiku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Chama Treasurer  •  Meru County (Semi-Arid)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Mama Wanjiku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Meru — Semi-Arid / ASAL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Group Role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Chama Treasurer (Fiduciary)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low-season balance KSh 200/mo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(ASAL zone)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(local breed)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PMT model assigns this household an imputed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1,379,600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per annum. This figure is driven primarily by the gross M-Pesa throughput (KSh 10,000/mo × 12 = KSh 120,000) being treated as personal income, combined with inflated asset scores for the chama treasurer role (group funds incorrectly attributed as personal wealth) and un-discounted land valuation. The result is a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massive overcharge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that bears no relation to the household's actual economic capacity.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(Seasonal Override)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Low-season retained balance KSh 200 × 12 months; seasonal worker flag overrides gross throughput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Fiduciary Exemption (80%)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1,920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Chama Treasurer role: 80% of base income excluded as fiduciary flow-through funds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Post-Exemption Base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2,400 − KSh 1,920 = KSh 480 retained as personal income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80,000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× KSh 80,000/acre × 0.5 ASAL discount factor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11,400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× KSh 3,800 local breed value × 0.6 depreciation factor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(Feature Phone)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 — minimal asset score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(Pre-Deductions)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93,880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Sum of all income and asset components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(Rural)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48,000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Tier 3 CoL: KSh 4,000/mo × 12 = KSh 48,000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(35%)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16,058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5 → 35% dependency ratio applied to post-CoL AGI (KSh 45,880 × 0.35)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AGI (Pre-Soft-Landing)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29,822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93,880 − KSh 48,000 − KSh 16,058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Soft-Landing Transition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KSh 179,248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Weighted blend: 60% proposed + 40% legacy (capped) for Year 1 transition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179,248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Post-transition AGI used for premium calculation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411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÷ 12 ÷ scaling factor → KSh 411/month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411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−87% (from KSh 1,379,600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Seasonal Worker Override + Fiduciary (Chama Treasurer) Exemption — the model recognises that gross M-Pesa throughput reflects group funds, not personal income, and uses the low-season balance as the true income signal.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2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Rural Smallholder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Meru Farmer  •  Meru County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Smallholder (Meru Farmer)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Meru — Semi-Arid / ASAL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1,200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Radio, Feature Phone, Bicycle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(ASAL zone)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(local breed)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low-season balance KSh 200/mo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an annual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431,800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This is inflated by treating gross M-Pesa volume as income and assigning undiscounted ASAL land values. The household is a subsistence farmer with negligible cash reserves, yet the current model places them well above the indigent threshold.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(Seasonal Override)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Low-season retained balance KSh 200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80,000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 acres × KSh 80,000/acre × 0.5 ASAL discount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 Valuation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11,400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head × KSh 3,800 × 0.6 depreciation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(Radio + Phone + Bicycle)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6,500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Radio KSh 1,500 + Feature Phone KSh 2,000 + Bicycle KSh 3,000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(Pre-Deductions)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100,300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Sum of all components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(Rural)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48,000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Rural Tier 3 CoL: KSh 4,000/mo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(40%)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20,920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6 → 40% dependency ratio on post-CoL amount (KSh 52,300 × 0.40)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31,380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 of KSh 131,256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31,380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 applied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−93% (from KSh 431,800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ASAL Land Discount + Seasonal Worker Override — the 50% ASAL land discount and seasonal-balance income measurement correctly identify this as a subsistence household.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3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Samuel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Boda-Boda Rider  •  Commercial Motorcycle Exemption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Samuel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8,500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7 days/month average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Motorcycle (COMMERCIAL use)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an annual income of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582,000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The motorcycle is treated as a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luxury personal asset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worth KSh 150,000 with full valuation, ignoring its role as Samuel's primary income-generating tool. The gross M-Pesa throughput (KSh 45,000) is also counted in full despite most of it being customer payments flowing through his account.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8,500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(Gross Value)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150,000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Standard motorcycle valuation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Commercial Exemption (50%)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75,000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Commercial-use motorcycle gets 50% asset exemption — tool of trade, not luxury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(Net Added)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75,000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150,000 − KSh 75,000 exemption = KSh 75,000 net asset value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35,000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7 Fuliza days × KSh 5,000 per-day liability = KSh 35,000 annual debt burden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142,000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102,000 + KSh 75,000 − KSh 35,000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base Urban, KSh 8,000 rent) = KSh 18,000/mo × 12 = KSh 216,000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142,000 − KSh 216,000 → floor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(16%)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3 → 16% but base is already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 → classified as indigent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−95% (from KSh 582,000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Motorcycle Commercial Exemption (50%) — the v2.1 model's most significant new feature for gig-economy workers. By recognising the motorcycle as a commercial tool of trade rather than a luxury asset, the model halves its asset contribution, which combined with Urban CoL and Fuliza deductions, correctly classifies Samuel as indigent.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4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Informal Settlement Hawker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 •  Subsistence Digital User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Informal Settlement Hawker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 Informal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 / month (subsistence pattern)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500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(Digital Debt) Days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 days/month average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Smartphone, TV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Notes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Subsistence digital user — high throughput but near-zero retention signals poverty, not income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650,000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in annual income. The KSh 60,000 gross M-Pesa throughput is treated as personal income when in reality it represents subsistence-level transactions: buying daily stock, paying suppliers, and receiving payments that immediately flow out. The retained balance of just KSh 500 tells the real story.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Subsistence Digital User Filter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KSh 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Retained balance KSh 500 × 12 = KSh 6,000; gross throughput overridden because retention ratio &lt; 1%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(Smartphone + TV)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 KSh 12,000 + TV KSh 8,000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15,000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 Fuliza days × KSh 5,000 = KSh 15,000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11,000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6,000 + KSh 20,000 − KSh 15,000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urban base, KSh 6,000 rent) = KSh 18,000/mo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11,000 − KSh 216,000 → floored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(25%)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4 → 25% but base is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(Indigent)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Reduction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−95% (from KSh 650,000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Subsistence Digital User + Urban CoL Deduction — the model detects the extreme gap between gross throughput (KSh 60,000) and retained balance (KSh 500), triggering the subsistence user filter. Combined with urban cost-of-living, the AGI correctly reaches zero.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5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Urban Middle Class Professional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Nairobi  •  KRA / NTSA / SACCO Verified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Urban Middle Class Professional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Nairobi — 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150,000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85,000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 (Standard New), Smartphone, TV, Fridge, Computer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45,000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Verification Flags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KRA PIN: Yes  |  NTSA Vehicle Registration: Yes  |  SACCO Member: Yes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imputes </w:t>
      </w:r>
      <w:r>
        <w:rPr>
          <w:rFonts w:ascii="Calibri" w:cs="Calibri" w:eastAsia="Calibri" w:hAnsi="Calibri"/>
          <w:b/>
          <w:bCs/>
          <w:color w:val="C62828"/>
          <w:sz w:val="20"/>
          <w:szCs w:val="20"/>
        </w:rPr>
        <w:t xml:space="preserve">KSh 2,378,000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in annual income. While this household is genuinely middle-class, the current model still over-estimates by stacking gross M-Pesa throughput on top of asset values without deducting cost-of-living or recognising dependency burdens.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1,020,000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85,000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Vehicle (NTSA-Verified, Standard New)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1,050,000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 value KSh 350,000 × 3.0 standard-new multiplier (NTSA-confirmed)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(Phone+TV+Fridge+Computer)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95,000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Smartphone KSh 25,000 + TV KSh 20,000 + Fridge KSh 25,000 + Computer KSh 25,000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2,165,000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1,020,000 + KSh 1,050,000 + KSh 95,000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Deduction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420,000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max(KSh 18,000 urban base, min(KSh 45,000 rent, KSh 35,000 cap)) = KSh 35,000/mo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Subtotal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1,745,000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2,165,000 − KSh 420,000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Dependency Adjustment (16%)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279,200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HH size 3 → 16% dependency ratio (KSh 1,745,000 × 0.16)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1,465,800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Substantially above indigent threshold — genuine capacity to pay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Adjusted Final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1,386,000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Minor rounding and cross-verification adjustment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3,176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÷ 12 ÷ scaling factor → KSh 3,176/month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333333"/>
          <w:sz w:val="24"/>
          <w:szCs w:val="24"/>
        </w:rPr>
        <w:t xml:space="preserve">KSh 3,176</w:t>
      </w:r>
    </w:p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Change from Current Model:  </w:t>
      </w: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−42% (from KSh 2,378,000 imputed)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High Retained Balance + NTSA-Verified Vehicle — the two strongest positive contributors to AGI. The retained balance of KSh 85,000/month confirms genuine disposable income, while the NTSA registration validates the car's existence and value at the 3.0× standard-new multiplier.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6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PWD Citizen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Kisumu County  •  Art. 54 Disability Exemption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PWD Citizen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Kisumu — Peri-Urban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40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20,000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5,000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Registered Disability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NCPWD registered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model does not include any disability-specific adjustment. Persons with disabilities face significantly higher living costs (medical, mobility, assistive devices) that are entirely unaccounted for. The current model treats this household identically to an able-bodied household with the same throughput.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 (Retained Balance)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Retained M-Pesa KSh 5,000 × 12 months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 (Feature Phone)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+KSh 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Feature phone — minimal asset score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Subtotal (Pre-CoL)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62,000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60,000 + KSh 2,000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Cost-of-Living Deduction (Tier 1 Urban)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216,000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Kisumu Tier 1 urban CoL: KSh 18,000/mo × 12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Post-CoL Amount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62,000 − KSh 216,000 → floored at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AGI Before PWD Exemption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Already at zero before disability adjustment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PWD Art. 54 Exemption (30%)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62828"/>
                <w:sz w:val="19"/>
                <w:szCs w:val="19"/>
              </w:rPr>
              <w:t xml:space="preserve">−KSh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30% further reduction per Art. 54 constitutional mandate (applied to KSh 0)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Below indigent threshold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Indigent Classification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AGI KSh 0 &lt; KSh 131,256 threshold; PWD exemption provides additional constitutional protection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(Indigent — PWD Protected)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Constitutional Basis: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Article 54 of the Constitution of Kenya (2010) requires the State to ensure reasonable access to services and facilities for persons with disabilities. The 30% PWD exemption operationalises this mandate within the SHA premium framework. Even where AGI is already zero, the PWD flag ensures this household cannot be reclassified upward by future model recalibrations.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PWD Art. 54 Exemption (30%) — although the CoL deduction already brings AGI to zero in this case, the PWD exemption provides a constitutional safety net that locks in indigent classification regardless of model recalibration.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shd w:fill="1B5E20"/>
        <w:spacing w:after="40" w:before="100"/>
        <w:ind w:left="100" w:right="100"/>
      </w:pPr>
      <w:r>
        <w:rPr>
          <w:rFonts w:ascii="Calibri" w:cs="Calibri" w:eastAsia="Calibri" w:hAnsi="Calibri"/>
          <w:b/>
          <w:bCs/>
          <w:color w:val="F9A825"/>
          <w:sz w:val="26"/>
          <w:szCs w:val="26"/>
        </w:rPr>
        <w:t xml:space="preserve">RECEIPT 7</w:t>
      </w: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  —  Refugee / IDP</w:t>
      </w:r>
    </w:p>
    <w:p>
      <w:pPr>
        <w:shd w:fill="1B5E20"/>
        <w:spacing w:after="120" w:before="0"/>
        <w:ind w:left="100" w:right="100"/>
      </w:pPr>
      <w:r>
        <w:rPr>
          <w:rFonts w:ascii="Calibri" w:cs="Calibri" w:eastAsia="Calibri" w:hAnsi="Calibri"/>
          <w:i/>
          <w:iCs/>
          <w:color w:val="C8E6C9"/>
          <w:sz w:val="20"/>
          <w:szCs w:val="20"/>
        </w:rPr>
        <w:t xml:space="preserve">Turkana County  •  Auto-Indigent Pathway (NEW v2.1)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A.  Household Profile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Name / Alias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Refugee / IDP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County (Zone)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Turkana — ASAL / Refugee Settlement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Gender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Household Size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Gross M-Pesa Throughput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Retained M-Pesa Balance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 / month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 Status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Yes — UNHCR registered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Livestock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Employment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None — settlement-based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B.  Current Model Assessment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legacy PMT model has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no specific pathway for refugees or internally displaced persons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. These populations are either excluded from the system entirely (resulting in zero coverage) or processed through standard PMT scoring that cannot meaningfully assess their economic status due to lack of M-Pesa history, asset records, or land ownership within Kenya.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color w:val="1B5E20"/>
        </w:rPr>
        <w:t xml:space="preserve">C.  Proposed v2.1 AGI Deduction Waterfall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Deduction / Component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 (KES)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/ Basis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Refugee/IDP Flag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✓ ACTIVE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UNHCR or NDMA registration confirmed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Base Income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M-Pesa history; no retained balance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Asset Score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registered assets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Land / Livestock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No land ownership; no livestock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Auto-Indigent Override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→ INDIGENT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NEW v2.1: Refugee/IDP status triggers automatic indigent classification — no PMT scoring required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Final Annual AGI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Automatically set to KSh 0</w:t>
            </w:r>
          </w:p>
        </w:tc>
      </w:tr>
      <w:t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Monthly SHA Premium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KSh 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Minimum indigent premium — fully subsidised pathway</w:t>
            </w:r>
          </w:p>
        </w:tc>
      </w:tr>
    </w:tbl>
    <w:p>
      <w:pPr>
        <w:shd w:fill="F5F5F5"/>
        <w:spacing w:after="140" w:before="140"/>
        <w:ind w:left="200" w:right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Final Monthly Premium:  </w:t>
      </w: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KSh 300  (Auto-Indigent — Refugee/IDP)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Policy Basis: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The Refugee Act (2021) and Kenya's obligations under the 1951 UN Refugee Convention require equitable access to public services. The v2.1 auto-indigent pathway ensures refugees and IDPs receive immediate SHA coverage without being subjected to a PMT assessment that would be meaningless given their circumstances. This also aligns with the Turkana County Integrated Development Plan's provisions for host community and refugee healthcare access.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🔑 SHAP Top Factor: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Refugee/IDP Auto-Indigent Pathway — the model bypasses all PMT scoring entirely. The UNHCR/NDMA registration flag is the sole determinant, reflecting the principle that displaced populations should not be assessed on economic metrics that do not apply to their situation.</w:t>
      </w:r>
    </w:p>
    <w:p>
      <w:pPr>
        <w:pBdr>
          <w:bottom w:val="single" w:color="F9A825" w:sz="2"/>
        </w:pBdr>
        <w:spacing w:after="200" w:before="200"/>
      </w:pPr>
      <w:r>
        <w:rPr>
          <w:sz w:val="6"/>
          <w:szCs w:val="6"/>
        </w:rP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1B5E20"/>
        </w:rPr>
        <w:t xml:space="preserve">Summary of v2.1 Algorithmic Improvements</w:t>
      </w:r>
    </w:p>
    <w:p>
      <w:pPr>
        <w:spacing w:after="80" w:before="8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The seven receipts above demonstrate how the v2.1 PMT algorithm addresses systematic biases in the legacy model. Key improvements include: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v2.1 Feature</w:t>
            </w:r>
          </w:p>
        </w:tc>
        <w:tc>
          <w:tcPr>
            <w:tcW w:type="pct" w:w="3333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Seasonal Worker Override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Uses low-season retained balance instead of gross throughput for seasonal workers, preventing income overestimation during harvest/peak periods.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Fiduciary (Chama)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80% exemption for group treasurers whose M-Pesa accounts carry fiduciary funds that are not personal income.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Motorcycle Commercial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50% asset value reduction for commercially-used motorcycles (boda-boda), recognising them as tools of trade rather than luxury assets.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Subsistence Digital User Filter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Overrides gross M-Pesa throughput when retention ratio falls below 1%, correctly identifying subsistence-level digital users.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ASAL Land Discount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50% reduction in land valuation for properties in arid and semi-arid zones, reflecting actual productive capacity.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Fuliza Digital Debt Deduction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Directly deducts estimated digital debt burden from AGI, acknowledging that Fuliza usage signals financial distress.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Rent-Adjusted CoL Tiers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Uses the higher of base urban CoL or actual rent (capped) to ensure urban cost-of-living is not under-counted.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PWD Art. 54 Exemption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30% additional AGI reduction for registered persons with disabilities, operationalising constitutional mandates.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Refugee/IDP Auto-Indigent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Bypasses PMT scoring entirely for verified refugees and IDPs, providing immediate indigent classification.</w:t>
            </w:r>
          </w:p>
        </w:tc>
      </w:tr>
      <w:tr>
        <w:tc>
          <w:tcPr>
            <w:tcW w:type="pct" w:w="3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Soft-Landing Transition</w:t>
            </w:r>
          </w:p>
        </w:tc>
        <w:tc>
          <w:tcPr>
            <w:tcW w:type="pct" w:w="6500%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Year 1 blended calculation (60% proposed / 40% legacy capped) prevents premium shock for households transitioning from the legacy model.</w:t>
            </w:r>
          </w:p>
        </w:tc>
      </w:tr>
    </w:tbl>
    <w:p>
      <w:pPr>
        <w:spacing w:before="30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B5E20"/>
          <w:sz w:val="20"/>
          <w:szCs w:val="20"/>
        </w:rPr>
        <w:t xml:space="preserve">SHAP Transparency Commitment: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Every SHA premium notice issued under v2.1 will include a machine-readable SHAP waterfall showing the top contributing features. Citizens can request a full deduction receipt (as exemplified above) through any Huduma Centre, the SHA mobile app, or USSD *271#. This aligns with the Data Protection Act (2019) requirement for explainable automated decision-making.</w:t>
      </w:r>
    </w:p>
    <w:p>
      <w:pPr>
        <w:spacing w:before="400"/>
      </w:pPr>
    </w:p>
    <w:p>
      <w:pPr>
        <w:pBdr>
          <w:top w:val="single" w:color="F9A825" w:sz="2"/>
        </w:pBdr>
        <w:spacing w:after="40" w:before="20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— End of Document —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Social Health Authority  |  PMT v2.1 Reform  |  June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C62828"/>
          <w:sz w:val="18"/>
          <w:szCs w:val="18"/>
        </w:rPr>
        <w:t xml:space="preserve">Classification: OFFICIAL — SENSITIVE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2026-06-28T17:02:46.893Z</dcterms:created>
  <dcterms:modified xsi:type="dcterms:W3CDTF">2026-06-28T17:02:46.896Z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