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  <w:shd w:fill="1B2A4A"/>
          </w:tcPr>
          <w:p>
            <w:pPr>
              <w:spacing w:after="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SHA PMT v2.1 — Executive Summary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19"/>
                <w:szCs w:val="19"/>
              </w:rPr>
              <w:t xml:space="preserve">One-Page Briefing for Cabinet Secretaries and Parliamentary Health Committee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color w:val="8899BB"/>
                <w:sz w:val="17"/>
                <w:szCs w:val="17"/>
              </w:rPr>
              <w:t xml:space="preserve">Peter M. Kaulani  |  June 28, 2026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  <w:shd w:fill="1B2A4A"/>
          </w:tcPr>
          <w:p>
            <w:pPr>
              <w:spacing w:after="40" w:before="4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PROBLEM</w:t>
            </w:r>
          </w:p>
        </w:tc>
      </w:tr>
    </w:tbl>
    <w:p>
      <w:pPr>
        <w:spacing w:after="0" w:before="20"/>
      </w:pPr>
    </w:p>
    <w:p>
      <w:pPr>
        <w:spacing w:after="30" w:before="30"/>
        <w:ind w:left="120"/>
        <w:jc w:val="both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The current SHA means-testing algorithm (Lasso PMT) has 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28+ systemic flaws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that overcharge the poorest Kenyans while failing to detect wealth among the affluent. The </w:t>
      </w:r>
      <w:r>
        <w:rPr>
          <w:rFonts w:ascii="Calibri" w:cs="Calibri" w:eastAsia="Calibri" w:hAnsi="Calibri"/>
          <w:b/>
          <w:bCs/>
          <w:i/>
          <w:iCs/>
          <w:color w:val="222222"/>
          <w:sz w:val="18"/>
          <w:szCs w:val="18"/>
        </w:rPr>
        <w:t xml:space="preserve">Error by Design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investigation (May 2026) proved that citizens are denied cancer treatment and dialysis because an algorithm overpredicted their income based on roof material. The 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KSh 11 Billion fraud scandal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(Oct 2024 – Apr 2025) showed the system is bleeding money through undetected evasion.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  <w:shd w:fill="1B2A4A"/>
          </w:tcPr>
          <w:p>
            <w:pPr>
              <w:spacing w:after="40" w:before="4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SOLUTION: ADJUSTABLE GROSS INCOME (AGI) MODEL</w:t>
            </w:r>
          </w:p>
        </w:tc>
      </w:tr>
    </w:tbl>
    <w:p>
      <w:pPr>
        <w:spacing w:after="0" w:before="20"/>
      </w:pPr>
    </w:p>
    <w:p>
      <w:pPr>
        <w:spacing w:after="50" w:before="30"/>
        <w:ind w:left="120"/>
        <w:jc w:val="both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Replaces intrusive proxy variables (wall material, roof type, floor type, electricity access) with </w:t>
      </w:r>
      <w:r>
        <w:rPr>
          <w:rFonts w:ascii="Calibri" w:cs="Calibri" w:eastAsia="Calibri" w:hAnsi="Calibri"/>
          <w:b/>
          <w:bCs/>
          <w:color w:val="2E5090"/>
          <w:sz w:val="18"/>
          <w:szCs w:val="18"/>
        </w:rPr>
        <w:t xml:space="preserve">digitally verifiable income signals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triangulated across KRA, NTSA TIMS, and Safaricom M-Pesa APIs.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00"/>
      </w:tblGrid>
      <w:tr>
        <w:tc>
          <w:tcPr>
            <w:tcW w:type="pct" w:w="50%"/>
            <w:tcBorders>
              <w:top w:val="none" w:sz="0"/>
              <w:left w:val="none" w:sz="0"/>
              <w:bottom w:val="single" w:color="B0C4DE" w:sz="1"/>
              <w:right w:val="none" w:sz="0"/>
            </w:tcBorders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3-tier urban CoL index: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Tier 1 KSh 18K, Tier 2 KSh 10K, Rural KSh 4K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single" w:color="B0C4DE" w:sz="1"/>
              <w:right w:val="none" w:sz="0"/>
            </w:tcBorders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Dynamic rent ceilings: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KSh 35K (T1), KSh 20K (T2) — actual rent deducted</w:t>
            </w:r>
          </w:p>
        </w:tc>
      </w:tr>
      <w:tr>
        <w:tc>
          <w:tcPr>
            <w:tcW w:type="pct" w:w="50%"/>
            <w:tcBorders>
              <w:top w:val="none" w:sz="0"/>
              <w:left w:val="none" w:sz="0"/>
              <w:bottom w:val="single" w:color="B0C4DE" w:sz="1"/>
              <w:right w:val="none" w:sz="0"/>
            </w:tcBorders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Smooth indigent transition slope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replacing the KSh 131K cliff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single" w:color="B0C4DE" w:sz="1"/>
              <w:right w:val="none" w:sz="0"/>
            </w:tcBorders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18-flag fraud engine: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IPRS, NTSA, KRA, Safaricom cross-ref</w:t>
            </w:r>
          </w:p>
        </w:tc>
      </w:tr>
      <w:tr>
        <w:tc>
          <w:tcPr>
            <w:tcW w:type="pct" w:w="50%"/>
            <w:tcBorders>
              <w:top w:val="none" w:sz="0"/>
              <w:left w:val="none" w:sz="0"/>
              <w:bottom w:val="single" w:color="B0C4DE" w:sz="1"/>
              <w:right w:val="none" w:sz="0"/>
            </w:tcBorders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8 vulnerability exemptions: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PWDs (30%), Bodabodas (50%), Seasonal, Diaspora, Refugees/IDPs, SACCO savers, Consent-withheld, Chama treasurers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single" w:color="B0C4DE" w:sz="1"/>
              <w:right w:val="none" w:sz="0"/>
            </w:tcBorders>
          </w:tcPr>
          <w:p>
            <w:pPr>
              <w:spacing w:after="40" w:before="40"/>
              <w:ind w:left="8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Full DPA 2019 compliance: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Granular consent, human-in-the-loop, tiered data retention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5200"/>
      </w:tblGrid>
      <w:tr>
        <w:tc>
          <w:tcPr>
            <w:tcW w:type="pct" w:w="48%"/>
            <w:tcBorders>
              <w:top w:val="none"/>
              <w:left w:val="none"/>
              <w:bottom w:val="none"/>
              <w:right w:val="single" w:color="FFFFFF" w:sz="2"/>
            </w:tcBorders>
            <w:shd w:fill="1B2A4A"/>
          </w:tcPr>
          <w:p>
            <w:pPr>
              <w:spacing w:after="40" w:before="4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 IMPACT</w:t>
            </w:r>
          </w:p>
        </w:tc>
        <w:tc>
          <w:tcPr>
            <w:tcW w:type="pct" w:w="52%"/>
            <w:tcBorders>
              <w:top w:val="none"/>
              <w:left w:val="single" w:color="FFFFFF" w:sz="2"/>
              <w:bottom w:val="none"/>
              <w:right w:val="none"/>
            </w:tcBorders>
            <w:shd w:fill="1B2A4A"/>
          </w:tcPr>
          <w:p>
            <w:pPr>
              <w:spacing w:after="40" w:before="4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LEGAL FRAMEWORK</w:t>
            </w:r>
          </w:p>
        </w:tc>
      </w:tr>
      <w:tr>
        <w:tc>
          <w:tcPr>
            <w:tcW w:type="pct" w:w="48%"/>
            <w:tcBorders>
              <w:top w:val="none"/>
              <w:left w:val="none"/>
              <w:bottom w:val="none"/>
              <w:right w:val="single" w:color="B0C4DE" w:sz="1"/>
            </w:tcBorders>
            <w:shd w:fill="F0F4FA"/>
          </w:tcPr>
          <w:p>
            <w:pPr>
              <w:spacing w:after="20" w:before="50"/>
              <w:ind w:left="12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Avg. contribution: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KSh 520/mo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(↓ from 575 — fairness exemptions)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Breakeven compliance: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40% (↑ from 36%)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Projected revenue at target: </w:t>
            </w:r>
            <w:r>
              <w:rPr>
                <w:rFonts w:ascii="Calibri" w:cs="Calibri" w:eastAsia="Calibri" w:hAnsi="Calibri"/>
                <w:b/>
                <w:bCs/>
                <w:color w:val="2E5090"/>
                <w:sz w:val="17"/>
                <w:szCs w:val="17"/>
              </w:rPr>
              <w:t xml:space="preserve">KSh 4.84 B/mo</w:t>
            </w:r>
          </w:p>
          <w:p>
            <w:pPr>
              <w:spacing w:after="50" w:before="20"/>
              <w:ind w:left="120"/>
            </w:pPr>
            <w:r>
              <w:rPr>
                <w:rFonts w:ascii="Calibri" w:cs="Calibri" w:eastAsia="Calibri" w:hAnsi="Calibri"/>
                <w:color w:val="2E509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Net uplift: 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Increased voluntary compliance offsets exemption cost</w:t>
            </w:r>
          </w:p>
        </w:tc>
        <w:tc>
          <w:tcPr>
            <w:tcW w:type="pct" w:w="52%"/>
            <w:tcBorders>
              <w:top w:val="none"/>
              <w:left w:val="single" w:color="B0C4DE" w:sz="1"/>
              <w:bottom w:val="none"/>
              <w:right w:val="none"/>
            </w:tcBorders>
            <w:shd w:fill="F0F4FA"/>
          </w:tcPr>
          <w:p>
            <w:pPr>
              <w:spacing w:after="15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2A4A"/>
                <w:sz w:val="17"/>
                <w:szCs w:val="17"/>
              </w:rPr>
              <w:t xml:space="preserve">Dual Legal Mandate:</w:t>
            </w:r>
          </w:p>
          <w:p>
            <w:pPr>
              <w:spacing w:after="10" w:before="1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High Court unconstitutionality ruling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(Justice Bahati Mwamuye, Mar 19, 2026) — 90-day repair window</w:t>
            </w:r>
          </w:p>
          <w:p>
            <w:pPr>
              <w:spacing w:after="10" w:before="1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CAJ Order #CAJ/2026/05/0847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— algorithm disclosure order (complied with as of June 28, 2026)</w:t>
            </w:r>
          </w:p>
          <w:p>
            <w:pPr>
              <w:spacing w:after="10" w:before="1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Awino petition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before Constitutional &amp; Human Rights Div., Milimani — ongoing</w:t>
            </w:r>
          </w:p>
          <w:p>
            <w:pPr>
              <w:spacing w:after="50" w:before="15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Compliance: </w:t>
            </w: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Art. 27(4), DPA 2019 §32/35/39, AI Bill 2026, High Court (Justice Mwita, June 2025) no double taxation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  <w:shd w:fill="1B2A4A"/>
          </w:tcPr>
          <w:p>
            <w:pPr>
              <w:spacing w:after="40" w:before="4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THREE ASKS</w:t>
            </w:r>
          </w:p>
        </w:tc>
      </w:tr>
    </w:tbl>
    <w:p>
      <w:pPr>
        <w:spacing w:after="0" w:before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400"/>
      </w:tblGrid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  <w:shd w:fill="2E5090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94%"/>
            <w:tcBorders>
              <w:top w:val="none" w:sz="0"/>
              <w:left w:val="none" w:sz="0"/>
              <w:bottom w:val="none" w:sz="0"/>
              <w:right w:val="none" w:sz="0"/>
            </w:tcBorders>
            <w:shd w:fill="F0F4FA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SHA to adopt the AGI model as the v2.1 means-testing standard</w:t>
            </w: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0" w:before="10"/>
            </w:pPr>
          </w:p>
        </w:tc>
        <w:tc>
          <w:tcPr>
            <w:tcW w:type="pct" w:w="94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0" w:before="10"/>
            </w:pP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  <w:shd w:fill="2E5090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94%"/>
            <w:tcBorders>
              <w:top w:val="none" w:sz="0"/>
              <w:left w:val="none" w:sz="0"/>
              <w:bottom w:val="none" w:sz="0"/>
              <w:right w:val="none" w:sz="0"/>
            </w:tcBorders>
            <w:shd w:fill="F0F4FA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Data Commissioner to issue a compliance certificate</w:t>
            </w: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0" w:before="10"/>
            </w:pPr>
          </w:p>
        </w:tc>
        <w:tc>
          <w:tcPr>
            <w:tcW w:type="pct" w:w="94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0" w:before="10"/>
            </w:pPr>
          </w:p>
        </w:tc>
      </w:tr>
      <w:tr>
        <w:tc>
          <w:tcPr>
            <w:tcW w:type="pct" w:w="6%"/>
            <w:tcBorders>
              <w:top w:val="none" w:sz="0"/>
              <w:left w:val="none" w:sz="0"/>
              <w:bottom w:val="none" w:sz="0"/>
              <w:right w:val="none" w:sz="0"/>
            </w:tcBorders>
            <w:shd w:fill="2E5090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94%"/>
            <w:tcBorders>
              <w:top w:val="none" w:sz="0"/>
              <w:left w:val="none" w:sz="0"/>
              <w:bottom w:val="none" w:sz="0"/>
              <w:right w:val="none" w:sz="0"/>
            </w:tcBorders>
            <w:shd w:fill="F0F4FA"/>
          </w:tcPr>
          <w:p>
            <w:pPr>
              <w:spacing w:after="50" w:before="5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KIPPRA to conduct an independent policy review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  <w:shd w:fill="1B2A4A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C4DE"/>
                <w:sz w:val="17"/>
                <w:szCs w:val="17"/>
              </w:rPr>
              <w:t xml:space="preserve">Contact: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0712260057  |  info@kenia.go.ke</w:t>
            </w:r>
          </w:p>
        </w:tc>
      </w:tr>
    </w:tbl>
    <w:sectPr>
      <w:pgSz w:w="12240" w:h="15840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2026-07-14T01:42:19.298Z</dcterms:created>
  <dcterms:modified xsi:type="dcterms:W3CDTF">2026-07-14T01:42:19.304Z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