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Algorithmic Blind Spots &amp; Gaps (SHA Means Testing)</w:t>
      </w:r>
    </w:p>
    <w:p>
      <w:r>
        <w:t xml:space="preserve">While the implementation of the PMT v2.1 algorithm resolves significant structural biases and proxy inaccuracies present in the baseline Lasso model, several known blind spots remain. These gaps represent edge cases where the algorithm may still misclassify citizens or fail to capture true economic capacity.</w:t>
      </w:r>
    </w:p>
    <w:p>
      <w:pPr>
        <w:pStyle w:val="Heading2"/>
      </w:pPr>
      <w:r>
        <w:t xml:space="preserve">1. The Agrarian Land Valuation Paradox</w:t>
      </w:r>
    </w:p>
    <w:p>
      <w:r>
        <w:t xml:space="preserve">Currently, the algorithm assesses land ownership using a static ASAL_COUNTIES boolean check to apply an 80% discount to pastoralist counties.
</w:t>
      </w:r>
      <w:r>
        <w:rPr>
          <w:b/>
          <w:bCs/>
        </w:rPr>
        <w:t xml:space="preserve">• The Gap: </w:t>
      </w:r>
      <w:r>
        <w:t xml:space="preserve">This binary classification ignores intra-county variations. A citizen owning 2 acres of highly fertile, irrigated land in Kiambu is treated the same as a citizen owning 2 acres of barren, non-arable land in a dry sub-county of Kiambu.
</w:t>
      </w:r>
      <w:r>
        <w:rPr>
          <w:b/>
          <w:bCs/>
        </w:rPr>
        <w:t xml:space="preserve">• The Risk: </w:t>
      </w:r>
      <w:r>
        <w:t xml:space="preserve">Overcharging subsistence farmers on poor soil, while undercharging commercial farmers with high-yield crops.
</w:t>
      </w:r>
      <w:r>
        <w:rPr>
          <w:b/>
          <w:bCs/>
        </w:rPr>
        <w:t xml:space="preserve">• Future Solution: </w:t>
      </w:r>
      <w:r>
        <w:t xml:space="preserve">Integrate geospatial data layers mapping soil arability and localized rainfall metrics to land parcels via the Ministry of Lands.</w:t>
      </w:r>
    </w:p>
    <w:p>
      <w:pPr>
        <w:pStyle w:val="Heading2"/>
      </w:pPr>
      <w:r>
        <w:t xml:space="preserve">2. Unregistered Informal Debt</w:t>
      </w:r>
    </w:p>
    <w:p>
      <w:r>
        <w:t xml:space="preserve">The algorithm heavily penalizes digital debt (Fuliza, M-Shwari defaults) by deducting it from the AGI, acknowledging that borrowing for consumption indicates financial distress.
</w:t>
      </w:r>
      <w:r>
        <w:rPr>
          <w:b/>
          <w:bCs/>
        </w:rPr>
        <w:t xml:space="preserve">• The Gap: </w:t>
      </w:r>
      <w:r>
        <w:t xml:space="preserve">The model cannot see unregistered, informal debt such as borrowing from local shopkeepers, family members, or unlicensed shylocks.
</w:t>
      </w:r>
      <w:r>
        <w:rPr>
          <w:b/>
          <w:bCs/>
        </w:rPr>
        <w:t xml:space="preserve">• The Risk: </w:t>
      </w:r>
      <w:r>
        <w:t xml:space="preserve">Citizens trapped in informal debt spirals may appear to have higher net liquidity than they actually do, leading to over-assessment of their SHA contributions.
</w:t>
      </w:r>
      <w:r>
        <w:rPr>
          <w:b/>
          <w:bCs/>
        </w:rPr>
        <w:t xml:space="preserve">• Future Solution: </w:t>
      </w:r>
      <w:r>
        <w:t xml:space="preserve">Use secondary KRA indicators (e.g., zero turnover filings) alongside prolonged periods of low M-Pesa balances to infer high informal debt burdens.</w:t>
      </w:r>
    </w:p>
    <w:p>
      <w:pPr>
        <w:pStyle w:val="Heading2"/>
      </w:pPr>
      <w:r>
        <w:t xml:space="preserve">3. High-Value Non-Motorized Assets</w:t>
      </w:r>
    </w:p>
    <w:p>
      <w:r>
        <w:t xml:space="preserve">Asset verification relies heavily on the NTSA TIMS database for registered motor vehicles.
</w:t>
      </w:r>
      <w:r>
        <w:rPr>
          <w:b/>
          <w:bCs/>
        </w:rPr>
        <w:t xml:space="preserve">• The Gap: </w:t>
      </w:r>
      <w:r>
        <w:t xml:space="preserve">The algorithm currently overlooks high-value assets that do not require NTSA registration. Examples include high-end agricultural machinery (tractors not used on public roads), large fishing vessels in coastal and lake regions, and heavy construction equipment.
</w:t>
      </w:r>
      <w:r>
        <w:rPr>
          <w:b/>
          <w:bCs/>
        </w:rPr>
        <w:t xml:space="preserve">• The Risk: </w:t>
      </w:r>
      <w:r>
        <w:t xml:space="preserve">Wealthy individuals holding capital in unregistered heavy machinery or maritime assets may successfully spoof indigence.
</w:t>
      </w:r>
      <w:r>
        <w:rPr>
          <w:b/>
          <w:bCs/>
        </w:rPr>
        <w:t xml:space="preserve">• Future Solution: </w:t>
      </w:r>
      <w:r>
        <w:t xml:space="preserve">Cross-reference agricultural subsidies or maritime licensing databases.</w:t>
      </w:r>
    </w:p>
    <w:p>
      <w:pPr>
        <w:pStyle w:val="Heading2"/>
      </w:pPr>
      <w:r>
        <w:t xml:space="preserve">4. Nomadic Pastoralist Fluidity</w:t>
      </w:r>
    </w:p>
    <w:p>
      <w:r>
        <w:t xml:space="preserve">The model groups assessments into strict county boundaries to apply Cost of Living (CoL) tiers and land discounts.
</w:t>
      </w:r>
      <w:r>
        <w:rPr>
          <w:b/>
          <w:bCs/>
        </w:rPr>
        <w:t xml:space="preserve">• The Gap: </w:t>
      </w:r>
      <w:r>
        <w:t xml:space="preserve">Nomadic pastoralists frequently cross county and national borders in search of pasture, rendering the concept of a "primary county of residence" fluid.
</w:t>
      </w:r>
      <w:r>
        <w:rPr>
          <w:b/>
          <w:bCs/>
        </w:rPr>
        <w:t xml:space="preserve">• The Risk: </w:t>
      </w:r>
      <w:r>
        <w:t xml:space="preserve">Flag 10 (Geographic Impossibility) triggers a fraud alert if a citizen is assessed in multiple counties. A pastoralist family moving between Samburu and Marsabit might be incorrectly flagged for fraud, delaying their access to healthcare.
</w:t>
      </w:r>
      <w:r>
        <w:rPr>
          <w:b/>
          <w:bCs/>
        </w:rPr>
        <w:t xml:space="preserve">• Future Solution: </w:t>
      </w:r>
      <w:r>
        <w:t xml:space="preserve">Implement a specific isNomadic demographic flag that bypasses the multi-county fraud check for verified pastoralist communities.</w:t>
      </w:r>
    </w:p>
    <w:p>
      <w:pPr>
        <w:pStyle w:val="Heading2"/>
      </w:pPr>
      <w:r>
        <w:t xml:space="preserve">5. Medical Expense Attrition (CHE)</w:t>
      </w:r>
    </w:p>
    <w:p>
      <w:r>
        <w:t xml:space="preserve">The algorithm currently uses a boolean hasChronicIllness toggle.
</w:t>
      </w:r>
      <w:r>
        <w:rPr>
          <w:b/>
          <w:bCs/>
        </w:rPr>
        <w:t xml:space="preserve">• The Gap: </w:t>
      </w:r>
      <w:r>
        <w:t xml:space="preserve">This binary approach fails to capture the catastrophic variance in healthcare costs. A citizen managing controlled hypertension with generic drugs is treated identically to a citizen undergoing aggressive, out-of-pocket cancer treatment.
</w:t>
      </w:r>
      <w:r>
        <w:rPr>
          <w:b/>
          <w:bCs/>
        </w:rPr>
        <w:t xml:space="preserve">• The Risk: </w:t>
      </w:r>
      <w:r>
        <w:t xml:space="preserve">Citizens facing catastrophic out-of-pocket medical expenses that drain their liquidity before it registers as "retained balance" will be assigned an unaffordable monthly SHA premium.
</w:t>
      </w:r>
      <w:r>
        <w:rPr>
          <w:b/>
          <w:bCs/>
        </w:rPr>
        <w:t xml:space="preserve">• Future Solution: </w:t>
      </w:r>
      <w:r>
        <w:t xml:space="preserve">Connect directly to the Ministry of Health's electronic health records (EHR) to dynamically calculate an annualized catastrophic health expenditure (CHE) deduction.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2026-07-14T01:42:16.448Z</dcterms:created>
  <dcterms:modified xsi:type="dcterms:W3CDTF">2026-07-14T01:42:16.450Z</dcterms:modified>
</cp:coreProperties>
</file>

<file path=docProps/custom.xml><?xml version="1.0" encoding="utf-8"?>
<Properties xmlns="http://schemas.openxmlformats.org/officeDocument/2006/custom-properties" xmlns:vt="http://schemas.openxmlformats.org/officeDocument/2006/docPropsVTypes"/>
</file>