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SHA Algorithm Reform Project - Completion Summary</w:t>
      </w:r>
    </w:p>
    <w:p>
      <w:pPr>
        <w:spacing w:after="300"/>
        <w:jc w:val="center"/>
      </w:pPr>
      <w:r>
        <w:rPr>
          <w:b/>
          <w:bCs/>
        </w:rPr>
        <w:t xml:space="preserve">Date: </w:t>
      </w:r>
      <w:r>
        <w:t xml:space="preserve">June 28, 2026 | </w:t>
      </w:r>
      <w:r>
        <w:rPr>
          <w:b/>
          <w:bCs/>
        </w:rPr>
        <w:t xml:space="preserve">Status: </w:t>
      </w:r>
      <w:r>
        <w:t xml:space="preserve">ALL TASKS COMPLETE</w:t>
      </w:r>
    </w:p>
    <w:p>
      <w:pPr>
        <w:pStyle w:val="Heading2"/>
      </w:pPr>
      <w:r>
        <w:t xml:space="preserve">v2.1 Algorithm Enhancements (June 28, 2026)</w:t>
      </w:r>
    </w:p>
    <w:p>
      <w:r>
        <w:t xml:space="preserve">• 3-tier urban Cost of Living index (Tier 1: KSh 18,000, Tier 2: KSh 10,000, Rural: KSh 4,000)
</w:t>
      </w:r>
      <w:r>
        <w:t xml:space="preserve">• Rent ceiling deductions (Tier 1 cap: KSh 35,000, Tier 2 cap: KSh 20,000)
</w:t>
      </w:r>
      <w:r>
        <w:t xml:space="preserve">• Soft-landing indigent slope replacing the 131k cliff
</w:t>
      </w:r>
      <w:r>
        <w:t xml:space="preserve">• PWD 30% exemption, Bodaboda 50% commercial exemption
</w:t>
      </w:r>
      <w:r>
        <w:t xml:space="preserve">• Seasonal worker, Diaspora remittance, Refugee/IDP, SACCO bypass, Consent-withheld pathways
</w:t>
      </w:r>
      <w:r>
        <w:t xml:space="preserve">• Fraud engine expanded from 9 to 18 flags
</w:t>
      </w:r>
      <w:r>
        <w:t xml:space="preserve">• Revenue breakeven moved from 36% to 40% compliance</w:t>
      </w:r>
    </w:p>
    <w:p>
      <w:pPr>
        <w:pStyle w:val="Heading2"/>
      </w:pPr>
      <w:r>
        <w:t xml:space="preserve">Deliverables Checklist</w:t>
      </w:r>
    </w:p>
    <w:p>
      <w:r>
        <w:rPr>
          <w:b/>
          <w:bCs/>
        </w:rPr>
        <w:t xml:space="preserve">1. AI Bill 2026 Compliance Document (AI_BILL_2026_COMPLIANCE.docx)</w:t>
      </w:r>
    </w:p>
    <w:p>
      <w:r>
        <w:t xml:space="preserve">Legal framework for AI in public health</w:t>
      </w:r>
    </w:p>
    <w:p>
      <w:r>
        <w:rPr>
          <w:b/>
          <w:bCs/>
        </w:rPr>
        <w:t xml:space="preserve">3. Implementation Roadmap (IMPLEMENTATION_ROADMAP.docx)</w:t>
      </w:r>
    </w:p>
    <w:p>
      <w:r>
        <w:t xml:space="preserve">18-month phased deployment plan</w:t>
      </w:r>
    </w:p>
    <w:p>
      <w:r>
        <w:rPr>
          <w:b/>
          <w:bCs/>
        </w:rPr>
        <w:t xml:space="preserve">4. International Stakeholder Strategy (INTERNATIONAL_STAKEHOLDER_STRATEGY.docx)</w:t>
      </w:r>
    </w:p>
    <w:p>
      <w:r>
        <w:t xml:space="preserve">Global engagement plan</w:t>
      </w:r>
    </w:p>
    <w:p>
      <w:r>
        <w:rPr>
          <w:b/>
          <w:bCs/>
        </w:rPr>
        <w:t xml:space="preserve">5. Fraud Detection Algorithm - calculateFraudRisk() function</w:t>
      </w:r>
    </w:p>
    <w:p>
      <w:r>
        <w:t xml:space="preserve">18 automated fraud flags: Phantom Dependents, Asset Mismatches, Income Under-Reporting, Fuliza Debt Accumulation, Suspicious Chama Treasurer, Age-Household Mismatch, Asset-Liquidity Paradox, Business Registration Without Income, Multiple Burden Claim, Geographic Impossibility, KRA Formal Income Mismatch, Asset-Lifestyle Incongruity, Multi-SIM Concealment, Unverified Fiduciary Claim, Recent County Switch, Undeclared Vehicles, False Commercial Claim, Multi-Household Income Splitting</w:t>
      </w:r>
    </w:p>
    <w:p>
      <w:r>
        <w:rPr>
          <w:b/>
          <w:bCs/>
        </w:rPr>
        <w:t xml:space="preserve">6. Sector Analysis Framework - analyzeSector() function</w:t>
      </w:r>
    </w:p>
    <w:p>
      <w:r>
        <w:rPr>
          <w:b/>
          <w:bCs/>
        </w:rPr>
        <w:t xml:space="preserve">7. Fairness Analysis Tab (MVP)</w:t>
      </w:r>
    </w:p>
    <w:p>
      <w:r>
        <w:rPr>
          <w:b/>
          <w:bCs/>
        </w:rPr>
        <w:t xml:space="preserve">8. SHAP Deduction Receipts (SHAP_DEDUCTION_RECEIPTS.docx)</w:t>
      </w:r>
    </w:p>
    <w:p>
      <w:r>
        <w:t xml:space="preserve">7 representative households demonstrating algorithmic changes</w:t>
      </w:r>
    </w:p>
    <w:p>
      <w:r>
        <w:rPr>
          <w:b/>
          <w:bCs/>
        </w:rPr>
        <w:t xml:space="preserve">9. Privacy Policy (PRIVACY_POLICY.docx)</w:t>
      </w:r>
    </w:p>
    <w:p>
      <w:r>
        <w:t xml:space="preserve">DPA 2019 compliant framework</w:t>
      </w:r>
    </w:p>
    <w:p>
      <w:r>
        <w:rPr>
          <w:b/>
          <w:bCs/>
        </w:rPr>
        <w:t xml:space="preserve">10. Data Commissioner Briefing (DATA_COMMISSIONER_BRIEFING.docx)</w:t>
      </w:r>
    </w:p>
    <w:p>
      <w:r>
        <w:rPr>
          <w:b/>
          <w:bCs/>
        </w:rPr>
        <w:t xml:space="preserve">11. KIPPRA Submission Letter (KIPPRA_SUBMISSION_LETTER.docx)</w:t>
      </w:r>
    </w:p>
    <w:p>
      <w:r>
        <w:rPr>
          <w:b/>
          <w:bCs/>
        </w:rPr>
        <w:t xml:space="preserve">13. Pitch Deck Outline (Pitch_Deck_Outline.docx)</w:t>
      </w:r>
    </w:p>
    <w:p>
      <w:r>
        <w:t xml:space="preserve">Cabinet Secretaries presentation</w:t>
      </w:r>
    </w:p>
    <w:p>
      <w:r>
        <w:rPr>
          <w:b/>
          <w:bCs/>
        </w:rPr>
        <w:t xml:space="preserve">14. Legal Ethical Architectural Evaluation (LEGAL_ETHICAL_ARCHITECTURAL_EVALUATION.docx)</w:t>
      </w:r>
    </w:p>
    <w:p>
      <w:r>
        <w:rPr>
          <w:b/>
          <w:bCs/>
        </w:rPr>
        <w:t xml:space="preserve">15. SHA Algorithm Solutions (SHA_Algorithm_Solutions.docx)</w:t>
      </w:r>
    </w:p>
    <w:p>
      <w:r>
        <w:rPr>
          <w:b/>
          <w:bCs/>
        </w:rPr>
        <w:t xml:space="preserve">16. Human Impact Case Studies (SHA_Human_Impact_Case_Studies.docx)</w:t>
      </w:r>
    </w:p>
    <w:p>
      <w:r>
        <w:rPr>
          <w:b/>
          <w:bCs/>
        </w:rPr>
        <w:t xml:space="preserve">17. Adoption Pathway (ADOPTION_PATHWAY.docx)</w:t>
      </w:r>
    </w:p>
    <w:p>
      <w:r>
        <w:rPr>
          <w:b/>
          <w:bCs/>
        </w:rPr>
        <w:t xml:space="preserve">18. Known Blind Spots (KNOWN_BLIND_SPOTS.docx)</w:t>
      </w:r>
    </w:p>
    <w:p>
      <w:r>
        <w:t xml:space="preserve">5 remaining algorithmic gaps</w:t>
      </w:r>
    </w:p>
    <w:p>
      <w:r>
        <w:rPr>
          <w:b/>
          <w:bCs/>
        </w:rPr>
        <w:t xml:space="preserve">19. SHA Algorithm v2.1 Documentation (SHA_Algorithm_v2.1_Documentation.docx)</w:t>
      </w:r>
    </w:p>
    <w:p>
      <w:r>
        <w:t xml:space="preserve">Full technical spec of the reformed algorithm</w:t>
      </w:r>
    </w:p>
    <w:p>
      <w:r>
        <w:rPr>
          <w:b/>
          <w:bCs/>
        </w:rPr>
        <w:t xml:space="preserve">20. Comparative Welfare Research (Comparative_Welfare_Research.docx)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2026-07-14T01:42:17.453Z</dcterms:created>
  <dcterms:modified xsi:type="dcterms:W3CDTF">2026-07-14T01:42:17.455Z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