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SHA PMT v2.1 Optimization — Algorithm Documentation</w:t>
      </w:r>
    </w:p>
    <w:p>
      <w:r>
        <w:t xml:space="preserve">
This document outlines the final mathematical and logical architecture of the newly reformed Social Health Authority (SHA) Means Testing Algorithm (v2.1). The algorithm implements the legally mandated 2.75% contribution rate while neutralizing 28 systemic proxies and biases present in the legacy Lasso model.
</w:t>
      </w:r>
    </w:p>
    <w:p>
      <w:pPr>
        <w:pStyle w:val="Heading2"/>
      </w:pPr>
      <w:r>
        <w:t xml:space="preserve">1. Cost of Living and Housing Protections</w:t>
      </w:r>
    </w:p>
    <w:p>
      <w:r>
        <w:rPr>
          <w:b/>
          <w:bCs/>
        </w:rPr>
        <w:t xml:space="preserve">Three-Tier Cost of Living Index: </w:t>
      </w:r>
      <w:r>
        <w:t xml:space="preserve">The algorithm recognizes urban density variations. Tier 1 cities (Nairobi, Mombasa, Kisumu) receive a base KSh 18,000 monthly living allowance. Tier 2 cities (Nakuru, Kiambu, Machakos, etc.) receive KSh 10,000. Rural areas receive KSh 4,000.</w:t>
      </w:r>
    </w:p>
    <w:p>
      <w:r>
        <w:rPr>
          <w:b/>
          <w:bCs/>
        </w:rPr>
        <w:t xml:space="preserve">Rent Ceiling Caps: </w:t>
      </w:r>
      <w:r>
        <w:t xml:space="preserve">Rent is explicitly deducted to protect high-burden urban renters. To prevent luxury evasion, deductions are hard-capped at KSh 35,000 for Tier 1 and KSh 20,000 for Tier 2. These caps are fully configurable by administrators.</w:t>
      </w:r>
    </w:p>
    <w:p>
      <w:r>
        <w:rPr>
          <w:b/>
          <w:bCs/>
        </w:rPr>
        <w:t xml:space="preserve">Housing Proxies Removed: </w:t>
      </w:r>
      <w:r>
        <w:t xml:space="preserve">Intrusive structural proxies (wall material, roof tiles, floor material) have been entirely removed from the AGI calculation to prevent the Ancestral Home Trap.</w:t>
      </w:r>
    </w:p>
    <w:p>
      <w:pPr>
        <w:pStyle w:val="Heading2"/>
      </w:pPr>
      <w:r>
        <w:t xml:space="preserve">2. Soft-Landing Vulnerability Slope</w:t>
      </w:r>
    </w:p>
    <w:p>
      <w:r>
        <w:t xml:space="preserve">The legacy margin-of-error buffer created a mathematical cliff where citizens earning KSh 131,001 faced sudden contribution spikes. This has been replaced with a continuous soft-landing formula: </w:t>
      </w:r>
      <w:r>
        <w:rPr>
          <w:i/>
          <w:iCs/>
        </w:rPr>
        <w:t xml:space="preserve">Math.max(300, (agi - 131000) * 0.01)</w:t>
      </w:r>
      <w:r>
        <w:t xml:space="preserve">. This ensures a perfectly smooth transition into the 2.75% bracket, destroying evasion incentives.</w:t>
      </w:r>
    </w:p>
    <w:p>
      <w:pPr>
        <w:pStyle w:val="Heading2"/>
      </w:pPr>
      <w:r>
        <w:t xml:space="preserve">3. Targeted Vulnerability Exemptions</w:t>
      </w:r>
    </w:p>
    <w:p>
      <w:r>
        <w:rPr>
          <w:b/>
          <w:bCs/>
        </w:rPr>
        <w:t xml:space="preserve">Persons with Disabilities (PWDs): </w:t>
      </w:r>
      <w:r>
        <w:t xml:space="preserve">30% flat AGI deduction for NCPWD-registered individuals (Art. 54 constitutional protection).</w:t>
      </w:r>
    </w:p>
    <w:p>
      <w:r>
        <w:rPr>
          <w:b/>
          <w:bCs/>
        </w:rPr>
        <w:t xml:space="preserve">Bodaboda and PSV Operators: </w:t>
      </w:r>
      <w:r>
        <w:t xml:space="preserve">50% tool-of-trade commercial exemption for verified motorcycles used for commercial transport.</w:t>
      </w:r>
    </w:p>
    <w:p>
      <w:r>
        <w:rPr>
          <w:b/>
          <w:bCs/>
        </w:rPr>
        <w:t xml:space="preserve">Seasonal Workers: </w:t>
      </w:r>
      <w:r>
        <w:t xml:space="preserve">Algorithm uses the low-season retained balance to prevent harvest or tourism spikes from causing over-assessment.</w:t>
      </w:r>
    </w:p>
    <w:p>
      <w:r>
        <w:rPr>
          <w:b/>
          <w:bCs/>
        </w:rPr>
        <w:t xml:space="preserve">Diaspora Remittances: </w:t>
      </w:r>
      <w:r>
        <w:t xml:space="preserve">Excluded entirely from the base income to avoid penalizing inward capital flows.</w:t>
      </w:r>
    </w:p>
    <w:p>
      <w:r>
        <w:rPr>
          <w:b/>
          <w:bCs/>
        </w:rPr>
        <w:t xml:space="preserve">Refugees and IDPs: </w:t>
      </w:r>
      <w:r>
        <w:t xml:space="preserve">Automatic indigent routing to the subsidized KSh 300 tier.</w:t>
      </w:r>
    </w:p>
    <w:p>
      <w:r>
        <w:rPr>
          <w:b/>
          <w:bCs/>
        </w:rPr>
        <w:t xml:space="preserve">DPA Consent Withheld: </w:t>
      </w:r>
      <w:r>
        <w:t xml:space="preserve">Citizens who exercise their Data Protection Act right to withhold algorithmic assessment are routed to manual CHP verification without any penalty.</w:t>
      </w:r>
    </w:p>
    <w:p>
      <w:r>
        <w:rPr>
          <w:b/>
          <w:bCs/>
        </w:rPr>
        <w:t xml:space="preserve">Chama Treasurer Fiduciary Exemption: </w:t>
      </w:r>
      <w:r>
        <w:t xml:space="preserve">80% discount on retained balance for verified group treasurers to prevent fiduciary funds from being counted as personal wealth.</w:t>
      </w:r>
    </w:p>
    <w:p>
      <w:r>
        <w:rPr>
          <w:b/>
          <w:bCs/>
        </w:rPr>
        <w:t xml:space="preserve">Informal Sub-Landlord Income: </w:t>
      </w:r>
      <w:r>
        <w:t xml:space="preserve">Sublet income is added back to AGI to prevent homeowners from hiding rental revenue.</w:t>
      </w:r>
    </w:p>
    <w:p>
      <w:pPr>
        <w:pStyle w:val="Heading2"/>
      </w:pPr>
      <w:r>
        <w:t xml:space="preserve">4. Digital Ghost and Triangulation Fallbacks</w:t>
      </w:r>
    </w:p>
    <w:p>
      <w:r>
        <w:t xml:space="preserve">Citizens operating purely in cash with zero digital footprint, zero physical assets, and no KRA PIN trigger the Digital Ghost protocol for physical CHP verification within 90 days. However, if the citizen has an active SACCO account, the system bypasses this hold, recognizing offline formal financial inclusion.</w:t>
      </w:r>
    </w:p>
    <w:p>
      <w:pPr>
        <w:pStyle w:val="Heading2"/>
      </w:pPr>
      <w:r>
        <w:t xml:space="preserve">5. The Advanced Fraud Engine (18 Flags)</w:t>
      </w:r>
    </w:p>
    <w:p>
      <w:r>
        <w:t xml:space="preserve">To ensure compliance and maintain the 40% breakeven target, the fraud engine detects 18 distinct evasion patterns:
</w:t>
      </w:r>
    </w:p>
    <w:p>
      <w:r>
        <w:rPr>
          <w:b/>
          <w:bCs/>
        </w:rPr>
        <w:t xml:space="preserve">Flag 1 - Phantom Dependents: </w:t>
      </w:r>
      <w:r>
        <w:t xml:space="preserve">Household sizes exceeding 12 members.</w:t>
      </w:r>
    </w:p>
    <w:p>
      <w:r>
        <w:rPr>
          <w:b/>
          <w:bCs/>
        </w:rPr>
        <w:t xml:space="preserve">Flag 2 - Asset Mismatches: </w:t>
      </w:r>
      <w:r>
        <w:t xml:space="preserve">Cross-references declared cars against NTSA TIMS registry.</w:t>
      </w:r>
    </w:p>
    <w:p>
      <w:r>
        <w:rPr>
          <w:b/>
          <w:bCs/>
        </w:rPr>
        <w:t xml:space="preserve">Flag 3 - Income Under-Reporting: </w:t>
      </w:r>
      <w:r>
        <w:t xml:space="preserve">KRA records show income more than 2x self-reported AGI.</w:t>
      </w:r>
    </w:p>
    <w:p>
      <w:r>
        <w:rPr>
          <w:b/>
          <w:bCs/>
        </w:rPr>
        <w:t xml:space="preserve">Flag 4 - Fuliza Debt Accumulation: </w:t>
      </w:r>
      <w:r>
        <w:t xml:space="preserve">More than 8 active defaults indicating systematic borrowing to reduce AGI.</w:t>
      </w:r>
    </w:p>
    <w:p>
      <w:r>
        <w:rPr>
          <w:b/>
          <w:bCs/>
        </w:rPr>
        <w:t xml:space="preserve">Flag 5 - Suspicious Chama Treasurer: </w:t>
      </w:r>
      <w:r>
        <w:t xml:space="preserve">Claims fiduciary exemption but retained balance is suspiciously low.</w:t>
      </w:r>
    </w:p>
    <w:p>
      <w:r>
        <w:rPr>
          <w:b/>
          <w:bCs/>
        </w:rPr>
        <w:t xml:space="preserve">Flag 6 - Age-Household Mismatch: </w:t>
      </w:r>
      <w:r>
        <w:t xml:space="preserve">Head under 25 claiming household larger than 6. Biological implausibility.</w:t>
      </w:r>
    </w:p>
    <w:p>
      <w:r>
        <w:rPr>
          <w:b/>
          <w:bCs/>
        </w:rPr>
        <w:t xml:space="preserve">Flag 7 - Asset-Liquidity Paradox: </w:t>
      </w:r>
      <w:r>
        <w:t xml:space="preserve">Luxury car ownership with near-zero cashflow.</w:t>
      </w:r>
    </w:p>
    <w:p>
      <w:r>
        <w:rPr>
          <w:b/>
          <w:bCs/>
        </w:rPr>
        <w:t xml:space="preserve">Flag 8 - Business Registration Without Income: </w:t>
      </w:r>
      <w:r>
        <w:t xml:space="preserve">Has KRA PIN but very low retained balance. Possible shell company.</w:t>
      </w:r>
    </w:p>
    <w:p>
      <w:r>
        <w:rPr>
          <w:b/>
          <w:bCs/>
        </w:rPr>
        <w:t xml:space="preserve">Flag 9 - Multiple Burden Claim: </w:t>
      </w:r>
      <w:r>
        <w:t xml:space="preserve">Claims chronic illness AND household larger than 7 outside ASAL regions.</w:t>
      </w:r>
    </w:p>
    <w:p>
      <w:r>
        <w:rPr>
          <w:b/>
          <w:bCs/>
        </w:rPr>
        <w:t xml:space="preserve">Flag 10 - Geographic Impossibility: </w:t>
      </w:r>
      <w:r>
        <w:t xml:space="preserve">Active assessments in more than 2 counties simultaneously.</w:t>
      </w:r>
    </w:p>
    <w:p>
      <w:r>
        <w:rPr>
          <w:b/>
          <w:bCs/>
        </w:rPr>
        <w:t xml:space="preserve">Flag 11 - KRA Formal Income Mismatch: </w:t>
      </w:r>
      <w:r>
        <w:t xml:space="preserve">Formal employment income detected but near-zero retained balance.</w:t>
      </w:r>
    </w:p>
    <w:p>
      <w:r>
        <w:rPr>
          <w:b/>
          <w:bCs/>
        </w:rPr>
        <w:t xml:space="preserve">Flag 12 - Asset-Lifestyle Incongruity: </w:t>
      </w:r>
      <w:r>
        <w:t xml:space="preserve">Claims indigence but has 3 or more high-value digitally verifiable indicators.</w:t>
      </w:r>
    </w:p>
    <w:p>
      <w:r>
        <w:rPr>
          <w:b/>
          <w:bCs/>
        </w:rPr>
        <w:t xml:space="preserve">Flag 13 - Multi-SIM Concealment: </w:t>
      </w:r>
      <w:r>
        <w:t xml:space="preserve">Multiple active SIM cards under one National ID with low declared balance. Confidence reduced to 0.60 for legitimate dual-SIM users.</w:t>
      </w:r>
    </w:p>
    <w:p>
      <w:r>
        <w:rPr>
          <w:b/>
          <w:bCs/>
        </w:rPr>
        <w:t xml:space="preserve">Flag 14 - Unverified Fiduciary Claim: </w:t>
      </w:r>
      <w:r>
        <w:t xml:space="preserve">Claims Chama treasurer role but Safaricom/SACCO API shows no registered group.</w:t>
      </w:r>
    </w:p>
    <w:p>
      <w:r>
        <w:rPr>
          <w:b/>
          <w:bCs/>
        </w:rPr>
        <w:t xml:space="preserve">Flag 15 - Recent County Switch: </w:t>
      </w:r>
      <w:r>
        <w:t xml:space="preserve">IPRS shows county of residence changed within 90 days. Possible CoL tier gaming.</w:t>
      </w:r>
    </w:p>
    <w:p>
      <w:r>
        <w:rPr>
          <w:b/>
          <w:bCs/>
        </w:rPr>
        <w:t xml:space="preserve">Flag 16 - Undeclared Vehicles: </w:t>
      </w:r>
      <w:r>
        <w:t xml:space="preserve">NTSA shows more registered vehicles than declared by citizen.</w:t>
      </w:r>
    </w:p>
    <w:p>
      <w:r>
        <w:rPr>
          <w:b/>
          <w:bCs/>
        </w:rPr>
        <w:t xml:space="preserve">Flag 17 - False Commercial Claim: </w:t>
      </w:r>
      <w:r>
        <w:t xml:space="preserve">Claims commercial vehicle exemption but NTSA registers the vehicle as PRIVATE category.</w:t>
      </w:r>
    </w:p>
    <w:p>
      <w:r>
        <w:rPr>
          <w:b/>
          <w:bCs/>
        </w:rPr>
        <w:t xml:space="preserve">Flag 18 - Multi-Household Income Splitting: </w:t>
      </w:r>
      <w:r>
        <w:t xml:space="preserve">IPRS records show multiple linked households. Possible income splitting to multiply dependency allowances.</w:t>
      </w:r>
    </w:p>
    <w:p>
      <w:pPr>
        <w:pStyle w:val="Heading2"/>
      </w:pPr>
      <w:r>
        <w:t xml:space="preserve">6. Revenue Impact</w:t>
      </w:r>
    </w:p>
    <w:p>
      <w:r>
        <w:t xml:space="preserve">The newly applied exemptions lower the average monthly contribution assumption from KSh 575 to KSh 520. The revenue stress test model shows:
</w:t>
      </w:r>
    </w:p>
    <w:p>
      <w:r>
        <w:rPr>
          <w:b/>
          <w:bCs/>
        </w:rPr>
        <w:t xml:space="preserve">Old Breakeven: </w:t>
      </w:r>
      <w:r>
        <w:t xml:space="preserve">36% compliance rate.
</w:t>
      </w:r>
    </w:p>
    <w:p>
      <w:r>
        <w:rPr>
          <w:b/>
          <w:bCs/>
        </w:rPr>
        <w:t xml:space="preserve">New Breakeven: </w:t>
      </w:r>
      <w:r>
        <w:t xml:space="preserve">40% compliance rate needed to sustain the indigent subsidy pool.
</w:t>
      </w:r>
    </w:p>
    <w:p>
      <w:r>
        <w:t xml:space="preserve">This 4 percentage point increase is well within reach given the fairness-driven compliance uplift projected by ILO studies on equitable social insurance systems.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2026-07-14T01:42:16.007Z</dcterms:created>
  <dcterms:modified xsi:type="dcterms:W3CDTF">2026-07-14T01:42:16.012Z</dcterms:modified>
</cp:coreProperties>
</file>

<file path=docProps/custom.xml><?xml version="1.0" encoding="utf-8"?>
<Properties xmlns="http://schemas.openxmlformats.org/officeDocument/2006/custom-properties" xmlns:vt="http://schemas.openxmlformats.org/officeDocument/2006/docPropsVTypes"/>
</file>