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SHA PMT v2.1 — Assumptions and Parameters Register</w:t>
      </w:r>
    </w:p>
    <w:p>
      <w:pPr>
        <w:spacing w:after="80"/>
        <w:jc w:val="center"/>
      </w:pPr>
      <w:r>
        <w:t xml:space="preserve">Complete Reference of All Model Constants, Sources, and Justifications</w:t>
      </w:r>
    </w:p>
    <w:p>
      <w:pPr>
        <w:spacing w:after="300"/>
        <w:jc w:val="center"/>
      </w:pPr>
      <w:r>
        <w:rPr>
          <w:i/>
          <w:iCs/>
        </w:rPr>
        <w:t xml:space="preserve">Updated: June 28, 2026 | Author: Peter M. Kaulani</w:t>
      </w:r>
    </w:p>
    <w:p>
      <w:pPr>
        <w:pStyle w:val="Heading2"/>
      </w:pPr>
      <w:r>
        <w:t xml:space="preserve">1. Legal Parameters</w:t>
      </w:r>
    </w:p>
    <w:p>
      <w:pPr>
        <w:spacing w:after="120"/>
      </w:pPr>
      <w:r>
        <w:rPr>
          <w:b/>
          <w:bCs/>
        </w:rPr>
        <w:t xml:space="preserve">Contribution Rate: </w:t>
      </w:r>
      <w:r>
        <w:t xml:space="preserve">2.75% of Adjusted Gross Income (AGI)</w:t>
      </w:r>
      <w:r>
        <w:rPr>
          <w:i/>
          <w:iCs/>
        </w:rPr>
        <w:t xml:space="preserve"> — Source: Social Health Insurance Act 2023, Section 27</w:t>
      </w:r>
    </w:p>
    <w:p>
      <w:pPr>
        <w:spacing w:after="120"/>
      </w:pPr>
      <w:r>
        <w:rPr>
          <w:b/>
          <w:bCs/>
        </w:rPr>
        <w:t xml:space="preserve">Indigent Threshold: </w:t>
      </w:r>
      <w:r>
        <w:t xml:space="preserve">KSh 131,000/year AGI</w:t>
      </w:r>
      <w:r>
        <w:rPr>
          <w:i/>
          <w:iCs/>
        </w:rPr>
        <w:t xml:space="preserve"> — Source: SHA Gazette Notice</w:t>
      </w:r>
    </w:p>
    <w:p>
      <w:pPr>
        <w:spacing w:after="120"/>
      </w:pPr>
      <w:r>
        <w:rPr>
          <w:b/>
          <w:bCs/>
        </w:rPr>
        <w:t xml:space="preserve">Subsidized Contribution: </w:t>
      </w:r>
      <w:r>
        <w:t xml:space="preserve">KSh 300/month for all citizens classified as indigent</w:t>
      </w:r>
    </w:p>
    <w:p>
      <w:pPr>
        <w:spacing w:after="120"/>
      </w:pPr>
      <w:r>
        <w:rPr>
          <w:b/>
          <w:bCs/>
        </w:rPr>
        <w:t xml:space="preserve">Soft-Landing Formula: </w:t>
      </w:r>
      <w:r>
        <w:t xml:space="preserve">max(300, (agi - 131000) x (0.0275 / 12)) — replaces the hard cliff at 131K. The statutory 2.75% rate intrinsically creates the smooth transition, removing the sudden jump.</w:t>
      </w:r>
    </w:p>
    <w:p>
      <w:pPr>
        <w:spacing w:after="120"/>
      </w:pPr>
      <w:r>
        <w:rPr>
          <w:b/>
          <w:bCs/>
        </w:rPr>
        <w:t xml:space="preserve">Constitutional Basis: </w:t>
      </w:r>
      <w:r>
        <w:t xml:space="preserve">Art. 27(4) non-discrimination, Art. 43 right to health, Art. 54 PWD protections, Art. 56 marginalized communities</w:t>
      </w:r>
    </w:p>
    <w:p>
      <w:pPr>
        <w:pStyle w:val="Heading2"/>
      </w:pPr>
      <w:r>
        <w:t xml:space="preserve">2. Cost of Living Parameters</w:t>
      </w:r>
    </w:p>
    <w:p>
      <w:pPr>
        <w:spacing w:after="120"/>
      </w:pPr>
      <w:r>
        <w:rPr>
          <w:b/>
          <w:bCs/>
        </w:rPr>
        <w:t xml:space="preserve">Tier 1 Cities: </w:t>
      </w:r>
      <w:r>
        <w:t xml:space="preserve">Nairobi, Mombasa, Kisumu — KSh 18,000/month base deduction</w:t>
      </w:r>
      <w:r>
        <w:rPr>
          <w:i/>
          <w:iCs/>
        </w:rPr>
        <w:t xml:space="preserve"> — Source: KCHS 2022 (KNBS Kenya Continuous Household Survey), CPI-adjusted to 2025/26</w:t>
      </w:r>
    </w:p>
    <w:p>
      <w:pPr>
        <w:spacing w:after="120"/>
      </w:pPr>
      <w:r>
        <w:rPr>
          <w:b/>
          <w:bCs/>
        </w:rPr>
        <w:t xml:space="preserve">Tier 2 Cities: </w:t>
      </w:r>
      <w:r>
        <w:t xml:space="preserve">Nakuru, Uasin Gishu, Kiambu, Kisii, Nyeri, Machakos, Trans Nzoia — KSh 10,000/month base deduction</w:t>
      </w:r>
      <w:r>
        <w:rPr>
          <w:i/>
          <w:iCs/>
        </w:rPr>
        <w:t xml:space="preserve"> — Source: KNBS urban poverty line estimates</w:t>
      </w:r>
    </w:p>
    <w:p>
      <w:pPr>
        <w:spacing w:after="120"/>
      </w:pPr>
      <w:r>
        <w:rPr>
          <w:b/>
          <w:bCs/>
        </w:rPr>
        <w:t xml:space="preserve">Rural: </w:t>
      </w:r>
      <w:r>
        <w:t xml:space="preserve">All other counties — KSh 4,000/month base deduction</w:t>
      </w:r>
      <w:r>
        <w:rPr>
          <w:i/>
          <w:iCs/>
        </w:rPr>
        <w:t xml:space="preserve"> — Source: KNBS rural poverty line 2024</w:t>
      </w:r>
    </w:p>
    <w:p>
      <w:pPr>
        <w:spacing w:after="120"/>
      </w:pPr>
      <w:r>
        <w:rPr>
          <w:b/>
          <w:bCs/>
        </w:rPr>
        <w:t xml:space="preserve">Annualization: </w:t>
      </w:r>
      <w:r>
        <w:t xml:space="preserve">All monthly CoL values are multiplied by 12 for annual AGI deduction</w:t>
      </w:r>
    </w:p>
    <w:p>
      <w:pPr>
        <w:pStyle w:val="Heading2"/>
      </w:pPr>
      <w:r>
        <w:t xml:space="preserve">3. Rent Ceiling Parameters (NEW in v2.1)</w:t>
      </w:r>
    </w:p>
    <w:p>
      <w:pPr>
        <w:spacing w:after="120"/>
      </w:pPr>
      <w:r>
        <w:rPr>
          <w:b/>
          <w:bCs/>
        </w:rPr>
        <w:t xml:space="preserve">Design Principle: </w:t>
      </w:r>
      <w:r>
        <w:t xml:space="preserve">Actual rent paid is deducted (not an assumed flat value). The deduction is capped at a ceiling to prevent luxury evasion. If actual rent is below the base CoL, the base CoL is used instead.</w:t>
      </w:r>
    </w:p>
    <w:p>
      <w:pPr>
        <w:spacing w:after="120"/>
      </w:pPr>
      <w:r>
        <w:rPr>
          <w:b/>
          <w:bCs/>
        </w:rPr>
        <w:t xml:space="preserve">Tier 1 Rent Cap: </w:t>
      </w:r>
      <w:r>
        <w:t xml:space="preserve">KSh 35,000/month — admin-configurable</w:t>
      </w:r>
      <w:r>
        <w:rPr>
          <w:i/>
          <w:iCs/>
        </w:rPr>
        <w:t xml:space="preserve"> — Source: Hass Consult Rental Index Q1 2025, approximately 90th percentile of Nairobi rents</w:t>
      </w:r>
    </w:p>
    <w:p>
      <w:pPr>
        <w:spacing w:after="120"/>
      </w:pPr>
      <w:r>
        <w:rPr>
          <w:b/>
          <w:bCs/>
        </w:rPr>
        <w:t xml:space="preserve">Tier 2 Rent Cap: </w:t>
      </w:r>
      <w:r>
        <w:t xml:space="preserve">KSh 20,000/month — admin-configurable</w:t>
      </w:r>
      <w:r>
        <w:rPr>
          <w:i/>
          <w:iCs/>
        </w:rPr>
        <w:t xml:space="preserve"> — Source: Kenya Property Developers Association satellite town surveys</w:t>
      </w:r>
    </w:p>
    <w:p>
      <w:pPr>
        <w:spacing w:after="120"/>
      </w:pPr>
      <w:r>
        <w:rPr>
          <w:b/>
          <w:bCs/>
        </w:rPr>
        <w:t xml:space="preserve">Rural Rent Cap: </w:t>
      </w:r>
      <w:r>
        <w:t xml:space="preserve">KSh 10,000/month</w:t>
      </w:r>
    </w:p>
    <w:p>
      <w:pPr>
        <w:spacing w:after="120"/>
      </w:pPr>
      <w:r>
        <w:rPr>
          <w:b/>
          <w:bCs/>
        </w:rPr>
        <w:t xml:space="preserve">Formula: </w:t>
      </w:r>
      <w:r>
        <w:t xml:space="preserve">colDeduction = max(baseCoL, min(actualRent, rentCap)) x 12</w:t>
      </w:r>
    </w:p>
    <w:p>
      <w:pPr>
        <w:pStyle w:val="Heading2"/>
      </w:pPr>
      <w:r>
        <w:t xml:space="preserve">4. Asset Valuation Parameters</w:t>
      </w:r>
    </w:p>
    <w:p>
      <w:pPr>
        <w:spacing w:after="120"/>
      </w:pPr>
      <w:r>
        <w:rPr>
          <w:b/>
          <w:bCs/>
        </w:rPr>
        <w:t xml:space="preserve">Standard Car Base Value: </w:t>
      </w:r>
      <w:r>
        <w:t xml:space="preserve">KSh 350,000 — admin-configurable</w:t>
      </w:r>
    </w:p>
    <w:p>
      <w:pPr>
        <w:spacing w:after="120"/>
      </w:pPr>
      <w:r>
        <w:rPr>
          <w:b/>
          <w:bCs/>
        </w:rPr>
        <w:t xml:space="preserve">Vehicle Multipliers: </w:t>
      </w:r>
      <w:r>
        <w:t xml:space="preserve">Standard Old: 1.0x (KSh 350K), Standard New: 3.0x (KSh 1.05M), Luxury/SUV: 10.0x (KSh 3.5M), Commercial/Matatu: 2.5x (KSh 875K)</w:t>
      </w:r>
    </w:p>
    <w:p>
      <w:pPr>
        <w:spacing w:after="120"/>
      </w:pPr>
      <w:r>
        <w:rPr>
          <w:b/>
          <w:bCs/>
        </w:rPr>
        <w:t xml:space="preserve">Commercial Vehicle Exemption: </w:t>
      </w:r>
      <w:r>
        <w:t xml:space="preserve">50% deduction for commercial (matatu/pick-up) vehicles — tools of trade</w:t>
      </w:r>
      <w:r>
        <w:rPr>
          <w:i/>
          <w:iCs/>
        </w:rPr>
        <w:t xml:space="preserve"> — Source: ILO informal sector asset protection guidelines</w:t>
      </w:r>
    </w:p>
    <w:p>
      <w:pPr>
        <w:spacing w:after="120"/>
      </w:pPr>
      <w:r>
        <w:rPr>
          <w:b/>
          <w:bCs/>
        </w:rPr>
        <w:t xml:space="preserve">Old Vehicle Depreciation: </w:t>
      </w:r>
      <w:r>
        <w:t xml:space="preserve">40% depreciation applied to Standard Old vehicles IF no high-wealth triangulation signal (Active KRA PIN, NTSA, or retained balance above KSh 50,000)</w:t>
      </w:r>
    </w:p>
    <w:p>
      <w:pPr>
        <w:spacing w:after="120"/>
      </w:pPr>
      <w:r>
        <w:rPr>
          <w:b/>
          <w:bCs/>
        </w:rPr>
        <w:t xml:space="preserve">Motorcycle Value: </w:t>
      </w:r>
      <w:r>
        <w:t xml:space="preserve">KSh 150,000</w:t>
      </w:r>
      <w:r>
        <w:rPr>
          <w:i/>
          <w:iCs/>
        </w:rPr>
        <w:t xml:space="preserve"> — Source: Average price of TVS HLX 150 / Boxer 150 in Kenya, 2024-2025</w:t>
      </w:r>
    </w:p>
    <w:p>
      <w:pPr>
        <w:spacing w:after="120"/>
      </w:pPr>
      <w:r>
        <w:rPr>
          <w:b/>
          <w:bCs/>
        </w:rPr>
        <w:t xml:space="preserve">Motorcycle Commercial (Bodaboda) Exemption: </w:t>
      </w:r>
      <w:r>
        <w:t xml:space="preserve">50% deduction for motorcycles verified as commercial (PSV)</w:t>
      </w:r>
      <w:r>
        <w:rPr>
          <w:i/>
          <w:iCs/>
        </w:rPr>
        <w:t xml:space="preserve"> — Source: Approximately 1.5 million registered bodaboda riders (NTSA 2024). Average monthly income KSh 15,000-25,000. Motorcycle is sole income-generating asset for most riders.</w:t>
      </w:r>
    </w:p>
    <w:p>
      <w:pPr>
        <w:spacing w:after="120"/>
      </w:pPr>
      <w:r>
        <w:rPr>
          <w:b/>
          <w:bCs/>
        </w:rPr>
        <w:t xml:space="preserve">Non-Motorcycle, Non-Car Assets: </w:t>
      </w:r>
      <w:r>
        <w:t xml:space="preserve">Feature phones, smartphones, TVs, radios, fridges, computers, bicycles — NOT counted in AGI. Only digitally-verifiable high-value assets (cars, motorcycles) are included. This removes the Lasso model's proxy bias of punishing basic item ownership.</w:t>
      </w:r>
    </w:p>
    <w:p>
      <w:pPr>
        <w:pStyle w:val="Heading2"/>
      </w:pPr>
      <w:r>
        <w:t xml:space="preserve">5. Triangulation &amp; Wealth Signals</w:t>
      </w:r>
    </w:p>
    <w:p>
      <w:pPr>
        <w:spacing w:after="120"/>
      </w:pPr>
      <w:r>
        <w:rPr>
          <w:b/>
          <w:bCs/>
        </w:rPr>
        <w:t xml:space="preserve">KRA PIN Type Classification: </w:t>
      </w:r>
      <w:r>
        <w:t xml:space="preserve">Classifies PINs as NONE, PAYE (formal payroll), or BUSINESS (self-employment) to apply differentiated confidence weighting in the fraud engine.</w:t>
      </w:r>
      <w:r>
        <w:rPr>
          <w:i/>
          <w:iCs/>
        </w:rPr>
        <w:t xml:space="preserve"> — Source: KRA iTax API</w:t>
      </w:r>
    </w:p>
    <w:p>
      <w:pPr>
        <w:pStyle w:val="Heading2"/>
      </w:pPr>
      <w:r>
        <w:t xml:space="preserve">5. ASAL Land and Livestock Parameters</w:t>
      </w:r>
    </w:p>
    <w:p>
      <w:pPr>
        <w:spacing w:after="120"/>
      </w:pPr>
      <w:r>
        <w:rPr>
          <w:b/>
          <w:bCs/>
        </w:rPr>
        <w:t xml:space="preserve">Land Value Per Acre (Base): </w:t>
      </w:r>
      <w:r>
        <w:t xml:space="preserve">KSh 80,000</w:t>
      </w:r>
      <w:r>
        <w:rPr>
          <w:i/>
          <w:iCs/>
        </w:rPr>
        <w:t xml:space="preserve"> — Source: Ministry of Lands average smallholding valuations</w:t>
      </w:r>
    </w:p>
    <w:p>
      <w:pPr>
        <w:spacing w:after="120"/>
      </w:pPr>
      <w:r>
        <w:rPr>
          <w:b/>
          <w:bCs/>
        </w:rPr>
        <w:t xml:space="preserve">Arid County Land Multiplier: </w:t>
      </w:r>
      <w:r>
        <w:t xml:space="preserve">0.15 (85% discount)</w:t>
      </w:r>
      <w:r>
        <w:rPr>
          <w:i/>
          <w:iCs/>
        </w:rPr>
        <w:t xml:space="preserve"> — Source: NDMA Drought VCI Index; arid land is non-arable and cannot generate cash income</w:t>
      </w:r>
    </w:p>
    <w:p>
      <w:pPr>
        <w:spacing w:after="120"/>
      </w:pPr>
      <w:r>
        <w:rPr>
          <w:b/>
          <w:bCs/>
        </w:rPr>
        <w:t xml:space="preserve">Semi-Arid County Land Multiplier: </w:t>
      </w:r>
      <w:r>
        <w:t xml:space="preserve">0.50 (50% discount)</w:t>
      </w:r>
    </w:p>
    <w:p>
      <w:pPr>
        <w:spacing w:after="120"/>
      </w:pPr>
      <w:r>
        <w:rPr>
          <w:b/>
          <w:bCs/>
        </w:rPr>
        <w:t xml:space="preserve">Arid Counties: </w:t>
      </w:r>
      <w:r>
        <w:t xml:space="preserve">Turkana, Marsabit, Wajir, Mandera, Garissa, Isiolo, Samburu, Tana River</w:t>
      </w:r>
    </w:p>
    <w:p>
      <w:pPr>
        <w:spacing w:after="120"/>
      </w:pPr>
      <w:r>
        <w:rPr>
          <w:b/>
          <w:bCs/>
        </w:rPr>
        <w:t xml:space="preserve">Semi-Arid Counties: </w:t>
      </w:r>
      <w:r>
        <w:t xml:space="preserve">Baringo, West Pokot, Laikipia, Narok, Kajiado, Kitui, Makueni, Taita Taveta, Lamu, Kilifi, Kwale, Embu, Tharaka-Nithi, Meru, Elgeyo Marakwet</w:t>
      </w:r>
    </w:p>
    <w:p>
      <w:pPr>
        <w:spacing w:after="120"/>
      </w:pPr>
      <w:r>
        <w:rPr>
          <w:b/>
          <w:bCs/>
        </w:rPr>
        <w:t xml:space="preserve">Livestock Value Per Head (Base): </w:t>
      </w:r>
      <w:r>
        <w:t xml:space="preserve">KSh 3,800</w:t>
      </w:r>
      <w:r>
        <w:rPr>
          <w:i/>
          <w:iCs/>
        </w:rPr>
        <w:t xml:space="preserve"> — Source: KLIP/FAO Tropical Livestock Units (TLU)</w:t>
      </w:r>
    </w:p>
    <w:p>
      <w:pPr>
        <w:spacing w:after="120"/>
      </w:pPr>
      <w:r>
        <w:rPr>
          <w:b/>
          <w:bCs/>
        </w:rPr>
        <w:t xml:space="preserve">Arid Livestock Multiplier: </w:t>
      </w:r>
      <w:r>
        <w:t xml:space="preserve">0.30 (70% discount) — livestock is capital, not liquid cash</w:t>
      </w:r>
    </w:p>
    <w:p>
      <w:pPr>
        <w:spacing w:after="120"/>
      </w:pPr>
      <w:r>
        <w:rPr>
          <w:b/>
          <w:bCs/>
        </w:rPr>
        <w:t xml:space="preserve">Semi-Arid Livestock Multiplier: </w:t>
      </w:r>
      <w:r>
        <w:t xml:space="preserve">0.60 (40% discount)</w:t>
      </w:r>
    </w:p>
    <w:p>
      <w:pPr>
        <w:pStyle w:val="Heading2"/>
      </w:pPr>
      <w:r>
        <w:t xml:space="preserve">6. Dependency Parameters</w:t>
      </w:r>
    </w:p>
    <w:p>
      <w:pPr>
        <w:spacing w:after="120"/>
      </w:pPr>
      <w:r>
        <w:rPr>
          <w:b/>
          <w:bCs/>
        </w:rPr>
        <w:t xml:space="preserve">Per-Dependent Deduction: </w:t>
      </w:r>
      <w:r>
        <w:t xml:space="preserve">8% of AGI per dependent (household size minus 1)</w:t>
      </w:r>
      <w:r>
        <w:rPr>
          <w:i/>
          <w:iCs/>
        </w:rPr>
        <w:t xml:space="preserve"> — Source: KNBS KDHS 2022 household composition data</w:t>
      </w:r>
    </w:p>
    <w:p>
      <w:pPr>
        <w:spacing w:after="120"/>
      </w:pPr>
      <w:r>
        <w:rPr>
          <w:b/>
          <w:bCs/>
        </w:rPr>
        <w:t xml:space="preserve">Cap (Non-ASAL): </w:t>
      </w:r>
      <w:r>
        <w:t xml:space="preserve">35% of AGI — prevents gaming via phantom dependents</w:t>
      </w:r>
    </w:p>
    <w:p>
      <w:pPr>
        <w:spacing w:after="120"/>
      </w:pPr>
      <w:r>
        <w:rPr>
          <w:b/>
          <w:bCs/>
        </w:rPr>
        <w:t xml:space="preserve">Cap (ASAL Counties): </w:t>
      </w:r>
      <w:r>
        <w:t xml:space="preserve">40% of AGI — higher cap for pastoralist polygamous families</w:t>
      </w:r>
      <w:r>
        <w:rPr>
          <w:i/>
          <w:iCs/>
        </w:rPr>
        <w:t xml:space="preserve"> — Source: Art. 56 constitutional protection for marginalized communities</w:t>
      </w:r>
    </w:p>
    <w:p>
      <w:pPr>
        <w:pStyle w:val="Heading2"/>
      </w:pPr>
      <w:r>
        <w:t xml:space="preserve">7. Vulnerability Exemption Parameters (NEW in v2.1)</w:t>
      </w:r>
    </w:p>
    <w:p>
      <w:pPr>
        <w:spacing w:after="120"/>
      </w:pPr>
      <w:r>
        <w:rPr>
          <w:b/>
          <w:bCs/>
        </w:rPr>
        <w:t xml:space="preserve">PWD Exemption: </w:t>
      </w:r>
      <w:r>
        <w:t xml:space="preserve">30% flat AGI deduction for NCPWD-registered individuals</w:t>
      </w:r>
      <w:r>
        <w:rPr>
          <w:i/>
          <w:iCs/>
        </w:rPr>
        <w:t xml:space="preserve"> — Source: NCPWD Act 2003; Constitution Art. 54</w:t>
      </w:r>
    </w:p>
    <w:p>
      <w:pPr>
        <w:spacing w:after="120"/>
      </w:pPr>
      <w:r>
        <w:rPr>
          <w:b/>
          <w:bCs/>
        </w:rPr>
        <w:t xml:space="preserve">CHE Exemption: </w:t>
      </w:r>
      <w:r>
        <w:t xml:space="preserve">40% AGI deduction for citizens with chronic illness</w:t>
      </w:r>
      <w:r>
        <w:rPr>
          <w:i/>
          <w:iCs/>
        </w:rPr>
        <w:t xml:space="preserve"> — Source: WHO catastrophic health expenditure threshold definition</w:t>
      </w:r>
    </w:p>
    <w:p>
      <w:pPr>
        <w:spacing w:after="120"/>
      </w:pPr>
      <w:r>
        <w:rPr>
          <w:b/>
          <w:bCs/>
        </w:rPr>
        <w:t xml:space="preserve">Fiduciary (Chama Treasurer) Exemption: </w:t>
      </w:r>
      <w:r>
        <w:t xml:space="preserve">80% discount on retained balance — fiduciary funds are not personal wealth</w:t>
      </w:r>
    </w:p>
    <w:p>
      <w:pPr>
        <w:spacing w:after="120"/>
      </w:pPr>
      <w:r>
        <w:rPr>
          <w:b/>
          <w:bCs/>
        </w:rPr>
        <w:t xml:space="preserve">Subsistence Digital User Threshold: </w:t>
      </w:r>
      <w:r>
        <w:t xml:space="preserve">Gross M-Pesa above KSh 25,000/month AND retained balance below KSh 3,000 AND avg transaction size below KSh 450 triggers 60% retained balance discount (assumes 80 transactions/month baseline)</w:t>
      </w:r>
      <w:r>
        <w:rPr>
          <w:i/>
          <w:iCs/>
        </w:rPr>
        <w:t xml:space="preserve"> — Source: Safaricom Annual Report FY2024 digital payments section</w:t>
      </w:r>
    </w:p>
    <w:p>
      <w:pPr>
        <w:spacing w:after="120"/>
      </w:pPr>
      <w:r>
        <w:rPr>
          <w:b/>
          <w:bCs/>
        </w:rPr>
        <w:t xml:space="preserve">Seasonal Worker Override: </w:t>
      </w:r>
      <w:r>
        <w:t xml:space="preserve">Uses lowSeasonRetainedBalance instead of 12-month average to prevent harvest/tourism peak extrapolation</w:t>
      </w:r>
    </w:p>
    <w:p>
      <w:pPr>
        <w:spacing w:after="120"/>
      </w:pPr>
      <w:r>
        <w:rPr>
          <w:b/>
          <w:bCs/>
        </w:rPr>
        <w:t xml:space="preserve">Diaspora Remittances: </w:t>
      </w:r>
      <w:r>
        <w:t xml:space="preserve">100% excluded from base income — transfer payments, not domestic earnings</w:t>
      </w:r>
    </w:p>
    <w:p>
      <w:pPr>
        <w:spacing w:after="120"/>
      </w:pPr>
      <w:r>
        <w:rPr>
          <w:b/>
          <w:bCs/>
        </w:rPr>
        <w:t xml:space="preserve">Refugee/IDP Override: </w:t>
      </w:r>
      <w:r>
        <w:t xml:space="preserve">Automatic indigent routing to KSh 300/month subsidized tier</w:t>
      </w:r>
    </w:p>
    <w:p>
      <w:pPr>
        <w:spacing w:after="120"/>
      </w:pPr>
      <w:r>
        <w:rPr>
          <w:b/>
          <w:bCs/>
        </w:rPr>
        <w:t xml:space="preserve">Age Override (Pensioner): </w:t>
      </w:r>
      <w:r>
        <w:t xml:space="preserve">Age 65+ AND no car AND retained balance below KSh 5,000 triggers automatic indigent classification</w:t>
      </w:r>
    </w:p>
    <w:p>
      <w:pPr>
        <w:spacing w:after="120"/>
      </w:pPr>
      <w:r>
        <w:rPr>
          <w:b/>
          <w:bCs/>
        </w:rPr>
        <w:t xml:space="preserve">Child-Headed Household: </w:t>
      </w:r>
      <w:r>
        <w:t xml:space="preserve">Head age below 21 AND household size above 1 triggers automatic indigent classification</w:t>
      </w:r>
    </w:p>
    <w:p>
      <w:pPr>
        <w:spacing w:after="120"/>
      </w:pPr>
      <w:r>
        <w:rPr>
          <w:b/>
          <w:bCs/>
        </w:rPr>
        <w:t xml:space="preserve">Consent-Withheld Pathway: </w:t>
      </w:r>
      <w:r>
        <w:t xml:space="preserve">Citizens exercising DPA Section 32 right to withhold data consent are routed to CHP manual verification without algorithmic penalty</w:t>
      </w:r>
    </w:p>
    <w:p>
      <w:pPr>
        <w:pStyle w:val="Heading2"/>
      </w:pPr>
      <w:r>
        <w:t xml:space="preserve">8. Digital Ghost Parameters</w:t>
      </w:r>
    </w:p>
    <w:p>
      <w:pPr>
        <w:spacing w:after="120"/>
      </w:pPr>
      <w:r>
        <w:rPr>
          <w:b/>
          <w:bCs/>
        </w:rPr>
        <w:t xml:space="preserve">Trigger Conditions: </w:t>
      </w:r>
      <w:r>
        <w:t xml:space="preserve">No active KRA PIN (PAYE/BUSINESS) AND no NTSA registration AND no SACCO account AND M-Pesa gross below KSh 1,000/month AND zero declared assets</w:t>
      </w:r>
    </w:p>
    <w:p>
      <w:pPr>
        <w:spacing w:after="120"/>
      </w:pPr>
      <w:r>
        <w:rPr>
          <w:b/>
          <w:bCs/>
        </w:rPr>
        <w:t xml:space="preserve">SACCO Bypass (NEW in v2.1): </w:t>
      </w:r>
      <w:r>
        <w:t xml:space="preserve">Citizens with an active SACCO account bypass the Digital Ghost hold — recognizes offline formal financial inclusion</w:t>
      </w:r>
    </w:p>
    <w:p>
      <w:pPr>
        <w:spacing w:after="120"/>
      </w:pPr>
      <w:r>
        <w:rPr>
          <w:b/>
          <w:bCs/>
        </w:rPr>
        <w:t xml:space="preserve">Verification Window: </w:t>
      </w:r>
      <w:r>
        <w:t xml:space="preserve">90-day CHP (Community Health Promoter) physical verification</w:t>
      </w:r>
    </w:p>
    <w:p>
      <w:pPr>
        <w:spacing w:after="120"/>
      </w:pPr>
      <w:r>
        <w:rPr>
          <w:b/>
          <w:bCs/>
        </w:rPr>
        <w:t xml:space="preserve">Provisional Status: </w:t>
      </w:r>
      <w:r>
        <w:t xml:space="preserve">Indigent subsidy granted provisionally pending verification</w:t>
      </w:r>
    </w:p>
    <w:p>
      <w:pPr>
        <w:pStyle w:val="Heading2"/>
      </w:pPr>
      <w:r>
        <w:t xml:space="preserve">9. Fraud Engine Parameters</w:t>
      </w:r>
    </w:p>
    <w:p>
      <w:pPr>
        <w:spacing w:after="120"/>
      </w:pPr>
      <w:r>
        <w:rPr>
          <w:b/>
          <w:bCs/>
        </w:rPr>
        <w:t xml:space="preserve">Total Flags: </w:t>
      </w:r>
      <w:r>
        <w:t xml:space="preserve">18 (expanded from 9 in initial v2.0)</w:t>
      </w:r>
    </w:p>
    <w:p>
      <w:pPr>
        <w:spacing w:after="120"/>
      </w:pPr>
      <w:r>
        <w:rPr>
          <w:b/>
          <w:bCs/>
        </w:rPr>
        <w:t xml:space="preserve">Phantom Dependent Threshold: </w:t>
      </w:r>
      <w:r>
        <w:t xml:space="preserve">Household size above 12 members (confidence: 0.85)</w:t>
      </w:r>
    </w:p>
    <w:p>
      <w:pPr>
        <w:spacing w:after="120"/>
      </w:pPr>
      <w:r>
        <w:rPr>
          <w:b/>
          <w:bCs/>
        </w:rPr>
        <w:t xml:space="preserve">Multi-SIM Confidence: </w:t>
      </w:r>
      <w:r>
        <w:t xml:space="preserve">0.60 base (reduced from 0.85) — upgraded to 0.80 if gross M-Pesa exceeds KSh 50,000. Prevents false positives for legitimate dual-SIM business/personal splits.</w:t>
      </w:r>
    </w:p>
    <w:p>
      <w:pPr>
        <w:spacing w:after="120"/>
      </w:pPr>
      <w:r>
        <w:rPr>
          <w:b/>
          <w:bCs/>
        </w:rPr>
        <w:t xml:space="preserve">County Switch Window: </w:t>
      </w:r>
      <w:r>
        <w:t xml:space="preserve">90 days — IPRS residence change within this window triggers Flag 15</w:t>
      </w:r>
    </w:p>
    <w:p>
      <w:pPr>
        <w:spacing w:after="120"/>
      </w:pPr>
      <w:r>
        <w:rPr>
          <w:b/>
          <w:bCs/>
        </w:rPr>
        <w:t xml:space="preserve">Fuliza Abuse Threshold: </w:t>
      </w:r>
      <w:r>
        <w:t xml:space="preserve">8 or more active defaults triggers Flag 4 (confidence: 0.65)</w:t>
      </w:r>
    </w:p>
    <w:p>
      <w:pPr>
        <w:spacing w:after="120"/>
      </w:pPr>
      <w:r>
        <w:rPr>
          <w:b/>
          <w:bCs/>
        </w:rPr>
        <w:t xml:space="preserve">Multi-Vehicle Tolerance: </w:t>
      </w:r>
      <w:r>
        <w:t xml:space="preserve">1 extra vehicle above declared count before Flag 16 triggers</w:t>
      </w:r>
    </w:p>
    <w:p>
      <w:pPr>
        <w:spacing w:after="120"/>
      </w:pPr>
      <w:r>
        <w:rPr>
          <w:b/>
          <w:bCs/>
        </w:rPr>
        <w:t xml:space="preserve">Risk Percentile: </w:t>
      </w:r>
      <w:r>
        <w:t xml:space="preserve">0-100 scale. Above 50 = manual review recommended. Above 70 = escalate to SHA Fraud Officer.</w:t>
      </w:r>
    </w:p>
    <w:p>
      <w:pPr>
        <w:spacing w:after="120"/>
      </w:pPr>
      <w:r>
        <w:rPr>
          <w:b/>
          <w:bCs/>
        </w:rPr>
        <w:t xml:space="preserve">DPA Compliance: </w:t>
      </w:r>
      <w:r>
        <w:t xml:space="preserve">No automated rejection. All critical flags route to human-in-the-loop review per DPA Section 35.</w:t>
      </w:r>
    </w:p>
    <w:p>
      <w:pPr>
        <w:pStyle w:val="Heading2"/>
      </w:pPr>
      <w:r>
        <w:t xml:space="preserve">10. Revenue Model Parameters</w:t>
      </w:r>
    </w:p>
    <w:p>
      <w:pPr>
        <w:spacing w:after="120"/>
      </w:pPr>
      <w:r>
        <w:rPr>
          <w:b/>
          <w:bCs/>
        </w:rPr>
        <w:t xml:space="preserve">Total Target Population: </w:t>
      </w:r>
      <w:r>
        <w:t xml:space="preserve">15.5 million informal sector households</w:t>
      </w:r>
    </w:p>
    <w:p>
      <w:pPr>
        <w:spacing w:after="120"/>
      </w:pPr>
      <w:r>
        <w:rPr>
          <w:b/>
          <w:bCs/>
        </w:rPr>
        <w:t xml:space="preserve">Average Monthly Contribution: </w:t>
      </w:r>
      <w:r>
        <w:t xml:space="preserve">KSh 520 (reduced from KSh 575 due to new vulnerability exemptions)</w:t>
      </w:r>
    </w:p>
    <w:p>
      <w:pPr>
        <w:spacing w:after="120"/>
      </w:pPr>
      <w:r>
        <w:rPr>
          <w:b/>
          <w:bCs/>
        </w:rPr>
        <w:t xml:space="preserve">Breakeven Compliance Rate: </w:t>
      </w:r>
      <w:r>
        <w:t xml:space="preserve">40% (increased from 36% in v2.0)</w:t>
      </w:r>
    </w:p>
    <w:p>
      <w:pPr>
        <w:spacing w:after="120"/>
      </w:pPr>
      <w:r>
        <w:rPr>
          <w:b/>
          <w:bCs/>
        </w:rPr>
        <w:t xml:space="preserve">Projected Revenue at Target: </w:t>
      </w:r>
      <w:r>
        <w:t xml:space="preserve">KSh 4.84 billion/month at 60% compliance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2026-07-08T22:29:44.010Z</dcterms:created>
  <dcterms:modified xsi:type="dcterms:W3CDTF">2026-07-08T22:29:44.010Z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