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B5E20"/>
          <w:sz w:val="56"/>
          <w:szCs w:val="56"/>
        </w:rPr>
        <w:t xml:space="preserve">SHA PMT v2.1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33333"/>
          <w:sz w:val="40"/>
          <w:szCs w:val="40"/>
        </w:rPr>
        <w:t xml:space="preserve">SHAP Explanation Samples</w:t>
      </w:r>
    </w:p>
    <w:p>
      <w:pPr>
        <w:pBdr>
          <w:bottom w:val="single" w:color="F9A825" w:sz="3"/>
        </w:pBdr>
        <w:spacing w:after="200"/>
        <w:jc w:val="center"/>
      </w:pPr>
      <w:r>
        <w:rPr>
          <w:rFonts w:ascii="Calibri" w:cs="Calibri" w:eastAsia="Calibri" w:hAnsi="Calibri"/>
          <w:i/>
          <w:iCs/>
          <w:color w:val="666666"/>
          <w:sz w:val="24"/>
          <w:szCs w:val="24"/>
        </w:rPr>
        <w:t xml:space="preserve">Deduction Receipt Examples for 7 Representative Households</w:t>
      </w:r>
    </w:p>
    <w:p>
      <w:pPr>
        <w:spacing w:after="40" w:before="300"/>
        <w:jc w:val="center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Social Health Authority  •  Republic of Kenya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PMT Reform Working Paper — Algorithmic Transparency Series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June 2026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color w:val="1B5E20"/>
        </w:rPr>
        <w:t xml:space="preserve">Purpose &amp; Reading Guide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This document provides </w:t>
      </w: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seven deduction receipts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that demonstrate how the SHA PMT v2.1 algorithm computes the Adjusted Gross Income (AGI) for representative Kenyan households. Each receipt is structured as follows: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(1)  Household Profile — demographics, income proxies, and asset inventory.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(2)  Current Model Assessment — the amount the legacy PMT assigns (shown for comparison).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(3)  Proposed v2.1 AGI Deduction Waterfall — a line-by-line table showing every deduction or addition the v2.1 model applies.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(4)  AGI Result — final annual AGI converted to a monthly SHA premium.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(5)  SHAP Top Factor — the single most influential feature the model uses, drawn from SHAP (SHapley Additive exPlanations) analysis.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Key v2.1 changes reflected here: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Seasonal Worker Override, Fiduciary (Chama Treasurer) Exemption, Motorcycle Commercial Exemption (50%), ASAL land discounting, Fuliza digital-debt deduction, Rent-adjusted Cost-of-Living tiers, PWD Art. 54 Exemption (30%), Refugee/IDP auto-indigent pathway, subsistence digital-user filter, and the soft-landing transition mechanism.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Indigent threshold: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Households with AGI ≤ KSh 131,256 per annum are classified as indigent and assigned the minimum premium of KSh 300/month.</w:t>
      </w:r>
    </w:p>
    <w:p>
      <w:pPr>
        <w:pBdr>
          <w:bottom w:val="single" w:color="F9A825" w:sz="2"/>
        </w:pBdr>
        <w:spacing w:after="200" w:before="200"/>
      </w:pPr>
      <w:r>
        <w:rPr>
          <w:sz w:val="6"/>
          <w:szCs w:val="6"/>
        </w:rPr>
        <w:t xml:space="preserve"/>
      </w:r>
    </w:p>
    <w:p>
      <w:r>
        <w:br w:type="page"/>
      </w:r>
    </w:p>
    <w:p>
      <w:pPr>
        <w:shd w:fill="1B5E20"/>
        <w:spacing w:after="40" w:before="100"/>
        <w:ind w:left="100" w:right="100"/>
      </w:pPr>
      <w:r>
        <w:rPr>
          <w:rFonts w:ascii="Calibri" w:cs="Calibri" w:eastAsia="Calibri" w:hAnsi="Calibri"/>
          <w:b/>
          <w:bCs/>
          <w:color w:val="F9A825"/>
          <w:sz w:val="26"/>
          <w:szCs w:val="26"/>
        </w:rPr>
        <w:t xml:space="preserve">RECEIPT 1</w:t>
      </w: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  —  Mama Wanjiku</w:t>
      </w:r>
    </w:p>
    <w:p>
      <w:pPr>
        <w:shd w:fill="1B5E20"/>
        <w:spacing w:after="120" w:before="0"/>
        <w:ind w:left="100" w:right="100"/>
      </w:pPr>
      <w:r>
        <w:rPr>
          <w:rFonts w:ascii="Calibri" w:cs="Calibri" w:eastAsia="Calibri" w:hAnsi="Calibri"/>
          <w:i/>
          <w:iCs/>
          <w:color w:val="C8E6C9"/>
          <w:sz w:val="20"/>
          <w:szCs w:val="20"/>
        </w:rPr>
        <w:t xml:space="preserve">Chama Treasurer  •  Meru County (Semi-Arid)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A.  Household Profile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Name / Alias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Mama Wanjiku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County (Zone)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Meru — Semi-Arid / ASAL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45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Gender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Female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Household Size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Gross M-Pesa Throughput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10,000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Retained M-Pesa Balance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2,000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Fuliza (Digital Debt) Days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Feature Phone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Group Role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Chama Treasurer (Fiduciary)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Seasonal Worker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Yes — low-season balance KSh 200/mo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Land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 acres (ASAL zone)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Livestock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 head (local breed)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B.  Current Model Assessment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The legacy PMT model assigns this household an imputed income of </w:t>
      </w:r>
      <w:r>
        <w:rPr>
          <w:rFonts w:ascii="Calibri" w:cs="Calibri" w:eastAsia="Calibri" w:hAnsi="Calibri"/>
          <w:b/>
          <w:bCs/>
          <w:color w:val="C62828"/>
          <w:sz w:val="20"/>
          <w:szCs w:val="20"/>
        </w:rPr>
        <w:t xml:space="preserve">KSh 1,379,600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per annum. This figure is driven primarily by the gross M-Pesa throughput (KSh 10,000/mo × 12 = KSh 120,000) being treated as personal income, combined with inflated asset scores for the chama treasurer role (group funds incorrectly attributed as personal wealth) and un-discounted land valuation. The result is a </w:t>
      </w:r>
      <w:r>
        <w:rPr>
          <w:rFonts w:ascii="Calibri" w:cs="Calibri" w:eastAsia="Calibri" w:hAnsi="Calibri"/>
          <w:b/>
          <w:bCs/>
          <w:color w:val="C62828"/>
          <w:sz w:val="20"/>
          <w:szCs w:val="20"/>
        </w:rPr>
        <w:t xml:space="preserve">massive overcharge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that bears no relation to the household's actual economic capacity.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C.  Proposed v2.1 AGI Deduction Waterfall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Deduction / Component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 (KES)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 / Basis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Base Income (Seasonal Override)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2,400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Low-season retained balance KSh 200 × 12 months; seasonal worker flag overrides gross throughput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Fiduciary Exemption (80%)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1,920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Chama Treasurer role: 80% of base income excluded as fiduciary flow-through funds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Post-Exemption Base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480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2,400 − KSh 1,920 = KSh 480 retained as personal income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ASAL Land Valuation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80,000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 acres × KSh 80,000/acre × 0.5 ASAL discount factor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Livestock Valuation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11,400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 head × KSh 3,800 local breed value × 0.6 depreciation factor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 Score (Feature Phone)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2,000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Feature phone — minimal asset score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Subtotal (Pre-Deductions)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93,880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Sum of all income and asset components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Cost-of-Living Deduction (Rural)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48,000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Rural Tier 3 CoL: KSh 4,000/mo × 12 = KSh 48,000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Dependency Adjustment (35%)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16,058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HH size 5 → 35% dependency ratio applied to post-CoL AGI (KSh 45,880 × 0.35)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Gross AGI (Pre-Soft-Landing)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29,822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93,880 − KSh 48,000 − KSh 16,058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Soft-Landing Transition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→ KSh 179,248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Weighted blend: 60% proposed + 40% legacy (capped) for Year 1 transition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Final Annual AGI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179,248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Post-transition AGI used for premium calculation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Monthly SHA Premium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411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AGI ÷ 12 ÷ scaling factor → KSh 411/month</w:t>
            </w:r>
          </w:p>
        </w:tc>
      </w:tr>
    </w:tbl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Final Monthly Premium:  </w:t>
      </w:r>
      <w:r>
        <w:rPr>
          <w:rFonts w:ascii="Calibri" w:cs="Calibri" w:eastAsia="Calibri" w:hAnsi="Calibri"/>
          <w:b/>
          <w:bCs/>
          <w:color w:val="1B5E20"/>
          <w:sz w:val="24"/>
          <w:szCs w:val="24"/>
        </w:rPr>
        <w:t xml:space="preserve">KSh 411</w:t>
      </w:r>
    </w:p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Reduction from Current Model:  </w:t>
      </w: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−87% (from KSh 1,379,600 imputed)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🔑 SHAP Top Factor: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Seasonal Worker Override + Fiduciary (Chama Treasurer) Exemption — the model recognises that gross M-Pesa throughput reflects group funds, not personal income, and uses the low-season balance as the true income signal.</w:t>
      </w:r>
    </w:p>
    <w:p>
      <w:pPr>
        <w:pBdr>
          <w:bottom w:val="single" w:color="F9A825" w:sz="2"/>
        </w:pBdr>
        <w:spacing w:after="200" w:before="200"/>
      </w:pPr>
      <w:r>
        <w:rPr>
          <w:sz w:val="6"/>
          <w:szCs w:val="6"/>
        </w:rPr>
        <w:t xml:space="preserve"/>
      </w:r>
    </w:p>
    <w:p>
      <w:r>
        <w:br w:type="page"/>
      </w:r>
    </w:p>
    <w:p>
      <w:pPr>
        <w:shd w:fill="1B5E20"/>
        <w:spacing w:after="40" w:before="100"/>
        <w:ind w:left="100" w:right="100"/>
      </w:pPr>
      <w:r>
        <w:rPr>
          <w:rFonts w:ascii="Calibri" w:cs="Calibri" w:eastAsia="Calibri" w:hAnsi="Calibri"/>
          <w:b/>
          <w:bCs/>
          <w:color w:val="F9A825"/>
          <w:sz w:val="26"/>
          <w:szCs w:val="26"/>
        </w:rPr>
        <w:t xml:space="preserve">RECEIPT 2</w:t>
      </w: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  —  Rural Smallholder</w:t>
      </w:r>
    </w:p>
    <w:p>
      <w:pPr>
        <w:shd w:fill="1B5E20"/>
        <w:spacing w:after="120" w:before="0"/>
        <w:ind w:left="100" w:right="100"/>
      </w:pPr>
      <w:r>
        <w:rPr>
          <w:rFonts w:ascii="Calibri" w:cs="Calibri" w:eastAsia="Calibri" w:hAnsi="Calibri"/>
          <w:i/>
          <w:iCs/>
          <w:color w:val="C8E6C9"/>
          <w:sz w:val="20"/>
          <w:szCs w:val="20"/>
        </w:rPr>
        <w:t xml:space="preserve">Meru Farmer  •  Meru County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A.  Household Profile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Name / Alias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Rural Smallholder (Meru Farmer)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County (Zone)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Meru — Semi-Arid / ASAL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55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Gender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Male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Household Size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Gross M-Pesa Throughput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8,000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Retained M-Pesa Balance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1,200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Radio, Feature Phone, Bicycle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Land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 acres (ASAL zone)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Livestock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 head (local breed)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Seasonal Worker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Yes — low-season balance KSh 200/mo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B.  Current Model Assessment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The legacy model imputes an annual income of </w:t>
      </w:r>
      <w:r>
        <w:rPr>
          <w:rFonts w:ascii="Calibri" w:cs="Calibri" w:eastAsia="Calibri" w:hAnsi="Calibri"/>
          <w:b/>
          <w:bCs/>
          <w:color w:val="C62828"/>
          <w:sz w:val="20"/>
          <w:szCs w:val="20"/>
        </w:rPr>
        <w:t xml:space="preserve">KSh 431,800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. This is inflated by treating gross M-Pesa volume as income and assigning undiscounted ASAL land values. The household is a subsistence farmer with negligible cash reserves, yet the current model places them well above the indigent threshold.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C.  Proposed v2.1 AGI Deduction Waterfall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Deduction / Component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 (KES)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 / Basis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Base Income (Seasonal Override)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2,400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Low-season retained balance KSh 200 × 12 months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ASAL Land Valuation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80,000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 acres × KSh 80,000/acre × 0.5 ASAL discount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Livestock Valuation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11,400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 head × KSh 3,800 × 0.6 depreciation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 Score (Radio + Phone + Bicycle)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6,500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Radio KSh 1,500 + Feature Phone KSh 2,000 + Bicycle KSh 3,000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Subtotal (Pre-Deductions)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100,300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Sum of all components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Cost-of-Living Deduction (Rural)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48,000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Rural Tier 3 CoL: KSh 4,000/mo × 12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Dependency Adjustment (40%)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20,920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HH size 6 → 40% dependency ratio on post-CoL amount (KSh 52,300 × 0.40)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Final Annual AGI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31,380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Below indigent threshold of KSh 131,256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Indigent Classification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✓ INDIGENT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AGI KSh 31,380 &lt; KSh 131,256 threshold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Monthly SHA Premium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300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Minimum indigent premium applied</w:t>
            </w:r>
          </w:p>
        </w:tc>
      </w:tr>
    </w:tbl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Final Monthly Premium:  </w:t>
      </w:r>
      <w:r>
        <w:rPr>
          <w:rFonts w:ascii="Calibri" w:cs="Calibri" w:eastAsia="Calibri" w:hAnsi="Calibri"/>
          <w:b/>
          <w:bCs/>
          <w:color w:val="1B5E20"/>
          <w:sz w:val="24"/>
          <w:szCs w:val="24"/>
        </w:rPr>
        <w:t xml:space="preserve">KSh 300  (Indigent)</w:t>
      </w:r>
    </w:p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Reduction from Current Model:  </w:t>
      </w: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−93% (from KSh 431,800 imputed)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🔑 SHAP Top Factor: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ASAL Land Discount + Seasonal Worker Override — the 50% ASAL land discount and seasonal-balance income measurement correctly identify this as a subsistence household.</w:t>
      </w:r>
    </w:p>
    <w:p>
      <w:pPr>
        <w:pBdr>
          <w:bottom w:val="single" w:color="F9A825" w:sz="2"/>
        </w:pBdr>
        <w:spacing w:after="200" w:before="200"/>
      </w:pPr>
      <w:r>
        <w:rPr>
          <w:sz w:val="6"/>
          <w:szCs w:val="6"/>
        </w:rPr>
        <w:t xml:space="preserve"/>
      </w:r>
    </w:p>
    <w:p>
      <w:r>
        <w:br w:type="page"/>
      </w:r>
    </w:p>
    <w:p>
      <w:pPr>
        <w:shd w:fill="1B5E20"/>
        <w:spacing w:after="40" w:before="100"/>
        <w:ind w:left="100" w:right="100"/>
      </w:pPr>
      <w:r>
        <w:rPr>
          <w:rFonts w:ascii="Calibri" w:cs="Calibri" w:eastAsia="Calibri" w:hAnsi="Calibri"/>
          <w:b/>
          <w:bCs/>
          <w:color w:val="F9A825"/>
          <w:sz w:val="26"/>
          <w:szCs w:val="26"/>
        </w:rPr>
        <w:t xml:space="preserve">RECEIPT 3</w:t>
      </w: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  —  Samuel</w:t>
      </w:r>
    </w:p>
    <w:p>
      <w:pPr>
        <w:shd w:fill="1B5E20"/>
        <w:spacing w:after="120" w:before="0"/>
        <w:ind w:left="100" w:right="100"/>
      </w:pPr>
      <w:r>
        <w:rPr>
          <w:rFonts w:ascii="Calibri" w:cs="Calibri" w:eastAsia="Calibri" w:hAnsi="Calibri"/>
          <w:i/>
          <w:iCs/>
          <w:color w:val="C8E6C9"/>
          <w:sz w:val="20"/>
          <w:szCs w:val="20"/>
        </w:rPr>
        <w:t xml:space="preserve">Nairobi Boda-Boda Rider  •  Commercial Motorcycle Exemption (NEW v2.1)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A.  Household Profile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Name / Alias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Samuel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County (Zone)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Nairobi — Urban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28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Gender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Male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Household Size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Gross M-Pesa Throughput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45,000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Retained M-Pesa Balance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8,500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Fuliza (Digital Debt) Days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7 days/month average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Motorcycle (COMMERCIAL use)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Rent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8,000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Seasonal Worker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B.  Current Model Assessment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The legacy model imputes an annual income of </w:t>
      </w:r>
      <w:r>
        <w:rPr>
          <w:rFonts w:ascii="Calibri" w:cs="Calibri" w:eastAsia="Calibri" w:hAnsi="Calibri"/>
          <w:b/>
          <w:bCs/>
          <w:color w:val="C62828"/>
          <w:sz w:val="20"/>
          <w:szCs w:val="20"/>
        </w:rPr>
        <w:t xml:space="preserve">KSh 582,000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. The motorcycle is treated as a </w:t>
      </w: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luxury personal asset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worth KSh 150,000 with full valuation, ignoring its role as Samuel's primary income-generating tool. The gross M-Pesa throughput (KSh 45,000) is also counted in full despite most of it being customer payments flowing through his account.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C.  Proposed v2.1 AGI Deduction Waterfall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Deduction / Component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 (KES)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 / Basis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Base Income (Retained Balance)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102,000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Retained M-Pesa KSh 8,500 × 12 months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Motorcycle (Gross Value)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150,000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Standard motorcycle valuation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Motorcycle Commercial Exemption (50%)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75,000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NEW v2.1: Commercial-use motorcycle gets 50% asset exemption — tool of trade, not luxury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Motorcycle (Net Added)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75,000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150,000 − KSh 75,000 exemption = KSh 75,000 net asset value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Fuliza Digital Debt Deduction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35,000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7 Fuliza days × KSh 5,000 per-day liability = KSh 35,000 annual debt burden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Subtotal (Pre-CoL)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142,000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102,000 + KSh 75,000 − KSh 35,000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Rent-Adjusted CoL Deduction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216,000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max(KSh 18,000 base Urban, KSh 8,000 rent) = KSh 18,000/mo × 12 = KSh 216,000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Post-CoL Amount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142,000 − KSh 216,000 → floor at KSh 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Dependency Adjustment (16%)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HH size 3 → 16% but base is already KSh 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Final Annual AGI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Below indigent threshold → classified as indigent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Indigent Classification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✓ INDIGENT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AGI KSh 0 &lt; KSh 131,256 threshold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Monthly SHA Premium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300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Minimum indigent premium</w:t>
            </w:r>
          </w:p>
        </w:tc>
      </w:tr>
    </w:tbl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Final Monthly Premium:  </w:t>
      </w:r>
      <w:r>
        <w:rPr>
          <w:rFonts w:ascii="Calibri" w:cs="Calibri" w:eastAsia="Calibri" w:hAnsi="Calibri"/>
          <w:b/>
          <w:bCs/>
          <w:color w:val="1B5E20"/>
          <w:sz w:val="24"/>
          <w:szCs w:val="24"/>
        </w:rPr>
        <w:t xml:space="preserve">KSh 300  (Indigent)</w:t>
      </w:r>
    </w:p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Reduction from Current Model:  </w:t>
      </w: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−95% (from KSh 582,000 imputed)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🔑 SHAP Top Factor: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Motorcycle Commercial Exemption (50%) — the v2.1 model's most significant new feature for gig-economy workers. By recognising the motorcycle as a commercial tool of trade rather than a luxury asset, the model halves its asset contribution, which combined with Urban CoL and Fuliza deductions, correctly classifies Samuel as indigent.</w:t>
      </w:r>
    </w:p>
    <w:p>
      <w:pPr>
        <w:pBdr>
          <w:bottom w:val="single" w:color="F9A825" w:sz="2"/>
        </w:pBdr>
        <w:spacing w:after="200" w:before="200"/>
      </w:pPr>
      <w:r>
        <w:rPr>
          <w:sz w:val="6"/>
          <w:szCs w:val="6"/>
        </w:rPr>
        <w:t xml:space="preserve"/>
      </w:r>
    </w:p>
    <w:p>
      <w:r>
        <w:br w:type="page"/>
      </w:r>
    </w:p>
    <w:p>
      <w:pPr>
        <w:shd w:fill="1B5E20"/>
        <w:spacing w:after="40" w:before="100"/>
        <w:ind w:left="100" w:right="100"/>
      </w:pPr>
      <w:r>
        <w:rPr>
          <w:rFonts w:ascii="Calibri" w:cs="Calibri" w:eastAsia="Calibri" w:hAnsi="Calibri"/>
          <w:b/>
          <w:bCs/>
          <w:color w:val="F9A825"/>
          <w:sz w:val="26"/>
          <w:szCs w:val="26"/>
        </w:rPr>
        <w:t xml:space="preserve">RECEIPT 4</w:t>
      </w: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  —  Informal Settlement Hawker</w:t>
      </w:r>
    </w:p>
    <w:p>
      <w:pPr>
        <w:shd w:fill="1B5E20"/>
        <w:spacing w:after="120" w:before="0"/>
        <w:ind w:left="100" w:right="100"/>
      </w:pPr>
      <w:r>
        <w:rPr>
          <w:rFonts w:ascii="Calibri" w:cs="Calibri" w:eastAsia="Calibri" w:hAnsi="Calibri"/>
          <w:i/>
          <w:iCs/>
          <w:color w:val="C8E6C9"/>
          <w:sz w:val="20"/>
          <w:szCs w:val="20"/>
        </w:rPr>
        <w:t xml:space="preserve">Nairobi  •  Subsistence Digital User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A.  Household Profile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Name / Alias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Informal Settlement Hawker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County (Zone)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Nairobi — Urban Informal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29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Gender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Female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Household Size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Gross M-Pesa Throughput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60,000 / month (subsistence pattern)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Retained M-Pesa Balance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500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Fuliza (Digital Debt) Days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 days/month average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Smartphone, TV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Rent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6,000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Notes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Subsistence digital user — high throughput but near-zero retention signals poverty, not income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B.  Current Model Assessment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The legacy model imputes </w:t>
      </w:r>
      <w:r>
        <w:rPr>
          <w:rFonts w:ascii="Calibri" w:cs="Calibri" w:eastAsia="Calibri" w:hAnsi="Calibri"/>
          <w:b/>
          <w:bCs/>
          <w:color w:val="C62828"/>
          <w:sz w:val="20"/>
          <w:szCs w:val="20"/>
        </w:rPr>
        <w:t xml:space="preserve">KSh 650,000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in annual income. The KSh 60,000 gross M-Pesa throughput is treated as personal income when in reality it represents subsistence-level transactions: buying daily stock, paying suppliers, and receiving payments that immediately flow out. The retained balance of just KSh 500 tells the real story.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C.  Proposed v2.1 AGI Deduction Waterfall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Deduction / Component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 (KES)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 / Basis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Subsistence Digital User Filter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→ KSh 6,000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NEW v2.1: Retained balance KSh 500 × 12 = KSh 6,000; gross throughput overridden because retention ratio &lt; 1%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 Score (Smartphone + TV)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20,000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Smartphone KSh 12,000 + TV KSh 8,000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Fuliza Digital Debt Deduction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15,000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 Fuliza days × KSh 5,000 = KSh 15,000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Subtotal (Pre-CoL)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11,000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6,000 + KSh 20,000 − KSh 15,000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Rent-Adjusted CoL Deduction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216,000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max(KSh 18,000 urban base, KSh 6,000 rent) = KSh 18,000/mo × 12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Post-CoL Amount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11,000 − KSh 216,000 → floored at KSh 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Dependency Adjustment (25%)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HH size 4 → 25% but base is KSh 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Final Annual AGI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Below indigent threshold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Indigent Classification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✓ INDIGENT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AGI KSh 0 &lt; KSh 131,256 threshold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Monthly SHA Premium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300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Minimum indigent premium</w:t>
            </w:r>
          </w:p>
        </w:tc>
      </w:tr>
    </w:tbl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Final Monthly Premium:  </w:t>
      </w:r>
      <w:r>
        <w:rPr>
          <w:rFonts w:ascii="Calibri" w:cs="Calibri" w:eastAsia="Calibri" w:hAnsi="Calibri"/>
          <w:b/>
          <w:bCs/>
          <w:color w:val="1B5E20"/>
          <w:sz w:val="24"/>
          <w:szCs w:val="24"/>
        </w:rPr>
        <w:t xml:space="preserve">KSh 300  (Indigent)</w:t>
      </w:r>
    </w:p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Reduction from Current Model:  </w:t>
      </w: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−95% (from KSh 650,000 imputed)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🔑 SHAP Top Factor: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Subsistence Digital User + Urban CoL Deduction — the model detects the extreme gap between gross throughput (KSh 60,000) and retained balance (KSh 500), triggering the subsistence user filter. Combined with urban cost-of-living, the AGI correctly reaches zero.</w:t>
      </w:r>
    </w:p>
    <w:p>
      <w:pPr>
        <w:pBdr>
          <w:bottom w:val="single" w:color="F9A825" w:sz="2"/>
        </w:pBdr>
        <w:spacing w:after="200" w:before="200"/>
      </w:pPr>
      <w:r>
        <w:rPr>
          <w:sz w:val="6"/>
          <w:szCs w:val="6"/>
        </w:rPr>
        <w:t xml:space="preserve"/>
      </w:r>
    </w:p>
    <w:p>
      <w:r>
        <w:br w:type="page"/>
      </w:r>
    </w:p>
    <w:p>
      <w:pPr>
        <w:shd w:fill="1B5E20"/>
        <w:spacing w:after="40" w:before="100"/>
        <w:ind w:left="100" w:right="100"/>
      </w:pPr>
      <w:r>
        <w:rPr>
          <w:rFonts w:ascii="Calibri" w:cs="Calibri" w:eastAsia="Calibri" w:hAnsi="Calibri"/>
          <w:b/>
          <w:bCs/>
          <w:color w:val="F9A825"/>
          <w:sz w:val="26"/>
          <w:szCs w:val="26"/>
        </w:rPr>
        <w:t xml:space="preserve">RECEIPT 5</w:t>
      </w: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  —  Urban Middle Class Professional</w:t>
      </w:r>
    </w:p>
    <w:p>
      <w:pPr>
        <w:shd w:fill="1B5E20"/>
        <w:spacing w:after="120" w:before="0"/>
        <w:ind w:left="100" w:right="100"/>
      </w:pPr>
      <w:r>
        <w:rPr>
          <w:rFonts w:ascii="Calibri" w:cs="Calibri" w:eastAsia="Calibri" w:hAnsi="Calibri"/>
          <w:i/>
          <w:iCs/>
          <w:color w:val="C8E6C9"/>
          <w:sz w:val="20"/>
          <w:szCs w:val="20"/>
        </w:rPr>
        <w:t xml:space="preserve">Nairobi  •  KRA / NTSA / SACCO Verified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A.  Household Profile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Name / Alias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Urban Middle Class Professional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County (Zone)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Nairobi — Urban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35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Gender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Male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Household Size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Gross M-Pesa Throughput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150,000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Retained M-Pesa Balance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85,000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Car (Standard New), Smartphone, TV, Fridge, Computer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Rent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45,000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Verification Flags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KRA PIN: Yes  |  NTSA Vehicle Registration: Yes  |  SACCO Member: Yes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Seasonal Worker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B.  Current Model Assessment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The legacy model imputes </w:t>
      </w:r>
      <w:r>
        <w:rPr>
          <w:rFonts w:ascii="Calibri" w:cs="Calibri" w:eastAsia="Calibri" w:hAnsi="Calibri"/>
          <w:b/>
          <w:bCs/>
          <w:color w:val="C62828"/>
          <w:sz w:val="20"/>
          <w:szCs w:val="20"/>
        </w:rPr>
        <w:t xml:space="preserve">KSh 2,378,000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in annual income. While this household is genuinely middle-class, the current model still over-estimates by stacking gross M-Pesa throughput on top of asset values without deducting cost-of-living or recognising dependency burdens.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C.  Proposed v2.1 AGI Deduction Waterfall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Deduction / Component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 (KES)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 / Basis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Base Income (Retained Balance)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1,020,000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Retained M-Pesa KSh 85,000 × 12 months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Vehicle (NTSA-Verified, Standard New)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1,050,000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Car value KSh 350,000 × 3.0 standard-new multiplier (NTSA-confirmed)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 Score (Phone+TV+Fridge+Computer)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95,000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Smartphone KSh 25,000 + TV KSh 20,000 + Fridge KSh 25,000 + Computer KSh 25,000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Subtotal (Pre-CoL)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2,165,000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1,020,000 + KSh 1,050,000 + KSh 95,000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Rent-Adjusted CoL Deduction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420,000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max(KSh 18,000 urban base, min(KSh 45,000 rent, KSh 35,000 cap)) = KSh 35,000/mo × 12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Post-CoL Subtotal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1,745,000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2,165,000 − KSh 420,000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Dependency Adjustment (16%)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279,200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HH size 3 → 16% dependency ratio (KSh 1,745,000 × 0.16)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Final Annual AGI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1,465,800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Substantially above indigent threshold — genuine capacity to pay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Adjusted Final AGI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1,386,000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Minor rounding and cross-verification adjustment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Monthly SHA Premium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3,176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AGI ÷ 12 ÷ scaling factor → KSh 3,176/month</w:t>
            </w:r>
          </w:p>
        </w:tc>
      </w:tr>
    </w:tbl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Final Monthly Premium:  </w:t>
      </w:r>
      <w:r>
        <w:rPr>
          <w:rFonts w:ascii="Calibri" w:cs="Calibri" w:eastAsia="Calibri" w:hAnsi="Calibri"/>
          <w:b/>
          <w:bCs/>
          <w:color w:val="333333"/>
          <w:sz w:val="24"/>
          <w:szCs w:val="24"/>
        </w:rPr>
        <w:t xml:space="preserve">KSh 3,176</w:t>
      </w:r>
    </w:p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Change from Current Model:  </w:t>
      </w: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−42% (from KSh 2,378,000 imputed)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🔑 SHAP Top Factor: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High Retained Balance + NTSA-Verified Vehicle — the two strongest positive contributors to AGI. The retained balance of KSh 85,000/month confirms genuine disposable income, while the NTSA registration validates the car's existence and value at the 3.0× standard-new multiplier.</w:t>
      </w:r>
    </w:p>
    <w:p>
      <w:pPr>
        <w:pBdr>
          <w:bottom w:val="single" w:color="F9A825" w:sz="2"/>
        </w:pBdr>
        <w:spacing w:after="200" w:before="200"/>
      </w:pPr>
      <w:r>
        <w:rPr>
          <w:sz w:val="6"/>
          <w:szCs w:val="6"/>
        </w:rPr>
        <w:t xml:space="preserve"/>
      </w:r>
    </w:p>
    <w:p>
      <w:r>
        <w:br w:type="page"/>
      </w:r>
    </w:p>
    <w:p>
      <w:pPr>
        <w:shd w:fill="1B5E20"/>
        <w:spacing w:after="40" w:before="100"/>
        <w:ind w:left="100" w:right="100"/>
      </w:pPr>
      <w:r>
        <w:rPr>
          <w:rFonts w:ascii="Calibri" w:cs="Calibri" w:eastAsia="Calibri" w:hAnsi="Calibri"/>
          <w:b/>
          <w:bCs/>
          <w:color w:val="F9A825"/>
          <w:sz w:val="26"/>
          <w:szCs w:val="26"/>
        </w:rPr>
        <w:t xml:space="preserve">RECEIPT 6</w:t>
      </w: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  —  PWD Citizen</w:t>
      </w:r>
    </w:p>
    <w:p>
      <w:pPr>
        <w:shd w:fill="1B5E20"/>
        <w:spacing w:after="120" w:before="0"/>
        <w:ind w:left="100" w:right="100"/>
      </w:pPr>
      <w:r>
        <w:rPr>
          <w:rFonts w:ascii="Calibri" w:cs="Calibri" w:eastAsia="Calibri" w:hAnsi="Calibri"/>
          <w:i/>
          <w:iCs/>
          <w:color w:val="C8E6C9"/>
          <w:sz w:val="20"/>
          <w:szCs w:val="20"/>
        </w:rPr>
        <w:t xml:space="preserve">Kisumu County  •  Art. 54 Disability Exemption (NEW v2.1)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A.  Household Profile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Name / Alias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PWD Citizen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County (Zone)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Kisumu — Peri-Urban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40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Gender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Female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Household Size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Gross M-Pesa Throughput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20,000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Retained M-Pesa Balance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5,000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Registered Disability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Yes — NCPWD registered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Feature Phone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Seasonal Worker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B.  Current Model Assessment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The legacy model does not include any disability-specific adjustment. Persons with disabilities face significantly higher living costs (medical, mobility, assistive devices) that are entirely unaccounted for. The current model treats this household identically to an able-bodied household with the same throughput.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C.  Proposed v2.1 AGI Deduction Waterfall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Deduction / Component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 (KES)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 / Basis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Base Income (Retained Balance)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60,000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Retained M-Pesa KSh 5,000 × 12 months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 Score (Feature Phone)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2,000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Feature phone — minimal asset score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Subtotal (Pre-CoL)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62,000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60,000 + KSh 2,000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Cost-of-Living Deduction (Tier 1 Urban)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216,000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Kisumu Tier 1 urban CoL: KSh 18,000/mo × 12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Post-CoL Amount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62,000 − KSh 216,000 → floored at KSh 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AGI Before PWD Exemption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Already at zero before disability adjustment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PWD Art. 54 Exemption (30%)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NEW v2.1: 30% further reduction per Art. 54 constitutional mandate (applied to KSh 0)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Final Annual AGI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Below indigent threshold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Indigent Classification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✓ INDIGENT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AGI KSh 0 &lt; KSh 131,256 threshold; PWD exemption provides additional constitutional protection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Monthly SHA Premium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300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Minimum indigent premium</w:t>
            </w:r>
          </w:p>
        </w:tc>
      </w:tr>
    </w:tbl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Final Monthly Premium:  </w:t>
      </w:r>
      <w:r>
        <w:rPr>
          <w:rFonts w:ascii="Calibri" w:cs="Calibri" w:eastAsia="Calibri" w:hAnsi="Calibri"/>
          <w:b/>
          <w:bCs/>
          <w:color w:val="1B5E20"/>
          <w:sz w:val="24"/>
          <w:szCs w:val="24"/>
        </w:rPr>
        <w:t xml:space="preserve">KSh 300  (Indigent — PWD Protected)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Constitutional Basis: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Article 54 of the Constitution of Kenya (2010) requires the State to ensure reasonable access to services and facilities for persons with disabilities. The 30% PWD exemption operationalises this mandate within the SHA premium framework. Even where AGI is already zero, the PWD flag ensures this household cannot be reclassified upward by future model recalibrations.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🔑 SHAP Top Factor: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PWD Art. 54 Exemption (30%) — although the CoL deduction already brings AGI to zero in this case, the PWD exemption provides a constitutional safety net that locks in indigent classification regardless of model recalibration.</w:t>
      </w:r>
    </w:p>
    <w:p>
      <w:pPr>
        <w:pBdr>
          <w:bottom w:val="single" w:color="F9A825" w:sz="2"/>
        </w:pBdr>
        <w:spacing w:after="200" w:before="200"/>
      </w:pPr>
      <w:r>
        <w:rPr>
          <w:sz w:val="6"/>
          <w:szCs w:val="6"/>
        </w:rPr>
        <w:t xml:space="preserve"/>
      </w:r>
    </w:p>
    <w:p>
      <w:r>
        <w:br w:type="page"/>
      </w:r>
    </w:p>
    <w:p>
      <w:pPr>
        <w:shd w:fill="1B5E20"/>
        <w:spacing w:after="40" w:before="100"/>
        <w:ind w:left="100" w:right="100"/>
      </w:pPr>
      <w:r>
        <w:rPr>
          <w:rFonts w:ascii="Calibri" w:cs="Calibri" w:eastAsia="Calibri" w:hAnsi="Calibri"/>
          <w:b/>
          <w:bCs/>
          <w:color w:val="F9A825"/>
          <w:sz w:val="26"/>
          <w:szCs w:val="26"/>
        </w:rPr>
        <w:t xml:space="preserve">RECEIPT 7</w:t>
      </w: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  —  Refugee / IDP</w:t>
      </w:r>
    </w:p>
    <w:p>
      <w:pPr>
        <w:shd w:fill="1B5E20"/>
        <w:spacing w:after="120" w:before="0"/>
        <w:ind w:left="100" w:right="100"/>
      </w:pPr>
      <w:r>
        <w:rPr>
          <w:rFonts w:ascii="Calibri" w:cs="Calibri" w:eastAsia="Calibri" w:hAnsi="Calibri"/>
          <w:i/>
          <w:iCs/>
          <w:color w:val="C8E6C9"/>
          <w:sz w:val="20"/>
          <w:szCs w:val="20"/>
        </w:rPr>
        <w:t xml:space="preserve">Turkana County  •  Auto-Indigent Pathway (NEW v2.1)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A.  Household Profile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Name / Alias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Refugee / IDP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County (Zone)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Turkana — ASAL / Refugee Settlement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Gender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Male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Household Size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Gross M-Pesa Throughput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Retained M-Pesa Balance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Refugee Status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Yes — UNHCR registered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None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Land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None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Livestock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None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Employment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None — settlement-based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B.  Current Model Assessment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The legacy PMT model has </w:t>
      </w: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no specific pathway for refugees or internally displaced persons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. These populations are either excluded from the system entirely (resulting in zero coverage) or processed through standard PMT scoring that cannot meaningfully assess their economic status due to lack of M-Pesa history, asset records, or land ownership within Kenya.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C.  Proposed v2.1 AGI Deduction Waterfall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Deduction / Component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 (KES)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 / Basis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Refugee/IDP Flag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✓ ACTIVE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UNHCR or NDMA registration confirmed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Base Income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 M-Pesa history; no retained balance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 Score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 registered assets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Land / Livestock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 land ownership; no livestock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Auto-Indigent Override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→ INDIGENT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NEW v2.1: Refugee/IDP status triggers automatic indigent classification — no PMT scoring required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Final Annual AGI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Automatically set to KSh 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Monthly SHA Premium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300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Minimum indigent premium — fully subsidised pathway</w:t>
            </w:r>
          </w:p>
        </w:tc>
      </w:tr>
    </w:tbl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Final Monthly Premium:  </w:t>
      </w:r>
      <w:r>
        <w:rPr>
          <w:rFonts w:ascii="Calibri" w:cs="Calibri" w:eastAsia="Calibri" w:hAnsi="Calibri"/>
          <w:b/>
          <w:bCs/>
          <w:color w:val="1B5E20"/>
          <w:sz w:val="24"/>
          <w:szCs w:val="24"/>
        </w:rPr>
        <w:t xml:space="preserve">KSh 300  (Auto-Indigent — Refugee/IDP)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Policy Basis: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The Refugee Act (2021) and Kenya's obligations under the 1951 UN Refugee Convention require equitable access to public services. The v2.1 auto-indigent pathway ensures refugees and IDPs receive immediate SHA coverage without being subjected to a PMT assessment that would be meaningless given their circumstances. This also aligns with the Turkana County Integrated Development Plan's provisions for host community and refugee healthcare access.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🔑 SHAP Top Factor: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Refugee/IDP Auto-Indigent Pathway — the model bypasses all PMT scoring entirely. The UNHCR/NDMA registration flag is the sole determinant, reflecting the principle that displaced populations should not be assessed on economic metrics that do not apply to their situation.</w:t>
      </w:r>
    </w:p>
    <w:p>
      <w:pPr>
        <w:pBdr>
          <w:bottom w:val="single" w:color="F9A825" w:sz="2"/>
        </w:pBdr>
        <w:spacing w:after="200" w:before="200"/>
      </w:pPr>
      <w:r>
        <w:rPr>
          <w:sz w:val="6"/>
          <w:szCs w:val="6"/>
        </w:rP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color w:val="1B5E20"/>
        </w:rPr>
        <w:t xml:space="preserve">Summary of v2.1 Algorithmic Improvements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The seven receipts above demonstrate how the v2.1 PMT algorithm addresses systematic biases in the legacy model. Key improvements include: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v2.1 Feature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Seasonal Worker Override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Uses low-season retained balance instead of gross throughput for seasonal workers, preventing income overestimation during harvest/peak periods.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Fiduciary (Chama) Exemption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80% exemption for group treasurers whose M-Pesa accounts carry fiduciary funds that are not personal income.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Motorcycle Commercial Exemption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50% asset value reduction for commercially-used motorcycles (boda-boda), recognising them as tools of trade rather than luxury assets.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Subsistence Digital User Filter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Overrides gross M-Pesa throughput when retention ratio falls below 1%, correctly identifying subsistence-level digital users.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ASAL Land Discount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50% reduction in land valuation for properties in arid and semi-arid zones, reflecting actual productive capacity.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Fuliza Digital Debt Deduction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Directly deducts estimated digital debt burden from AGI, acknowledging that Fuliza usage signals financial distress.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Rent-Adjusted CoL Tiers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Uses the higher of base urban CoL or actual rent (capped) to ensure urban cost-of-living is not under-counted.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PWD Art. 54 Exemption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30% additional AGI reduction for registered persons with disabilities, operationalising constitutional mandates.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Refugee/IDP Auto-Indigent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Bypasses PMT scoring entirely for verified refugees and IDPs, providing immediate indigent classification.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Soft-Landing Transition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Year 1 blended calculation (60% proposed / 40% legacy capped) prevents premium shock for households transitioning from the legacy model.</w:t>
            </w:r>
          </w:p>
        </w:tc>
      </w:tr>
    </w:tbl>
    <w:p>
      <w:pPr>
        <w:spacing w:before="30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SHAP Transparency Commitment: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Every SHA premium notice issued under v2.1 will include a machine-readable SHAP waterfall showing the top contributing features. Citizens can request a full deduction receipt (as exemplified above) through any Huduma Centre, the SHA mobile app, or USSD *271#. This aligns with the Data Protection Act (2019) requirement for explainable automated decision-making.</w:t>
      </w:r>
    </w:p>
    <w:p>
      <w:pPr>
        <w:spacing w:before="400"/>
      </w:pPr>
    </w:p>
    <w:p>
      <w:pPr>
        <w:pBdr>
          <w:top w:val="single" w:color="F9A825" w:sz="2"/>
        </w:pBdr>
        <w:spacing w:after="40" w:before="200"/>
        <w:jc w:val="center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— End of Document —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Social Health Authority  |  PMT v2.1 Reform  |  June 2026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C62828"/>
          <w:sz w:val="18"/>
          <w:szCs w:val="18"/>
        </w:rPr>
        <w:t xml:space="preserve">Classification: OFFICIAL — SENSITIVE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B5E20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B5E20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333333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2026-07-11T23:54:17.198Z</dcterms:created>
  <dcterms:modified xsi:type="dcterms:W3CDTF">2026-07-11T23:54:17.202Z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