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 PMT v2.1 — Algorithmic Assumptions &amp; Proxy Justifications</w:t>
      </w:r>
    </w:p>
    <w:p>
      <w:r/>
      <w:r>
        <w:rPr>
          <w:b/>
        </w:rPr>
        <w:t>Document Version:</w:t>
      </w:r>
      <w:r>
        <w:t xml:space="preserve"> 2.1-Final</w:t>
      </w:r>
    </w:p>
    <w:p>
      <w:r/>
      <w:r>
        <w:rPr>
          <w:b/>
        </w:rPr>
        <w:t>Date:</w:t>
      </w:r>
      <w:r>
        <w:t xml:space="preserve"> June 2026</w:t>
      </w:r>
    </w:p>
    <w:p>
      <w:r/>
      <w:r>
        <w:rPr>
          <w:b/>
        </w:rPr>
        <w:t>Purpose:</w:t>
      </w:r>
      <w:r>
        <w:t xml:space="preserve"> Documents all algorithmic proxies, assumptions, and deduction logic used in the SHA PMT v2.1 means-testing algorithm, with legal justifications citing specific Constitutional articles, DPA sections, and relevant statutes.</w:t>
      </w:r>
    </w:p>
    <w:p>
      <w:r>
        <w:t>────────────────────────────────────────────────────────────</w:t>
      </w:r>
    </w:p>
    <w:p>
      <w:r>
        <w:t>## 1. Core Algorithmic Framework</w:t>
      </w:r>
    </w:p>
    <w:p>
      <w:r>
        <w:t xml:space="preserve">The SHA PMT v2.1 algorithm uses an </w:t>
      </w:r>
      <w:r>
        <w:rPr>
          <w:b/>
        </w:rPr>
        <w:t>Adjustable Gross Income (AGI)</w:t>
      </w:r>
      <w:r>
        <w:t xml:space="preserve"> model. Rather than changing the legally mandated 2.75% contribution rate (SHIA §27), the algorithm applies evidence-based deductions to a citizen's gross income </w:t>
      </w:r>
      <w:r>
        <w:rPr>
          <w:i/>
        </w:rPr>
        <w:t>before</w:t>
      </w:r>
      <w:r>
        <w:t xml:space="preserve"> applying the flat rate. This ensures:</w:t>
      </w:r>
    </w:p>
    <w:p>
      <w:pPr>
        <w:pStyle w:val="ListBullet"/>
      </w:pPr>
      <w:r>
        <w:t>Legal compliance with the SHIA contribution formula</w:t>
      </w:r>
    </w:p>
    <w:p>
      <w:pPr>
        <w:pStyle w:val="ListBullet"/>
      </w:pPr>
      <w:r>
        <w:t>Fairness through behavior-based (not identity-based) adjustments</w:t>
      </w:r>
    </w:p>
    <w:p>
      <w:pPr>
        <w:pStyle w:val="ListBullet"/>
      </w:pPr>
      <w:r>
        <w:t>Transparency through documented, auditable deduction logic</w:t>
      </w:r>
    </w:p>
    <w:p>
      <w:r/>
      <w:r>
        <w:rPr>
          <w:b/>
        </w:rPr>
        <w:t>Formula:</w:t>
      </w:r>
      <w:r>
        <w:t xml:space="preserve"> </w:t>
      </w:r>
      <w:r>
        <w:rPr>
          <w:rFonts w:ascii="Consolas" w:hAnsi="Consolas"/>
          <w:color w:val="880000"/>
          <w:sz w:val="18"/>
        </w:rPr>
        <w:t>Monthly Contribution = max(300, (AGI × 2.75%) / 12)</w:t>
      </w:r>
      <w:r/>
    </w:p>
    <w:p>
      <w:r>
        <w:t xml:space="preserve">Where: </w:t>
      </w:r>
      <w:r>
        <w:rPr>
          <w:rFonts w:ascii="Consolas" w:hAnsi="Consolas"/>
          <w:color w:val="880000"/>
          <w:sz w:val="18"/>
        </w:rPr>
        <w:t>AGI = Gross Income − Σ(Verified Deductions)</w:t>
      </w:r>
      <w:r/>
    </w:p>
    <w:p>
      <w:r>
        <w:t>────────────────────────────────────────────────────────────</w:t>
      </w:r>
    </w:p>
    <w:p>
      <w:r>
        <w:t>## 2. Proxy Variables &amp; Legal Justifications</w:t>
      </w:r>
    </w:p>
    <w:p>
      <w:r>
        <w:t>### 2.1 ASAL Land Productivity Discount</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County classification (arid/semi-arid) applied to **land productivity only**</w:t>
            </w:r>
          </w:p>
        </w:tc>
      </w:tr>
      <w:tr>
        <w:tc>
          <w:tcPr>
            <w:tcW w:type="dxa" w:w="4703"/>
          </w:tcPr>
          <w:p>
            <w:r>
              <w:rPr>
                <w:sz w:val="18"/>
              </w:rPr>
              <w:t>**Effect**</w:t>
            </w:r>
          </w:p>
        </w:tc>
        <w:tc>
          <w:tcPr>
            <w:tcW w:type="dxa" w:w="4703"/>
          </w:tcPr>
          <w:p>
            <w:r>
              <w:rPr>
                <w:sz w:val="18"/>
              </w:rPr>
              <w:t>Land valued at 35% (arid) or 55% (semi-arid) of national average, versus 100% for high-potential counties</w:t>
            </w:r>
          </w:p>
        </w:tc>
      </w:tr>
      <w:tr>
        <w:tc>
          <w:tcPr>
            <w:tcW w:type="dxa" w:w="4703"/>
            <w:shd w:val="clear" w:color="auto" w:fill="f0f4fa"/>
          </w:tcPr>
          <w:p>
            <w:r>
              <w:rPr>
                <w:sz w:val="18"/>
              </w:rPr>
              <w:t>**Justification**</w:t>
            </w:r>
          </w:p>
        </w:tc>
        <w:tc>
          <w:tcPr>
            <w:tcW w:type="dxa" w:w="4703"/>
            <w:shd w:val="clear" w:color="auto" w:fill="f0f4fa"/>
          </w:tcPr>
          <w:p>
            <w:r>
              <w:rPr>
                <w:sz w:val="18"/>
              </w:rPr>
              <w:t>Land in ASAL counties is objectively less productive due to rainfall (&lt;500mm annually), soil quality, and limited irrigation infrastructure. This is a physical/geographic attribute of the land, not a proxy for the people living on it.</w:t>
            </w:r>
          </w:p>
        </w:tc>
      </w:tr>
      <w:tr>
        <w:tc>
          <w:tcPr>
            <w:tcW w:type="dxa" w:w="4703"/>
          </w:tcPr>
          <w:p>
            <w:r>
              <w:rPr>
                <w:sz w:val="18"/>
              </w:rPr>
              <w:t>**Legal Basis**</w:t>
            </w:r>
          </w:p>
        </w:tc>
        <w:tc>
          <w:tcPr>
            <w:tcW w:type="dxa" w:w="4703"/>
          </w:tcPr>
          <w:p>
            <w:r>
              <w:rPr>
                <w:sz w:val="18"/>
              </w:rPr>
              <w:t>Article 56 (affirmative action for marginalized communities); Article 27(4) (non-discrimination — this adjustment helps, not penalizes, ASAL residents)</w:t>
            </w:r>
          </w:p>
        </w:tc>
      </w:tr>
      <w:tr>
        <w:tc>
          <w:tcPr>
            <w:tcW w:type="dxa" w:w="4703"/>
            <w:shd w:val="clear" w:color="auto" w:fill="f0f4fa"/>
          </w:tcPr>
          <w:p>
            <w:r>
              <w:rPr>
                <w:sz w:val="18"/>
              </w:rPr>
              <w:t>**Validation**</w:t>
            </w:r>
          </w:p>
        </w:tc>
        <w:tc>
          <w:tcPr>
            <w:tcW w:type="dxa" w:w="4703"/>
            <w:shd w:val="clear" w:color="auto" w:fill="f0f4fa"/>
          </w:tcPr>
          <w:p>
            <w:r>
              <w:rPr>
                <w:sz w:val="18"/>
              </w:rPr>
              <w:t>KNBS agricultural census data; FAO agroecological zone classifications</w:t>
            </w:r>
          </w:p>
        </w:tc>
      </w:tr>
    </w:tbl>
    <w:p/>
    <w:p>
      <w:pPr>
        <w:pStyle w:val="Quote"/>
      </w:pPr>
      <w:r>
        <w:t>**Critical Note:** The ASAL land discount applies **only to land valuation**. The previous ASAL dependency cap (40% vs 65%) has been **removed** as it constituted indirect geographic discrimination against pastoralist communities. See Section 2.2.</w:t>
      </w:r>
    </w:p>
    <w:p>
      <w:r>
        <w:t>### 2.2 Uniform Dependency Deduction (National)</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Number of verified dependents (spouse(s) + children)</w:t>
            </w:r>
          </w:p>
        </w:tc>
      </w:tr>
      <w:tr>
        <w:tc>
          <w:tcPr>
            <w:tcW w:type="dxa" w:w="4703"/>
          </w:tcPr>
          <w:p>
            <w:r>
              <w:rPr>
                <w:sz w:val="18"/>
              </w:rPr>
              <w:t>**Effect**</w:t>
            </w:r>
          </w:p>
        </w:tc>
        <w:tc>
          <w:tcPr>
            <w:tcW w:type="dxa" w:w="4703"/>
          </w:tcPr>
          <w:p>
            <w:r>
              <w:rPr>
                <w:sz w:val="18"/>
              </w:rPr>
              <w:t>8% AGI deduction per verified dependent, applied uniformly nationwide</w:t>
            </w:r>
          </w:p>
        </w:tc>
      </w:tr>
      <w:tr>
        <w:tc>
          <w:tcPr>
            <w:tcW w:type="dxa" w:w="4703"/>
            <w:shd w:val="clear" w:color="auto" w:fill="f0f4fa"/>
          </w:tcPr>
          <w:p>
            <w:r>
              <w:rPr>
                <w:sz w:val="18"/>
              </w:rPr>
              <w:t>**Justification**</w:t>
            </w:r>
          </w:p>
        </w:tc>
        <w:tc>
          <w:tcPr>
            <w:tcW w:type="dxa" w:w="4703"/>
            <w:shd w:val="clear" w:color="auto" w:fill="f0f4fa"/>
          </w:tcPr>
          <w:p>
            <w:r>
              <w:rPr>
                <w:sz w:val="18"/>
              </w:rPr>
              <w:t>Each additional household member reduces per-capita available income. The deduction reflects actual economic burden regardless of geographic location.</w:t>
            </w:r>
          </w:p>
        </w:tc>
      </w:tr>
      <w:tr>
        <w:tc>
          <w:tcPr>
            <w:tcW w:type="dxa" w:w="4703"/>
          </w:tcPr>
          <w:p>
            <w:r>
              <w:rPr>
                <w:sz w:val="18"/>
              </w:rPr>
              <w:t>**Legal Basis**</w:t>
            </w:r>
          </w:p>
        </w:tc>
        <w:tc>
          <w:tcPr>
            <w:tcW w:type="dxa" w:w="4703"/>
          </w:tcPr>
          <w:p>
            <w:r>
              <w:rPr>
                <w:sz w:val="18"/>
              </w:rPr>
              <w:t>Article 27(4) (equal treatment regardless of geography); Article 53 (children's right to basic health care)</w:t>
            </w:r>
          </w:p>
        </w:tc>
      </w:tr>
      <w:tr>
        <w:tc>
          <w:tcPr>
            <w:tcW w:type="dxa" w:w="4703"/>
            <w:shd w:val="clear" w:color="auto" w:fill="f0f4fa"/>
          </w:tcPr>
          <w:p>
            <w:r>
              <w:rPr>
                <w:sz w:val="18"/>
              </w:rPr>
              <w:t>**Verification**</w:t>
            </w:r>
          </w:p>
        </w:tc>
        <w:tc>
          <w:tcPr>
            <w:tcW w:type="dxa" w:w="4703"/>
            <w:shd w:val="clear" w:color="auto" w:fill="f0f4fa"/>
          </w:tcPr>
          <w:p>
            <w:r>
              <w:rPr>
                <w:sz w:val="18"/>
              </w:rPr>
              <w:t>Birth certificates, school enrollment records, or spouse ID required for each claimed dependent</w:t>
            </w:r>
          </w:p>
        </w:tc>
      </w:tr>
      <w:tr>
        <w:tc>
          <w:tcPr>
            <w:tcW w:type="dxa" w:w="4703"/>
          </w:tcPr>
          <w:p>
            <w:r>
              <w:rPr>
                <w:sz w:val="18"/>
              </w:rPr>
              <w:t>**Previous Flaw**</w:t>
            </w:r>
          </w:p>
        </w:tc>
        <w:tc>
          <w:tcPr>
            <w:tcW w:type="dxa" w:w="4703"/>
          </w:tcPr>
          <w:p>
            <w:r>
              <w:rPr>
                <w:sz w:val="18"/>
              </w:rPr>
              <w:t>The original algorithm capped ASAL dependency deductions at 40% while allowing 65% elsewhere — this has been eliminated as unconstitutional geographic discrimination</w:t>
            </w:r>
          </w:p>
        </w:tc>
      </w:tr>
    </w:tbl>
    <w:p/>
    <w:p>
      <w:r>
        <w:t>### 2.3 Household Expense Float (Behavioral Proxy)</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M-Pesa transaction patterns (frequency and type of small outbound payments)</w:t>
            </w:r>
          </w:p>
        </w:tc>
      </w:tr>
      <w:tr>
        <w:tc>
          <w:tcPr>
            <w:tcW w:type="dxa" w:w="4703"/>
          </w:tcPr>
          <w:p>
            <w:r>
              <w:rPr>
                <w:sz w:val="18"/>
              </w:rPr>
              <w:t>**Effect**</w:t>
            </w:r>
          </w:p>
        </w:tc>
        <w:tc>
          <w:tcPr>
            <w:tcW w:type="dxa" w:w="4703"/>
          </w:tcPr>
          <w:p>
            <w:r>
              <w:rPr>
                <w:sz w:val="18"/>
              </w:rPr>
              <w:t>0–40% discount on retained M-Pesa balance for accounts showing caretaker spending patterns</w:t>
            </w:r>
          </w:p>
        </w:tc>
      </w:tr>
      <w:tr>
        <w:tc>
          <w:tcPr>
            <w:tcW w:type="dxa" w:w="4703"/>
            <w:shd w:val="clear" w:color="auto" w:fill="f0f4fa"/>
          </w:tcPr>
          <w:p>
            <w:r>
              <w:rPr>
                <w:sz w:val="18"/>
              </w:rPr>
              <w:t>**Justification**</w:t>
            </w:r>
          </w:p>
        </w:tc>
        <w:tc>
          <w:tcPr>
            <w:tcW w:type="dxa" w:w="4703"/>
            <w:shd w:val="clear" w:color="auto" w:fill="f0f4fa"/>
          </w:tcPr>
          <w:p>
            <w:r>
              <w:rPr>
                <w:sz w:val="18"/>
              </w:rPr>
              <w:t>Accounts that make many frequent, small payments to utility companies, schools, grocery vendors, and health facilities are holding household float (money earmarked for family expenses), not personal wealth. This discount prevents overcharging household financial managers.</w:t>
            </w:r>
          </w:p>
        </w:tc>
      </w:tr>
      <w:tr>
        <w:tc>
          <w:tcPr>
            <w:tcW w:type="dxa" w:w="4703"/>
          </w:tcPr>
          <w:p>
            <w:r>
              <w:rPr>
                <w:sz w:val="18"/>
              </w:rPr>
              <w:t>**Legal Basis**</w:t>
            </w:r>
          </w:p>
        </w:tc>
        <w:tc>
          <w:tcPr>
            <w:tcW w:type="dxa" w:w="4703"/>
          </w:tcPr>
          <w:p>
            <w:r>
              <w:rPr>
                <w:sz w:val="18"/>
              </w:rPr>
              <w:t>Article 27(4) (non-discrimination on grounds of sex — this replaces the previous gender-based 40% female discount); DPA §25 (data minimization — uses transaction patterns, not gender identity)</w:t>
            </w:r>
          </w:p>
        </w:tc>
      </w:tr>
      <w:tr>
        <w:tc>
          <w:tcPr>
            <w:tcW w:type="dxa" w:w="4703"/>
            <w:shd w:val="clear" w:color="auto" w:fill="f0f4fa"/>
          </w:tcPr>
          <w:p>
            <w:r>
              <w:rPr>
                <w:sz w:val="18"/>
              </w:rPr>
              <w:t>**Validation**</w:t>
            </w:r>
          </w:p>
        </w:tc>
        <w:tc>
          <w:tcPr>
            <w:tcW w:type="dxa" w:w="4703"/>
            <w:shd w:val="clear" w:color="auto" w:fill="f0f4fa"/>
          </w:tcPr>
          <w:p>
            <w:r>
              <w:rPr>
                <w:sz w:val="18"/>
              </w:rPr>
              <w:t>Transaction clustering analysis; validated against KNBS household expenditure surveys</w:t>
            </w:r>
          </w:p>
        </w:tc>
      </w:tr>
      <w:tr>
        <w:tc>
          <w:tcPr>
            <w:tcW w:type="dxa" w:w="4703"/>
          </w:tcPr>
          <w:p>
            <w:r>
              <w:rPr>
                <w:sz w:val="18"/>
              </w:rPr>
              <w:t>**Previous Flaw**</w:t>
            </w:r>
          </w:p>
        </w:tc>
        <w:tc>
          <w:tcPr>
            <w:tcW w:type="dxa" w:w="4703"/>
          </w:tcPr>
          <w:p>
            <w:r>
              <w:rPr>
                <w:sz w:val="18"/>
              </w:rPr>
              <w:t>The original algorithm applied a blanket 40% discount to women's M-Pesa balances, constituting direct sex-based discrimination (Article 27(4) violation). The behavioral proxy achieves the same protective intent without using gender as a variable.</w:t>
            </w:r>
          </w:p>
        </w:tc>
      </w:tr>
    </w:tbl>
    <w:p/>
    <w:p>
      <w:r>
        <w:t>### 2.4 Digital Debt Exclusion (Fuliza/M-Shwari)</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Number and pattern of Fuliza overdraft defaults</w:t>
            </w:r>
          </w:p>
        </w:tc>
      </w:tr>
      <w:tr>
        <w:tc>
          <w:tcPr>
            <w:tcW w:type="dxa" w:w="4703"/>
          </w:tcPr>
          <w:p>
            <w:r>
              <w:rPr>
                <w:sz w:val="18"/>
              </w:rPr>
              <w:t>**Effect**</w:t>
            </w:r>
          </w:p>
        </w:tc>
        <w:tc>
          <w:tcPr>
            <w:tcW w:type="dxa" w:w="4703"/>
          </w:tcPr>
          <w:p>
            <w:r>
              <w:rPr>
                <w:sz w:val="18"/>
              </w:rPr>
              <w:t>Fuliza defaults indicate financial stress; counted as negative wealth signals, not income</w:t>
            </w:r>
          </w:p>
        </w:tc>
      </w:tr>
      <w:tr>
        <w:tc>
          <w:tcPr>
            <w:tcW w:type="dxa" w:w="4703"/>
            <w:shd w:val="clear" w:color="auto" w:fill="f0f4fa"/>
          </w:tcPr>
          <w:p>
            <w:r>
              <w:rPr>
                <w:sz w:val="18"/>
              </w:rPr>
              <w:t>**Justification**</w:t>
            </w:r>
          </w:p>
        </w:tc>
        <w:tc>
          <w:tcPr>
            <w:tcW w:type="dxa" w:w="4703"/>
            <w:shd w:val="clear" w:color="auto" w:fill="f0f4fa"/>
          </w:tcPr>
          <w:p>
            <w:r>
              <w:rPr>
                <w:sz w:val="18"/>
              </w:rPr>
              <w:t>Digital microloans (Fuliza, M-Shwari) represent debt, not assets. High default counts signal financial vulnerability, not fraud.</w:t>
            </w:r>
          </w:p>
        </w:tc>
      </w:tr>
      <w:tr>
        <w:tc>
          <w:tcPr>
            <w:tcW w:type="dxa" w:w="4703"/>
          </w:tcPr>
          <w:p>
            <w:r>
              <w:rPr>
                <w:sz w:val="18"/>
              </w:rPr>
              <w:t>**Legal Basis**</w:t>
            </w:r>
          </w:p>
        </w:tc>
        <w:tc>
          <w:tcPr>
            <w:tcW w:type="dxa" w:w="4703"/>
          </w:tcPr>
          <w:p>
            <w:r>
              <w:rPr>
                <w:sz w:val="18"/>
              </w:rPr>
              <w:t>Article 43(1)(a) (right to the highest attainable standard of health — must not penalize poverty indicators)</w:t>
            </w:r>
          </w:p>
        </w:tc>
      </w:tr>
      <w:tr>
        <w:tc>
          <w:tcPr>
            <w:tcW w:type="dxa" w:w="4703"/>
            <w:shd w:val="clear" w:color="auto" w:fill="f0f4fa"/>
          </w:tcPr>
          <w:p>
            <w:r>
              <w:rPr>
                <w:sz w:val="18"/>
              </w:rPr>
              <w:t>**Validation**</w:t>
            </w:r>
          </w:p>
        </w:tc>
        <w:tc>
          <w:tcPr>
            <w:tcW w:type="dxa" w:w="4703"/>
            <w:shd w:val="clear" w:color="auto" w:fill="f0f4fa"/>
          </w:tcPr>
          <w:p>
            <w:r>
              <w:rPr>
                <w:sz w:val="18"/>
              </w:rPr>
              <w:t>CBK Financial Stability Report; FSD Kenya digital credit surveys</w:t>
            </w:r>
          </w:p>
        </w:tc>
      </w:tr>
    </w:tbl>
    <w:p/>
    <w:p>
      <w:r>
        <w:t>### 2.5 Catastrophic Health Expenditure (CHE) Deduction</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Reported chronic illness in household</w:t>
            </w:r>
          </w:p>
        </w:tc>
      </w:tr>
      <w:tr>
        <w:tc>
          <w:tcPr>
            <w:tcW w:type="dxa" w:w="4703"/>
          </w:tcPr>
          <w:p>
            <w:r>
              <w:rPr>
                <w:sz w:val="18"/>
              </w:rPr>
              <w:t>**Effect**</w:t>
            </w:r>
          </w:p>
        </w:tc>
        <w:tc>
          <w:tcPr>
            <w:tcW w:type="dxa" w:w="4703"/>
          </w:tcPr>
          <w:p>
            <w:r>
              <w:rPr>
                <w:sz w:val="18"/>
              </w:rPr>
              <w:t>Additional deduction for households with chronic illness members, reflecting higher health-related expenses that reduce disposable income</w:t>
            </w:r>
          </w:p>
        </w:tc>
      </w:tr>
      <w:tr>
        <w:tc>
          <w:tcPr>
            <w:tcW w:type="dxa" w:w="4703"/>
            <w:shd w:val="clear" w:color="auto" w:fill="f0f4fa"/>
          </w:tcPr>
          <w:p>
            <w:r>
              <w:rPr>
                <w:sz w:val="18"/>
              </w:rPr>
              <w:t>**Justification**</w:t>
            </w:r>
          </w:p>
        </w:tc>
        <w:tc>
          <w:tcPr>
            <w:tcW w:type="dxa" w:w="4703"/>
            <w:shd w:val="clear" w:color="auto" w:fill="f0f4fa"/>
          </w:tcPr>
          <w:p>
            <w:r>
              <w:rPr>
                <w:sz w:val="18"/>
              </w:rPr>
              <w:t>WHO defines CHE as health spending exceeding 10% of household income. Households with chronic illness spend disproportionately on health, reducing capacity to pay contributions.</w:t>
            </w:r>
          </w:p>
        </w:tc>
      </w:tr>
      <w:tr>
        <w:tc>
          <w:tcPr>
            <w:tcW w:type="dxa" w:w="4703"/>
          </w:tcPr>
          <w:p>
            <w:r>
              <w:rPr>
                <w:sz w:val="18"/>
              </w:rPr>
              <w:t>**Legal Basis**</w:t>
            </w:r>
          </w:p>
        </w:tc>
        <w:tc>
          <w:tcPr>
            <w:tcW w:type="dxa" w:w="4703"/>
          </w:tcPr>
          <w:p>
            <w:r>
              <w:rPr>
                <w:sz w:val="18"/>
              </w:rPr>
              <w:t>Article 43(1)(a) (right to health); Article 54 (rights of persons with disabilities); SHIA §27 (equitable access)</w:t>
            </w:r>
          </w:p>
        </w:tc>
      </w:tr>
      <w:tr>
        <w:tc>
          <w:tcPr>
            <w:tcW w:type="dxa" w:w="4703"/>
            <w:shd w:val="clear" w:color="auto" w:fill="f0f4fa"/>
          </w:tcPr>
          <w:p>
            <w:r>
              <w:rPr>
                <w:sz w:val="18"/>
              </w:rPr>
              <w:t>**Validation**</w:t>
            </w:r>
          </w:p>
        </w:tc>
        <w:tc>
          <w:tcPr>
            <w:tcW w:type="dxa" w:w="4703"/>
            <w:shd w:val="clear" w:color="auto" w:fill="f0f4fa"/>
          </w:tcPr>
          <w:p>
            <w:r>
              <w:rPr>
                <w:sz w:val="18"/>
              </w:rPr>
              <w:t>Kenya Household Health Expenditure Survey; WHO CHE methodology</w:t>
            </w:r>
          </w:p>
        </w:tc>
      </w:tr>
    </w:tbl>
    <w:p/>
    <w:p>
      <w:r>
        <w:t>### 2.6 Tools of Trade Exclusion</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Asset type classification (productive vs. consumer assets)</w:t>
            </w:r>
          </w:p>
        </w:tc>
      </w:tr>
      <w:tr>
        <w:tc>
          <w:tcPr>
            <w:tcW w:type="dxa" w:w="4703"/>
          </w:tcPr>
          <w:p>
            <w:r>
              <w:rPr>
                <w:sz w:val="18"/>
              </w:rPr>
              <w:t>**Effect**</w:t>
            </w:r>
          </w:p>
        </w:tc>
        <w:tc>
          <w:tcPr>
            <w:tcW w:type="dxa" w:w="4703"/>
          </w:tcPr>
          <w:p>
            <w:r>
              <w:rPr>
                <w:sz w:val="18"/>
              </w:rPr>
              <w:t>Motorcycles (boda-boda), sewing machines, and agricultural tools are classified as "tools of trade" and excluded from wealth scoring</w:t>
            </w:r>
          </w:p>
        </w:tc>
      </w:tr>
      <w:tr>
        <w:tc>
          <w:tcPr>
            <w:tcW w:type="dxa" w:w="4703"/>
            <w:shd w:val="clear" w:color="auto" w:fill="f0f4fa"/>
          </w:tcPr>
          <w:p>
            <w:r>
              <w:rPr>
                <w:sz w:val="18"/>
              </w:rPr>
              <w:t>**Justification**</w:t>
            </w:r>
          </w:p>
        </w:tc>
        <w:tc>
          <w:tcPr>
            <w:tcW w:type="dxa" w:w="4703"/>
            <w:shd w:val="clear" w:color="auto" w:fill="f0f4fa"/>
          </w:tcPr>
          <w:p>
            <w:r>
              <w:rPr>
                <w:sz w:val="18"/>
              </w:rPr>
              <w:t>These assets generate livelihood income, not consumption utility. Penalizing a boda-boda rider for owning a motorcycle conflates productive capital with consumer wealth.</w:t>
            </w:r>
          </w:p>
        </w:tc>
      </w:tr>
      <w:tr>
        <w:tc>
          <w:tcPr>
            <w:tcW w:type="dxa" w:w="4703"/>
          </w:tcPr>
          <w:p>
            <w:r>
              <w:rPr>
                <w:sz w:val="18"/>
              </w:rPr>
              <w:t>**Legal Basis**</w:t>
            </w:r>
          </w:p>
        </w:tc>
        <w:tc>
          <w:tcPr>
            <w:tcW w:type="dxa" w:w="4703"/>
          </w:tcPr>
          <w:p>
            <w:r>
              <w:rPr>
                <w:sz w:val="18"/>
              </w:rPr>
              <w:t>Article 40 (right to property — cannot penalize citizens for owning means of livelihood); CPA §4 (fair administrative action)</w:t>
            </w:r>
          </w:p>
        </w:tc>
      </w:tr>
      <w:tr>
        <w:tc>
          <w:tcPr>
            <w:tcW w:type="dxa" w:w="4703"/>
            <w:shd w:val="clear" w:color="auto" w:fill="f0f4fa"/>
          </w:tcPr>
          <w:p>
            <w:r>
              <w:rPr>
                <w:sz w:val="18"/>
              </w:rPr>
              <w:t>**Validation**</w:t>
            </w:r>
          </w:p>
        </w:tc>
        <w:tc>
          <w:tcPr>
            <w:tcW w:type="dxa" w:w="4703"/>
            <w:shd w:val="clear" w:color="auto" w:fill="f0f4fa"/>
          </w:tcPr>
          <w:p>
            <w:r>
              <w:rPr>
                <w:sz w:val="18"/>
              </w:rPr>
              <w:t>KNBS informal sector surveys; ILO informal economy classifications</w:t>
            </w:r>
          </w:p>
        </w:tc>
      </w:tr>
    </w:tbl>
    <w:p/>
    <w:p>
      <w:r>
        <w:t>### 2.7 Per-Capita Polygamous Household Assessment</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**Proxy**</w:t>
            </w:r>
          </w:p>
        </w:tc>
        <w:tc>
          <w:tcPr>
            <w:tcW w:type="dxa" w:w="4703"/>
            <w:shd w:val="clear" w:color="auto" w:fill="f0f4fa"/>
          </w:tcPr>
          <w:p>
            <w:r>
              <w:rPr>
                <w:sz w:val="18"/>
              </w:rPr>
              <w:t>Total household members (head + spouses + children)</w:t>
            </w:r>
          </w:p>
        </w:tc>
      </w:tr>
      <w:tr>
        <w:tc>
          <w:tcPr>
            <w:tcW w:type="dxa" w:w="4703"/>
          </w:tcPr>
          <w:p>
            <w:r>
              <w:rPr>
                <w:sz w:val="18"/>
              </w:rPr>
              <w:t>**Effect**</w:t>
            </w:r>
          </w:p>
        </w:tc>
        <w:tc>
          <w:tcPr>
            <w:tcW w:type="dxa" w:w="4703"/>
          </w:tcPr>
          <w:p>
            <w:r>
              <w:rPr>
                <w:sz w:val="18"/>
              </w:rPr>
              <w:t>Household wealth assessed per-capita across entire polygamous unit, not split by wife count</w:t>
            </w:r>
          </w:p>
        </w:tc>
      </w:tr>
      <w:tr>
        <w:tc>
          <w:tcPr>
            <w:tcW w:type="dxa" w:w="4703"/>
            <w:shd w:val="clear" w:color="auto" w:fill="f0f4fa"/>
          </w:tcPr>
          <w:p>
            <w:r>
              <w:rPr>
                <w:sz w:val="18"/>
              </w:rPr>
              <w:t>**Justification**</w:t>
            </w:r>
          </w:p>
        </w:tc>
        <w:tc>
          <w:tcPr>
            <w:tcW w:type="dxa" w:w="4703"/>
            <w:shd w:val="clear" w:color="auto" w:fill="f0f4fa"/>
          </w:tcPr>
          <w:p>
            <w:r>
              <w:rPr>
                <w:sz w:val="18"/>
              </w:rPr>
              <w:t>The Law of Succession Act (Cap 160, §40(1)) allocates estates by children per house plus the surviving wife as a unit. A flat 1/N split by wife count ignores differences in sub-household sizes and needs. Per-capita assessment better reflects actual economic capacity per person.</w:t>
            </w:r>
          </w:p>
        </w:tc>
      </w:tr>
      <w:tr>
        <w:tc>
          <w:tcPr>
            <w:tcW w:type="dxa" w:w="4703"/>
          </w:tcPr>
          <w:p>
            <w:r>
              <w:rPr>
                <w:sz w:val="18"/>
              </w:rPr>
              <w:t>**Legal Basis**</w:t>
            </w:r>
          </w:p>
        </w:tc>
        <w:tc>
          <w:tcPr>
            <w:tcW w:type="dxa" w:w="4703"/>
          </w:tcPr>
          <w:p>
            <w:r>
              <w:rPr>
                <w:sz w:val="18"/>
              </w:rPr>
              <w:t>Law of Succession Act, Cap 160, §40(1); Article 27(4) (non-discrimination on grounds of marital status)</w:t>
            </w:r>
          </w:p>
        </w:tc>
      </w:tr>
      <w:tr>
        <w:tc>
          <w:tcPr>
            <w:tcW w:type="dxa" w:w="4703"/>
            <w:shd w:val="clear" w:color="auto" w:fill="f0f4fa"/>
          </w:tcPr>
          <w:p>
            <w:r>
              <w:rPr>
                <w:sz w:val="18"/>
              </w:rPr>
              <w:t>**Previous Flaw**</w:t>
            </w:r>
          </w:p>
        </w:tc>
        <w:tc>
          <w:tcPr>
            <w:tcW w:type="dxa" w:w="4703"/>
            <w:shd w:val="clear" w:color="auto" w:fill="f0f4fa"/>
          </w:tcPr>
          <w:p>
            <w:r>
              <w:rPr>
                <w:sz w:val="18"/>
              </w:rPr>
              <w:t>The original algorithm divided shared assets equally by number of wives, potentially understating indigence when one sub-household had many more children</w:t>
            </w:r>
          </w:p>
        </w:tc>
      </w:tr>
    </w:tbl>
    <w:p/>
    <w:p>
      <w:r>
        <w:t>────────────────────────────────────────────────────────────</w:t>
      </w:r>
    </w:p>
    <w:p>
      <w:r>
        <w:t>## 3. Fairness Pipeline &amp; CI/CD Gates</w:t>
      </w:r>
    </w:p>
    <w:p>
      <w:r>
        <w:t>### 3.1 Equalized Odds Testing (P-39)</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**Metric**</w:t>
            </w:r>
          </w:p>
        </w:tc>
        <w:tc>
          <w:tcPr>
            <w:tcW w:type="dxa" w:w="4703"/>
            <w:shd w:val="clear" w:color="auto" w:fill="f0f4fa"/>
          </w:tcPr>
          <w:p>
            <w:r>
              <w:rPr>
                <w:sz w:val="18"/>
              </w:rPr>
              <w:t>False Positive Rate (FPR) disparity across demographic groups</w:t>
            </w:r>
          </w:p>
        </w:tc>
      </w:tr>
      <w:tr>
        <w:tc>
          <w:tcPr>
            <w:tcW w:type="dxa" w:w="4703"/>
          </w:tcPr>
          <w:p>
            <w:r>
              <w:rPr>
                <w:sz w:val="18"/>
              </w:rPr>
              <w:t>**Threshold**</w:t>
            </w:r>
          </w:p>
        </w:tc>
        <w:tc>
          <w:tcPr>
            <w:tcW w:type="dxa" w:w="4703"/>
          </w:tcPr>
          <w:p>
            <w:r>
              <w:rPr>
                <w:sz w:val="18"/>
              </w:rPr>
              <w:t>Maximum 5% FPR difference between any two groups</w:t>
            </w:r>
          </w:p>
        </w:tc>
      </w:tr>
      <w:tr>
        <w:tc>
          <w:tcPr>
            <w:tcW w:type="dxa" w:w="4703"/>
            <w:shd w:val="clear" w:color="auto" w:fill="f0f4fa"/>
          </w:tcPr>
          <w:p>
            <w:r>
              <w:rPr>
                <w:sz w:val="18"/>
              </w:rPr>
              <w:t>**Groups Tested**</w:t>
            </w:r>
          </w:p>
        </w:tc>
        <w:tc>
          <w:tcPr>
            <w:tcW w:type="dxa" w:w="4703"/>
            <w:shd w:val="clear" w:color="auto" w:fill="f0f4fa"/>
          </w:tcPr>
          <w:p>
            <w:r>
              <w:rPr>
                <w:sz w:val="18"/>
              </w:rPr>
              <w:t>County-level, gender-level, age-cohort</w:t>
            </w:r>
          </w:p>
        </w:tc>
      </w:tr>
      <w:tr>
        <w:tc>
          <w:tcPr>
            <w:tcW w:type="dxa" w:w="4703"/>
          </w:tcPr>
          <w:p>
            <w:r>
              <w:rPr>
                <w:sz w:val="18"/>
              </w:rPr>
              <w:t>**Enforcement**</w:t>
            </w:r>
          </w:p>
        </w:tc>
        <w:tc>
          <w:tcPr>
            <w:tcW w:type="dxa" w:w="4703"/>
          </w:tcPr>
          <w:p>
            <w:r>
              <w:rPr>
                <w:sz w:val="18"/>
              </w:rPr>
              <w:t>CI/CD gate — builds are rejected if FPR disparity exceeds 5%</w:t>
            </w:r>
          </w:p>
        </w:tc>
      </w:tr>
      <w:tr>
        <w:tc>
          <w:tcPr>
            <w:tcW w:type="dxa" w:w="4703"/>
            <w:shd w:val="clear" w:color="auto" w:fill="f0f4fa"/>
          </w:tcPr>
          <w:p>
            <w:r>
              <w:rPr>
                <w:sz w:val="18"/>
              </w:rPr>
              <w:t>**Justification**</w:t>
            </w:r>
          </w:p>
        </w:tc>
        <w:tc>
          <w:tcPr>
            <w:tcW w:type="dxa" w:w="4703"/>
            <w:shd w:val="clear" w:color="auto" w:fill="f0f4fa"/>
          </w:tcPr>
          <w:p>
            <w:r>
              <w:rPr>
                <w:sz w:val="18"/>
              </w:rPr>
              <w:t>Ensures the algorithm does not systematically overcharge any marginalized group. Equalized odds is the gold standard fairness metric for binary classification systems.</w:t>
            </w:r>
          </w:p>
        </w:tc>
      </w:tr>
      <w:tr>
        <w:tc>
          <w:tcPr>
            <w:tcW w:type="dxa" w:w="4703"/>
          </w:tcPr>
          <w:p>
            <w:r>
              <w:rPr>
                <w:sz w:val="18"/>
              </w:rPr>
              <w:t>**Legal Basis**</w:t>
            </w:r>
          </w:p>
        </w:tc>
        <w:tc>
          <w:tcPr>
            <w:tcW w:type="dxa" w:w="4703"/>
          </w:tcPr>
          <w:p>
            <w:r>
              <w:rPr>
                <w:sz w:val="18"/>
              </w:rPr>
              <w:t>Article 27(4) (non-discrimination); Article 56 (affirmative action for marginalized groups)</w:t>
            </w:r>
          </w:p>
        </w:tc>
      </w:tr>
    </w:tbl>
    <w:p/>
    <w:p>
      <w:r>
        <w:t>### 3.2 Asymmetric Penalty Weighting (P-38)</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**Metric**</w:t>
            </w:r>
          </w:p>
        </w:tc>
        <w:tc>
          <w:tcPr>
            <w:tcW w:type="dxa" w:w="4703"/>
            <w:shd w:val="clear" w:color="auto" w:fill="f0f4fa"/>
          </w:tcPr>
          <w:p>
            <w:r>
              <w:rPr>
                <w:sz w:val="18"/>
              </w:rPr>
              <w:t>Fairness Score: asymmetric penalty for overcharging vs. undercharging</w:t>
            </w:r>
          </w:p>
        </w:tc>
      </w:tr>
      <w:tr>
        <w:tc>
          <w:tcPr>
            <w:tcW w:type="dxa" w:w="4703"/>
          </w:tcPr>
          <w:p>
            <w:r>
              <w:rPr>
                <w:sz w:val="18"/>
              </w:rPr>
              <w:t>**Weighting**</w:t>
            </w:r>
          </w:p>
        </w:tc>
        <w:tc>
          <w:tcPr>
            <w:tcW w:type="dxa" w:w="4703"/>
          </w:tcPr>
          <w:p>
            <w:r>
              <w:rPr>
                <w:sz w:val="18"/>
              </w:rPr>
              <w:t>Overcharging penalized 1:1 (heavy); Undercharging rewarded 0.5:1 (light)</w:t>
            </w:r>
          </w:p>
        </w:tc>
      </w:tr>
      <w:tr>
        <w:tc>
          <w:tcPr>
            <w:tcW w:type="dxa" w:w="4703"/>
            <w:shd w:val="clear" w:color="auto" w:fill="f0f4fa"/>
          </w:tcPr>
          <w:p>
            <w:r>
              <w:rPr>
                <w:sz w:val="18"/>
              </w:rPr>
              <w:t>**Justification**</w:t>
            </w:r>
          </w:p>
        </w:tc>
        <w:tc>
          <w:tcPr>
            <w:tcW w:type="dxa" w:w="4703"/>
            <w:shd w:val="clear" w:color="auto" w:fill="f0f4fa"/>
          </w:tcPr>
          <w:p>
            <w:r>
              <w:rPr>
                <w:sz w:val="18"/>
              </w:rPr>
              <w:t>For a public welfare program, errors that harm the poor (overcharging) are more dangerous than errors that benefit them (undercharging). The algorithm errs on the side of generosity.</w:t>
            </w:r>
          </w:p>
        </w:tc>
      </w:tr>
      <w:tr>
        <w:tc>
          <w:tcPr>
            <w:tcW w:type="dxa" w:w="4703"/>
          </w:tcPr>
          <w:p>
            <w:r>
              <w:rPr>
                <w:sz w:val="18"/>
              </w:rPr>
              <w:t>**Legal Basis**</w:t>
            </w:r>
          </w:p>
        </w:tc>
        <w:tc>
          <w:tcPr>
            <w:tcW w:type="dxa" w:w="4703"/>
          </w:tcPr>
          <w:p>
            <w:r>
              <w:rPr>
                <w:sz w:val="18"/>
              </w:rPr>
              <w:t>Article 43(1)(a) (right to health — must not create barriers to access); SHIA §27 (equitable access)</w:t>
            </w:r>
          </w:p>
        </w:tc>
      </w:tr>
    </w:tbl>
    <w:p/>
    <w:p>
      <w:r>
        <w:t>### 3.3 Multi-Factor Compliance Likelihood (P-40)</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3c6e"/>
          </w:tcPr>
          <w:p>
            <w:r>
              <w:rPr>
                <w:b/>
                <w:color w:val="FFFFFF"/>
                <w:sz w:val="18"/>
              </w:rPr>
              <w:t>Parameter</w:t>
            </w:r>
          </w:p>
        </w:tc>
        <w:tc>
          <w:tcPr>
            <w:tcW w:type="dxa" w:w="4703"/>
            <w:shd w:val="clear" w:color="auto" w:fill="1a3c6e"/>
          </w:tcPr>
          <w:p>
            <w:r>
              <w:rPr>
                <w:b/>
                <w:color w:val="FFFFFF"/>
                <w:sz w:val="18"/>
              </w:rPr>
              <w:t>Value</w:t>
            </w:r>
          </w:p>
        </w:tc>
      </w:tr>
      <w:tr>
        <w:tc>
          <w:tcPr>
            <w:tcW w:type="dxa" w:w="4703"/>
            <w:shd w:val="clear" w:color="auto" w:fill="f0f4fa"/>
          </w:tcPr>
          <w:p>
            <w:r>
              <w:rPr>
                <w:sz w:val="18"/>
              </w:rPr>
              <w:t>**Model**</w:t>
            </w:r>
          </w:p>
        </w:tc>
        <w:tc>
          <w:tcPr>
            <w:tcW w:type="dxa" w:w="4703"/>
            <w:shd w:val="clear" w:color="auto" w:fill="f0f4fa"/>
          </w:tcPr>
          <w:p>
            <w:r>
              <w:rPr>
                <w:sz w:val="18"/>
              </w:rPr>
              <w:t>`complianceLikelihood = 50 × costFactor × trustFactor`</w:t>
            </w:r>
          </w:p>
        </w:tc>
      </w:tr>
      <w:tr>
        <w:tc>
          <w:tcPr>
            <w:tcW w:type="dxa" w:w="4703"/>
          </w:tcPr>
          <w:p>
            <w:r>
              <w:rPr>
                <w:sz w:val="18"/>
              </w:rPr>
              <w:t>**Components**</w:t>
            </w:r>
          </w:p>
        </w:tc>
        <w:tc>
          <w:tcPr>
            <w:tcW w:type="dxa" w:w="4703"/>
          </w:tcPr>
          <w:p>
            <w:r>
              <w:rPr>
                <w:sz w:val="18"/>
              </w:rPr>
              <w:t>costFactor = 1 − (overchargePercent / 100); trustFactor = 1 + (fairnessScore / 200)</w:t>
            </w:r>
          </w:p>
        </w:tc>
      </w:tr>
      <w:tr>
        <w:tc>
          <w:tcPr>
            <w:tcW w:type="dxa" w:w="4703"/>
            <w:shd w:val="clear" w:color="auto" w:fill="f0f4fa"/>
          </w:tcPr>
          <w:p>
            <w:r>
              <w:rPr>
                <w:sz w:val="18"/>
              </w:rPr>
              <w:t>**Justification**</w:t>
            </w:r>
          </w:p>
        </w:tc>
        <w:tc>
          <w:tcPr>
            <w:tcW w:type="dxa" w:w="4703"/>
            <w:shd w:val="clear" w:color="auto" w:fill="f0f4fa"/>
          </w:tcPr>
          <w:p>
            <w:r>
              <w:rPr>
                <w:sz w:val="18"/>
              </w:rPr>
              <w:t>Replaces simplistic single-variable compliance prediction with a multi-factor model that accounts for both affordability and trust in the system</w:t>
            </w:r>
          </w:p>
        </w:tc>
      </w:tr>
    </w:tbl>
    <w:p/>
    <w:p>
      <w:r>
        <w:t>────────────────────────────────────────────────────────────</w:t>
      </w:r>
    </w:p>
    <w:p>
      <w:r>
        <w:t>## 4. Data Sources &amp; Validation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a3c6e"/>
          </w:tcPr>
          <w:p>
            <w:r>
              <w:rPr>
                <w:b/>
                <w:color w:val="FFFFFF"/>
                <w:sz w:val="18"/>
              </w:rPr>
              <w:t>Source</w:t>
            </w:r>
          </w:p>
        </w:tc>
        <w:tc>
          <w:tcPr>
            <w:tcW w:type="dxa" w:w="2351"/>
            <w:shd w:val="clear" w:color="auto" w:fill="1a3c6e"/>
          </w:tcPr>
          <w:p>
            <w:r>
              <w:rPr>
                <w:b/>
                <w:color w:val="FFFFFF"/>
                <w:sz w:val="18"/>
              </w:rPr>
              <w:t>Data Used</w:t>
            </w:r>
          </w:p>
        </w:tc>
        <w:tc>
          <w:tcPr>
            <w:tcW w:type="dxa" w:w="2351"/>
            <w:shd w:val="clear" w:color="auto" w:fill="1a3c6e"/>
          </w:tcPr>
          <w:p>
            <w:r>
              <w:rPr>
                <w:b/>
                <w:color w:val="FFFFFF"/>
                <w:sz w:val="18"/>
              </w:rPr>
              <w:t>Validation Method</w:t>
            </w:r>
          </w:p>
        </w:tc>
        <w:tc>
          <w:tcPr>
            <w:tcW w:type="dxa" w:w="2351"/>
            <w:shd w:val="clear" w:color="auto" w:fill="1a3c6e"/>
          </w:tcPr>
          <w:p>
            <w:r>
              <w:rPr>
                <w:b/>
                <w:color w:val="FFFFFF"/>
                <w:sz w:val="18"/>
              </w:rPr>
              <w:t>Update Frequency</w:t>
            </w:r>
          </w:p>
        </w:tc>
      </w:tr>
      <w:tr>
        <w:tc>
          <w:tcPr>
            <w:tcW w:type="dxa" w:w="2351"/>
            <w:shd w:val="clear" w:color="auto" w:fill="f0f4fa"/>
          </w:tcPr>
          <w:p>
            <w:r>
              <w:rPr>
                <w:sz w:val="18"/>
              </w:rPr>
              <w:t>KRA (iTax)</w:t>
            </w:r>
          </w:p>
        </w:tc>
        <w:tc>
          <w:tcPr>
            <w:tcW w:type="dxa" w:w="2351"/>
            <w:shd w:val="clear" w:color="auto" w:fill="f0f4fa"/>
          </w:tcPr>
          <w:p>
            <w:r>
              <w:rPr>
                <w:sz w:val="18"/>
              </w:rPr>
              <w:t>Formal employment income, tax filings</w:t>
            </w:r>
          </w:p>
        </w:tc>
        <w:tc>
          <w:tcPr>
            <w:tcW w:type="dxa" w:w="2351"/>
            <w:shd w:val="clear" w:color="auto" w:fill="f0f4fa"/>
          </w:tcPr>
          <w:p>
            <w:r>
              <w:rPr>
                <w:sz w:val="18"/>
              </w:rPr>
              <w:t>Cross-reference with employer PAYE records</w:t>
            </w:r>
          </w:p>
        </w:tc>
        <w:tc>
          <w:tcPr>
            <w:tcW w:type="dxa" w:w="2351"/>
            <w:shd w:val="clear" w:color="auto" w:fill="f0f4fa"/>
          </w:tcPr>
          <w:p>
            <w:r>
              <w:rPr>
                <w:sz w:val="18"/>
              </w:rPr>
              <w:t>Monthly</w:t>
            </w:r>
          </w:p>
        </w:tc>
      </w:tr>
      <w:tr>
        <w:tc>
          <w:tcPr>
            <w:tcW w:type="dxa" w:w="2351"/>
          </w:tcPr>
          <w:p>
            <w:r>
              <w:rPr>
                <w:sz w:val="18"/>
              </w:rPr>
              <w:t>NTSA</w:t>
            </w:r>
          </w:p>
        </w:tc>
        <w:tc>
          <w:tcPr>
            <w:tcW w:type="dxa" w:w="2351"/>
          </w:tcPr>
          <w:p>
            <w:r>
              <w:rPr>
                <w:sz w:val="18"/>
              </w:rPr>
              <w:t>Registered vehicles</w:t>
            </w:r>
          </w:p>
        </w:tc>
        <w:tc>
          <w:tcPr>
            <w:tcW w:type="dxa" w:w="2351"/>
          </w:tcPr>
          <w:p>
            <w:r>
              <w:rPr>
                <w:sz w:val="18"/>
              </w:rPr>
              <w:t>NTSA API verification</w:t>
            </w:r>
          </w:p>
        </w:tc>
        <w:tc>
          <w:tcPr>
            <w:tcW w:type="dxa" w:w="2351"/>
          </w:tcPr>
          <w:p>
            <w:r>
              <w:rPr>
                <w:sz w:val="18"/>
              </w:rPr>
              <w:t>Real-time</w:t>
            </w:r>
          </w:p>
        </w:tc>
      </w:tr>
      <w:tr>
        <w:tc>
          <w:tcPr>
            <w:tcW w:type="dxa" w:w="2351"/>
            <w:shd w:val="clear" w:color="auto" w:fill="f0f4fa"/>
          </w:tcPr>
          <w:p>
            <w:r>
              <w:rPr>
                <w:sz w:val="18"/>
              </w:rPr>
              <w:t>Safaricom (M-Pesa)</w:t>
            </w:r>
          </w:p>
        </w:tc>
        <w:tc>
          <w:tcPr>
            <w:tcW w:type="dxa" w:w="2351"/>
            <w:shd w:val="clear" w:color="auto" w:fill="f0f4fa"/>
          </w:tcPr>
          <w:p>
            <w:r>
              <w:rPr>
                <w:sz w:val="18"/>
              </w:rPr>
              <w:t>Transaction history, Fuliza defaults, retained balance</w:t>
            </w:r>
          </w:p>
        </w:tc>
        <w:tc>
          <w:tcPr>
            <w:tcW w:type="dxa" w:w="2351"/>
            <w:shd w:val="clear" w:color="auto" w:fill="f0f4fa"/>
          </w:tcPr>
          <w:p>
            <w:r>
              <w:rPr>
                <w:sz w:val="18"/>
              </w:rPr>
              <w:t>Encrypted API; transaction patterns only (not individual transactions)</w:t>
            </w:r>
          </w:p>
        </w:tc>
        <w:tc>
          <w:tcPr>
            <w:tcW w:type="dxa" w:w="2351"/>
            <w:shd w:val="clear" w:color="auto" w:fill="f0f4fa"/>
          </w:tcPr>
          <w:p>
            <w:r>
              <w:rPr>
                <w:sz w:val="18"/>
              </w:rPr>
              <w:t>Monthly aggregate</w:t>
            </w:r>
          </w:p>
        </w:tc>
      </w:tr>
      <w:tr>
        <w:tc>
          <w:tcPr>
            <w:tcW w:type="dxa" w:w="2351"/>
          </w:tcPr>
          <w:p>
            <w:r>
              <w:rPr>
                <w:sz w:val="18"/>
              </w:rPr>
              <w:t>KNBS</w:t>
            </w:r>
          </w:p>
        </w:tc>
        <w:tc>
          <w:tcPr>
            <w:tcW w:type="dxa" w:w="2351"/>
          </w:tcPr>
          <w:p>
            <w:r>
              <w:rPr>
                <w:sz w:val="18"/>
              </w:rPr>
              <w:t>Household survey baselines, poverty lines</w:t>
            </w:r>
          </w:p>
        </w:tc>
        <w:tc>
          <w:tcPr>
            <w:tcW w:type="dxa" w:w="2351"/>
          </w:tcPr>
          <w:p>
            <w:r>
              <w:rPr>
                <w:sz w:val="18"/>
              </w:rPr>
              <w:t>Census data (2019/2024)</w:t>
            </w:r>
          </w:p>
        </w:tc>
        <w:tc>
          <w:tcPr>
            <w:tcW w:type="dxa" w:w="2351"/>
          </w:tcPr>
          <w:p>
            <w:r>
              <w:rPr>
                <w:sz w:val="18"/>
              </w:rPr>
              <w:t>Every 5 years</w:t>
            </w:r>
          </w:p>
        </w:tc>
      </w:tr>
      <w:tr>
        <w:tc>
          <w:tcPr>
            <w:tcW w:type="dxa" w:w="2351"/>
            <w:shd w:val="clear" w:color="auto" w:fill="f0f4fa"/>
          </w:tcPr>
          <w:p>
            <w:r>
              <w:rPr>
                <w:sz w:val="18"/>
              </w:rPr>
              <w:t>County Government</w:t>
            </w:r>
          </w:p>
        </w:tc>
        <w:tc>
          <w:tcPr>
            <w:tcW w:type="dxa" w:w="2351"/>
            <w:shd w:val="clear" w:color="auto" w:fill="f0f4fa"/>
          </w:tcPr>
          <w:p>
            <w:r>
              <w:rPr>
                <w:sz w:val="18"/>
              </w:rPr>
              <w:t>Land registry, ASAL classification</w:t>
            </w:r>
          </w:p>
        </w:tc>
        <w:tc>
          <w:tcPr>
            <w:tcW w:type="dxa" w:w="2351"/>
            <w:shd w:val="clear" w:color="auto" w:fill="f0f4fa"/>
          </w:tcPr>
          <w:p>
            <w:r>
              <w:rPr>
                <w:sz w:val="18"/>
              </w:rPr>
              <w:t>Official county records</w:t>
            </w:r>
          </w:p>
        </w:tc>
        <w:tc>
          <w:tcPr>
            <w:tcW w:type="dxa" w:w="2351"/>
            <w:shd w:val="clear" w:color="auto" w:fill="f0f4fa"/>
          </w:tcPr>
          <w:p>
            <w:r>
              <w:rPr>
                <w:sz w:val="18"/>
              </w:rPr>
              <w:t>Annual review</w:t>
            </w:r>
          </w:p>
        </w:tc>
      </w:tr>
    </w:tbl>
    <w:p/>
    <w:p>
      <w:r>
        <w:t>────────────────────────────────────────────────────────────</w:t>
      </w:r>
    </w:p>
    <w:p>
      <w:r>
        <w:t>## 5. Assumptions &amp; Limitations</w:t>
      </w:r>
    </w:p>
    <w:p>
      <w:r>
        <w:rPr>
          <w:b/>
        </w:rPr>
        <w:t>6. Calibrations, Fallbacks &amp; Data Sources Addendum</w:t>
        <w:br/>
      </w:r>
      <w:r>
        <w:t>M-Pesa Consent Fallback Specification: For non-consenting households (estimated at 30-40% of users, disproportionately rural and low-income), the AGI model falls back to a KDHS 2022-calibrated asset-plus-sector score. This uses the same non-digital PMT variables as the current model but applies the critical corrections for ASAL, chronic illness, and household composition to resolve documented biases. This ensures that the fallback is still significantly fairer than the current model, and that declining M-Pesa access does not penalize households but simply defaults to the corrected baseline.</w:t>
        <w:br/>
        <w:br/>
        <w:t>Chama Fiduciary Assumption: The 80% chama fiduciary deduction is a conservative planning assumption, to be validated against FSD Kenya 2024 chama survey data and KNBS informal economy rotating credit association data in Phase 1 calibration.</w:t>
        <w:br/>
        <w:br/>
        <w:t>Land and Livestock Multipliers: Land and livestock multipliers are derived from the Ministry of Lands Annual Land Valuation Report (2024/2025) for land multipliers (0.4x ASAL, 0.8x semi-urban, 1.2x urban), and the Kenya Livestock Market Information System (KLMIS) 2025 quarterly data for livestock multipliers.</w:t>
        <w:br/>
        <w:br/>
        <w:t>Assessment Frequency and Retention Policy: The assessment cycle is standardized as annual, with a 30-day appeal window each November. In compliance with the Data Protection Act (DPA) and SHA audit policies, raw M-Pesa transaction data is retained for 2 years (DPA §39 compliance); assessment outcome scores are retained for 7 years; and audit trail records are retained for 5 years.</w:t>
        <w:br/>
        <w:br/>
        <w:t>Pro-Poor Asymmetric Constraint Source: The 15% bottom-quintile deduction and 5% top-quintile weights are conservative parameters selected to align with the KDHS 2022 bottom-quintile income deficit relative to the SHA minimum contribution, to be validated against KIPPRA household survey data.</w:t>
      </w:r>
    </w:p>
    <w:p>
      <w:pPr>
        <w:pStyle w:val="ListNumber"/>
      </w:pPr>
      <w:r>
        <w:t>M-Pesa as Income Proxy: M-Pesa transaction volume is used as a proxy for informal income. This is imperfect — high-velocity accounts (chama treasurers, business agents) may show high volume without high personal income. The Household Expense Float proxy (Section 2.3) mitigates this.</w:t>
      </w:r>
    </w:p>
    <w:p>
      <w:pPr>
        <w:pStyle w:val="ListNumber"/>
      </w:pPr>
      <w:r>
        <w:t>Self-Reported Data: Household composition, chronic illness status, and some asset data are self-reported. Verification workflows (Section 2.2) and fraud detection (9-check system) mitigate gaming.</w:t>
      </w:r>
    </w:p>
    <w:p>
      <w:pPr>
        <w:pStyle w:val="ListNumber"/>
      </w:pPr>
      <w:r>
        <w:t>Static Land Values: Land productivity discounts are based on county classification, not individual plot assessment. This is a reasonable simplification for population-scale assessment but may disadvantage individuals with irrigated plots in ASAL counties.</w:t>
      </w:r>
    </w:p>
    <w:p>
      <w:pPr>
        <w:pStyle w:val="ListNumber"/>
      </w:pPr>
      <w:r>
        <w:t>Poverty Line: The indigence threshold (KSh 131,000/year) is based on KNBS poverty line data. This should be reviewed annually and indexed to inflation.</w:t>
      </w:r>
    </w:p>
    <w:p>
      <w:pPr>
        <w:pStyle w:val="ListNumber"/>
      </w:pPr>
      <w:r>
        <w:t>No Gender Variable: The algorithm contains zero gender-based logic. All adjustments are based on behavioral, economic, or geographic (land-only) factors. This is a deliberate design choice to comply with Article 27(4).</w:t>
      </w:r>
    </w:p>
    <w:p>
      <w:r>
        <w:t>────────────────────────────────────────────────────────────</w:t>
      </w:r>
    </w:p>
    <w:p>
      <w:r>
        <w:t>## 6. Change Log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1a3c6e"/>
          </w:tcPr>
          <w:p>
            <w:r>
              <w:rPr>
                <w:b/>
                <w:color w:val="FFFFFF"/>
                <w:sz w:val="18"/>
              </w:rPr>
              <w:t>Version</w:t>
            </w:r>
          </w:p>
        </w:tc>
        <w:tc>
          <w:tcPr>
            <w:tcW w:type="dxa" w:w="2351"/>
            <w:shd w:val="clear" w:color="auto" w:fill="1a3c6e"/>
          </w:tcPr>
          <w:p>
            <w:r>
              <w:rPr>
                <w:b/>
                <w:color w:val="FFFFFF"/>
                <w:sz w:val="18"/>
              </w:rPr>
              <w:t>Date</w:t>
            </w:r>
          </w:p>
        </w:tc>
        <w:tc>
          <w:tcPr>
            <w:tcW w:type="dxa" w:w="2351"/>
            <w:shd w:val="clear" w:color="auto" w:fill="1a3c6e"/>
          </w:tcPr>
          <w:p>
            <w:r>
              <w:rPr>
                <w:b/>
                <w:color w:val="FFFFFF"/>
                <w:sz w:val="18"/>
              </w:rPr>
              <w:t>Change</w:t>
            </w:r>
          </w:p>
        </w:tc>
        <w:tc>
          <w:tcPr>
            <w:tcW w:type="dxa" w:w="2351"/>
            <w:shd w:val="clear" w:color="auto" w:fill="1a3c6e"/>
          </w:tcPr>
          <w:p>
            <w:r>
              <w:rPr>
                <w:b/>
                <w:color w:val="FFFFFF"/>
                <w:sz w:val="18"/>
              </w:rPr>
              <w:t>Rationale</w:t>
            </w:r>
          </w:p>
        </w:tc>
      </w:tr>
      <w:tr>
        <w:tc>
          <w:tcPr>
            <w:tcW w:type="dxa" w:w="2351"/>
            <w:shd w:val="clear" w:color="auto" w:fill="f0f4fa"/>
          </w:tcPr>
          <w:p>
            <w:r>
              <w:rPr>
                <w:sz w:val="18"/>
              </w:rPr>
              <w:t>1.0</w:t>
            </w:r>
          </w:p>
        </w:tc>
        <w:tc>
          <w:tcPr>
            <w:tcW w:type="dxa" w:w="2351"/>
            <w:shd w:val="clear" w:color="auto" w:fill="f0f4fa"/>
          </w:tcPr>
          <w:p>
            <w:r>
              <w:rPr>
                <w:sz w:val="18"/>
              </w:rPr>
              <w:t>2024</w:t>
            </w:r>
          </w:p>
        </w:tc>
        <w:tc>
          <w:tcPr>
            <w:tcW w:type="dxa" w:w="2351"/>
            <w:shd w:val="clear" w:color="auto" w:fill="f0f4fa"/>
          </w:tcPr>
          <w:p>
            <w:r>
              <w:rPr>
                <w:sz w:val="18"/>
              </w:rPr>
              <w:t>Original PMT design</w:t>
            </w:r>
          </w:p>
        </w:tc>
        <w:tc>
          <w:tcPr>
            <w:tcW w:type="dxa" w:w="2351"/>
            <w:shd w:val="clear" w:color="auto" w:fill="f0f4fa"/>
          </w:tcPr>
          <w:p>
            <w:r>
              <w:rPr>
                <w:sz w:val="18"/>
              </w:rPr>
              <w:t>Initial algorithm</w:t>
            </w:r>
          </w:p>
        </w:tc>
      </w:tr>
      <w:tr>
        <w:tc>
          <w:tcPr>
            <w:tcW w:type="dxa" w:w="2351"/>
          </w:tcPr>
          <w:p>
            <w:r>
              <w:rPr>
                <w:sz w:val="18"/>
              </w:rPr>
              <w:t>2.0</w:t>
            </w:r>
          </w:p>
        </w:tc>
        <w:tc>
          <w:tcPr>
            <w:tcW w:type="dxa" w:w="2351"/>
          </w:tcPr>
          <w:p>
            <w:r>
              <w:rPr>
                <w:sz w:val="18"/>
              </w:rPr>
              <w:t>2025</w:t>
            </w:r>
          </w:p>
        </w:tc>
        <w:tc>
          <w:tcPr>
            <w:tcW w:type="dxa" w:w="2351"/>
          </w:tcPr>
          <w:p>
            <w:r>
              <w:rPr>
                <w:sz w:val="18"/>
              </w:rPr>
              <w:t>AGI model introduced</w:t>
            </w:r>
          </w:p>
        </w:tc>
        <w:tc>
          <w:tcPr>
            <w:tcW w:type="dxa" w:w="2351"/>
          </w:tcPr>
          <w:p>
            <w:r>
              <w:rPr>
                <w:sz w:val="18"/>
              </w:rPr>
              <w:t>Address identified systemic flaws</w:t>
            </w:r>
          </w:p>
        </w:tc>
      </w:tr>
      <w:tr>
        <w:tc>
          <w:tcPr>
            <w:tcW w:type="dxa" w:w="2351"/>
            <w:shd w:val="clear" w:color="auto" w:fill="f0f4fa"/>
          </w:tcPr>
          <w:p>
            <w:r>
              <w:rPr>
                <w:sz w:val="18"/>
              </w:rPr>
              <w:t>2.1</w:t>
            </w:r>
          </w:p>
        </w:tc>
        <w:tc>
          <w:tcPr>
            <w:tcW w:type="dxa" w:w="2351"/>
            <w:shd w:val="clear" w:color="auto" w:fill="f0f4fa"/>
          </w:tcPr>
          <w:p>
            <w:r>
              <w:rPr>
                <w:sz w:val="18"/>
              </w:rPr>
              <w:t>June 2026</w:t>
            </w:r>
          </w:p>
        </w:tc>
        <w:tc>
          <w:tcPr>
            <w:tcW w:type="dxa" w:w="2351"/>
            <w:shd w:val="clear" w:color="auto" w:fill="f0f4fa"/>
          </w:tcPr>
          <w:p>
            <w:r>
              <w:rPr>
                <w:sz w:val="18"/>
              </w:rPr>
              <w:t>Removed gender-based adjustments; unified ASAL dependency caps; added per-capita polygamous assessment; implemented granular consent; added equalized odds CI/CD gate; added audit trail; added API fallback handling</w:t>
            </w:r>
          </w:p>
        </w:tc>
        <w:tc>
          <w:tcPr>
            <w:tcW w:type="dxa" w:w="2351"/>
            <w:shd w:val="clear" w:color="auto" w:fill="f0f4fa"/>
          </w:tcPr>
          <w:p>
            <w:r>
              <w:rPr>
                <w:sz w:val="18"/>
              </w:rPr>
              <w:t>CAJ compliance order; Constitution Art. 27(4); DPA §32, §35, §39; Law of Succession Act Cap 160 §40(1)</w:t>
            </w:r>
          </w:p>
        </w:tc>
      </w:tr>
    </w:tbl>
    <w:p/>
    <w:p>
      <w:r>
        <w:t>────────────────────────────────────────────────────────────</w:t>
      </w:r>
    </w:p>
    <w:p>
      <w:r/>
      <w:r>
        <w:rPr>
          <w:i/>
        </w:rPr>
        <w:t>This document is maintained alongside the codebase and updated with every algorithm change. All proxy assumptions are subject to periodic validation against ground-truth poverty data.</w:t>
      </w:r>
      <w:r/>
    </w:p>
    <w:p>
      <w:r/>
      <w:r>
        <w:rPr>
          <w:i/>
        </w:rPr>
        <w:t>Prepared for: Commission on Administrative Justice (CAJ) 21-Day Disclosure</w:t>
      </w:r>
      <w:r/>
    </w:p>
    <w:p>
      <w:r/>
      <w:r>
        <w:rPr>
          <w:i/>
        </w:rPr>
        <w:t>Author: SHA PMT v2.1 Development Team</w:t>
      </w:r>
      <w:r/>
    </w:p>
    <w:p/>
    <w:p>
      <w:pPr>
        <w:jc w:val="center"/>
      </w:pPr>
      <w:r>
        <w:rPr>
          <w:i/>
          <w:color w:val="999999"/>
          <w:sz w:val="16"/>
        </w:rPr>
        <w:t>SHA PMT v2.1 — Prepared for Official Government Submission — June 2026</w:t>
      </w:r>
    </w:p>
    <w:p>
      <w:r>
        <w:t>The SHA model applies OLS linear regression to 43 Lasso-selected proxy variables predicting the natural logarithm of per-capita household consumption. The AGI model replaces this architecture entirely.</w:t>
      </w:r>
    </w:p>
    <w:p>
      <w:pPr>
        <w:pStyle w:val="Heading1"/>
      </w:pPr>
      <w:r>
        <w:t>Addendum: Data Sources &amp; Statistical Grounding</w:t>
      </w:r>
    </w:p>
    <w:p>
      <w:r>
        <w:t>To ensure the SHA Means-Testing Algorithm is fully defensible, all parameters, constraints, and multipliers are strictly grounded in official government data and regional health economic baselines:</w:t>
      </w:r>
    </w:p>
    <w:p>
      <w:r>
        <w:t>1. Demographic &amp; Household Statistics (KDHS): The system uses the Kenya Demographic and Health Survey (KDHS 2022) to set biological and statistical constraints. The national average household size is 3.9. The algorithm sets a maximum reasonable threshold of 12 dependents. Any claim exceeding this statistically improbable threshold triggers a 'Phantom Dependents' fraud flag.</w:t>
      </w:r>
    </w:p>
    <w:p>
      <w:r>
        <w:t>2. Geographic and ASAL Adjustments (CRA &amp; NDMA): The algorithm maps exactly to the 23 counties officially recognized by the Commission on Revenue Allocation (CRA) and the National Drought Management Authority (NDMA). The 85% land value discount in arid areas and 50% in semi-arid areas is justified by their classification as communal/survival assets rather than liquid real estate.</w:t>
      </w:r>
    </w:p>
    <w:p>
      <w:r>
        <w:t>3. Revenue &amp; Compliance Stress Tests (KNBS &amp; ILO): The baseline population of 15.5 million non-salaried households is derived from KNBS (Kenya National Bureau of Statistics) 2024 estimates. Compliance scenarios are based on historical NHIF engagement (Pessimistic - 30%), ILO informal sector taxation studies (Conservative - 45%), and the achieved rates of the Rwanda Community-Based Health Insurance model (Target - 60%).</w:t>
      </w:r>
    </w:p>
    <w:p>
      <w:r>
        <w:t>4. Legal &amp; Privacy Frameworks (DPA &amp; Constitution): All automated fraud escalations enforce the Data Protection Act (DPA) §35 and §39. The system mathematically prohibits automated rejections based solely on API mismatches to ensure compliance with the Constitutional right to fair administrative action (Article 47).</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3C6E"/>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