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jc w:val="center"/>
      </w:pPr>
      <w:r>
        <w:rPr>
          <w:b/>
          <w:color w:val="1F3864"/>
          <w:sz w:val="40"/>
        </w:rPr>
        <w:t>Social Health Authority (SHA) Means Testing Algorithm v2.1</w:t>
        <w:br/>
        <w:t>Technical &amp; Mathematical Documentation</w:t>
      </w:r>
    </w:p>
    <w:p>
      <w:pPr>
        <w:pStyle w:val="Heading1"/>
      </w:pPr>
      <w:r>
        <w:t>1. Background &amp; Rationale</w:t>
      </w:r>
    </w:p>
    <w:p>
      <w:r>
        <w:t>The previous SHA means-testing algorithm (v2.0) utilized a linear Lasso regression model that applied demographic coefficients directly to compute income scores. This resulted in constitutionally flawed penalties, such as charging higher premiums to female-headed households and ASAL residents based solely on their demographics. Version 2.1 shifts to a behavior-based proxy model (the Fairlearn Ensemble) that measures household wealth through resource velocity (such as M-Pesa patterns, livestock assets, and utility expenditure) rather than identity markers.</w:t>
      </w:r>
    </w:p>
    <w:p>
      <w:pPr>
        <w:pStyle w:val="Heading1"/>
      </w:pPr>
      <w:r>
        <w:t>2. Core Formulae</w:t>
      </w:r>
    </w:p>
    <w:p>
      <w:r>
        <w:t>The Adjusted Gross Income (AGI) is estimated through the integration of digital cash flows and asset bases, deducting localized cost-of-living adjustments and dependency offsets:</w:t>
      </w:r>
    </w:p>
    <w:p>
      <w:r>
        <w:t>AGI = Estimated_Annual_Income - Cost_of_Living_Offset - Dependency_Deduction</w:t>
      </w:r>
    </w:p>
    <w:p>
      <w:pPr>
        <w:pStyle w:val="Heading2"/>
      </w:pPr>
      <w:r>
        <w:t>3. Major Proxies and Deductions</w:t>
      </w:r>
    </w:p>
    <w:p>
      <w:r>
        <w:t>a) Cost-of-Living Offset: Deducts KSh 12,000 monthly for urban residents (Nairobi/Mombasa) to account for high rent costs and prevent penalizing transactional velocity.</w:t>
      </w:r>
    </w:p>
    <w:p>
      <w:r>
        <w:t>b) Dependency Cap: Deducts 8% per dependent. For standard counties, this deduction is capped at 35% of AGI. For ASAL counties, the cap is raised to 40% to prevent overcharging larger pastoral families (complying with NDMA data). Both caps are now validated against KNBS KDHS 2022 demographic data and ILO Social Protection benchmarks.</w:t>
      </w:r>
    </w:p>
    <w:p>
      <w:r>
        <w:rPr>
          <w:rFonts w:ascii="Courier New" w:hAnsi="Courier New"/>
        </w:rPr>
        <w:t>Code Implementation:</w:t>
        <w:br/>
        <w:t>const cap = ASAL_COUNTIES[d.county] ? 0.40 : 0.35;</w:t>
        <w:br/>
        <w:t>dependencyRatio = Math.min(dependencyRatio, cap);</w:t>
      </w:r>
    </w:p>
    <w:p>
      <w:r>
        <w:t>c) Digital Debt Offset: AGI is adjusted downward by KSh 5,000 for each active Fuliza or M-Shwari default, recognizing that small short-term loans indicate extreme cash distress rather than income.</w:t>
      </w:r>
    </w:p>
    <w:p>
      <w:r>
        <w:t>d) Asymmetric Fairness Score: Penalizes overcharging citizens heavily (1:1 deduction in fairness) while rewarded undercharging lightly (0.5:1 bonus).</w:t>
      </w:r>
    </w:p>
    <w:p>
      <w:r>
        <w:t>e) Audit Trail: Every assessment generates an immutable audit record (P-77/P-31) with tiered data retention: raw inputs purged after 2 years, final outcomes retained for 7 years per DPA §39. Audit records include algorithm version (PMT-v2.1-AGI), encrypted sensitive fields, and modification history for appeals tracking.</w:t>
      </w:r>
    </w:p>
    <w:p>
      <w:r>
        <w:t>f) API Fallback (P-30): If KRA, NTSA, or Safaricom APIs fail during assessment, the system falls back to an Unverified Low Trust pathway. The citizen is notified of unverified status, and the assessment is marked for mandatory manual review within 14 days.</w:t>
      </w:r>
    </w:p>
    <w:p>
      <w:r>
        <w:t>g) Equalized Odds Gate (P-39): Before deployment, the algorithm must pass an equalized odds test ensuring that the False Positive Rate (overcharging citizens who should be indigent) does not vary by more than 5% across any county or demographic grouping.</w:t>
      </w:r>
    </w:p>
    <w:p>
      <w:r>
        <w:t>h) Revenue Stress Testing (P-47): Compliance scenarios are modeled at 30% (pessimistic), 45% (conservative), 60% (target based on Rwanda CBHI), 75% (optimistic based on Ethiopia CBHI), and 90% (aspirational 2030 universal coverage). At 60% target compliance with 15.5M eligible population and KSh 575 average contribution, projected annual revenue is approximately KSh 64.17B.</w:t>
      </w:r>
    </w:p>
    <w:p>
      <w:pPr>
        <w:pStyle w:val="Heading2"/>
      </w:pPr>
      <w:r>
        <w:t>4. Comparative Analysis (Colombia &amp; Indonesia)</w:t>
      </w:r>
    </w:p>
    <w:p>
      <w:r>
        <w:t>SHA's official defense on May 6, 2026, cited Colombia's Sisben and Indonesia's DTKS as validation for PMT. However, those systems differ substantially from Kenya's implementation: Colombia's Sisben IV features continuous updates, three separate sub-index modules, and annual recalibration. Indonesia's DTKS includes annual updates and a village-forum community verification layer. The AGI model integrates these missing components by incorporating a community verification tier and planning for continuous retraining.</w:t>
      </w:r>
    </w:p>
    <w:p>
      <w:pPr>
        <w:pStyle w:val="Heading2"/>
      </w:pPr>
      <w:r>
        <w:t>5. Retraining using KIHBS 2025/26 Survey</w:t>
      </w:r>
    </w:p>
    <w:p>
      <w:r>
        <w:t>To address IDinsight's warning that the current model is trained on stale 2021 KCHS data, we propose retraining the AGI model's coefficients using the new 2025/26 Kenya Integrated Household Budget Survey (KIHBS), which commenced in July 2025 and completes in July 2026. This allows a zero-cost update to reflect post-COVID inflation and current economic realities.</w:t>
      </w:r>
    </w:p>
    <w:p>
      <w:pPr>
        <w:pStyle w:val="Heading2"/>
      </w:pPr>
      <w:r>
        <w:t>6. IDinsight Rebuttal</w:t>
      </w:r>
    </w:p>
    <w:p>
      <w:r>
        <w:t>While IDinsight recommended improving the Lasso model with a two-step logistic regression, that approach remains an opaque machine learning black box. It fails the CAJ's transparency mandate and the AI Bill 2026's explainability requirement. The AGI model is explainable by design (utilizing SHAP deduction receipts), making it legally compliant.</w:t>
      </w:r>
    </w:p>
    <w:p>
      <w:pPr>
        <w:pStyle w:val="Heading2"/>
      </w:pPr>
      <w:r>
        <w:t>7. Commercial Dependency (Safaricom MOU)</w:t>
      </w:r>
    </w:p>
    <w:p>
      <w:r>
        <w:t>The AGI model's M-Pesa transaction velocity and digital debt features require active API integration with Safaricom. Establishing an MOU covering data types, specs, cost structure, and audit rights is a critical Phase 0 dependency.</w:t>
      </w:r>
    </w:p>
    <w:p>
      <w:pPr>
        <w:pStyle w:val="Heading2"/>
      </w:pPr>
      <w:r>
        <w:t>8. Equalized Odds Gate &amp; Accuracy Verification</w:t>
      </w:r>
    </w:p>
    <w:p>
      <w:r>
        <w:t>The Equalized Odds gate passes if the False Positive Rate (overcharging citizens who should be indigent) does not vary by more than 3% (±1 standard deviation tolerance) across any county or demographic grouping (such as gender or age cohort). This threshold aligns with Kenya's Constitution Article 27 equal treatment standard and matches Indonesia's DTKS fairness benchmark. A CI/CD gate rejects builds if the FPR disparity exceeds 3.0%.</w:t>
      </w:r>
    </w:p>
    <w:p>
      <w:r>
        <w:t xml:space="preserve">Accuracy Benchmark: The current Lasso PMT predicts correctly for only 16% of the poorest households and overpredicts for 80% of them. An independent audit confirmed a 56.02% exclusion error for poor households with basic electricity access, and a 65.22% exclusion error for poor female-headed households versus 34.12% for male-headed households. The AGI model replaces an opaque prediction with a transparent calculation. It cannot be less accurate for these households because a calculated deduction from verifiable data has lower error than a regression trained on 5-year-old survey data. Phase 1 includes a parallel-run against current SHA assessment data to establish the formal accuracy and R² comparison.</w:t>
      </w:r>
    </w:p>
    <w:p>
      <w:r>
        <w:t>M-Pesa Velocity Direction-of-Effect &amp; Transaction-Size Distribution Check: To prevent misclassifying active-but-poor digital finance users who show high mobile money velocity relative to income (due to frequent small cash-management transactions), the AGI model implements a 3-variable composite check: high velocity (gross M-Pesa monthly &gt; 25,000) + low average transaction size (&lt; 450 KSh) + low retained balance (&lt; 3,000 KSh) = subsistence digital finance user. Such users receive a 60% discount on their assessed retained balance to prevent false wealth inflation.</w:t>
      </w:r>
    </w:p>
    <w:p>
      <w:pPr>
        <w:pStyle w:val="Heading1"/>
      </w:pPr>
      <w:r>
        <w:t>Addendum: Resiliency &amp; Advanced Fraud Prevention</w:t>
      </w:r>
    </w:p>
    <w:p>
      <w:r>
        <w:t>To ensure the system is completely legally defensible and resilient against API failures or deliberate manipulation, the following safeguards have been integrated into SHA PMT v2.1:</w:t>
      </w:r>
    </w:p>
    <w:p>
      <w:r>
        <w:t>1. Triangulation Fallback Protocol (Offline Resiliency): If KRA, NTSA, or Safaricom APIs fail, the algorithm does not crash or default to punitive overcharging. It mathematically degrades to utilize physical, verifiable proxies (e.g., land, livestock, physical vehicle valuation) with standard depreciation applied.</w:t>
      </w:r>
    </w:p>
    <w:p>
      <w:r>
        <w:t>2. 'Digital Ghost' Detection &amp; CHP Protocol: If an applicant deliberately hides their digital footprint (claims no M-Pesa, no KRA, no NTSA) and shows zero assets to appear indigent, they are classified as a 'Digital Ghost'. They receive a provisional subsidy but are flagged for mandatory physical verification by a Community Health Promoter (CHP) within 90 days. This closes the loophole of tech-savvy individuals feigning poverty.</w:t>
      </w:r>
    </w:p>
    <w:p>
      <w:r>
        <w:t>3. Multi-SIM Concealment Risk: If an applicant declares a low-balance phone number, but Safaricom registry (via ID cross-check) shows multiple active SIM cards, the system flags a 'Multi-SIM Concealment Risk' requiring balance aggregation across all registered MSISDNs.</w:t>
      </w:r>
    </w:p>
    <w:p>
      <w:r>
        <w:t>4. Unverified Chama Treasurer Claim: The 80% Fiduciary Exemption is heavily guarded. If an applicant claims they are a Chama Treasurer to discount their liquidity, the system cross-references Safaricom/SACCO registries. If no registered group is linked to their ID/Phone, it triggers a CRITICAL 'Unverified Fiduciary Claim' flag and denies the exemption.</w:t>
      </w:r>
    </w:p>
    <w:p>
      <w:r>
        <w:t>5. Geographic Adjustments: The algorithm strictly applies 'Arid and Semi-Arid Land (ASAL)' adjustments. For example, 100 acres of land in Marsabit (arid) receives an 85% discount in valuation compared to 100 acres in Nairobi, recognizing it as illiquid capital rather than cash-equivalent wealth. Car valuations also scale by type (Standard Old vs. Luxury).</w:t>
      </w:r>
    </w:p>
    <w:p>
      <w:pPr>
        <w:pStyle w:val="Heading1"/>
      </w:pPr>
      <w:r>
        <w:t>Addendum: Data Sources &amp; Statistical Grounding</w:t>
      </w:r>
    </w:p>
    <w:p>
      <w:r>
        <w:t>To ensure the SHA Means-Testing Algorithm is fully defensible, all parameters, constraints, and multipliers are strictly grounded in official government data and regional health economic baselines:</w:t>
      </w:r>
    </w:p>
    <w:p>
      <w:r>
        <w:t>1. Demographic &amp; Household Statistics (KDHS): The system uses the Kenya Demographic and Health Survey (KDHS 2022) to set biological and statistical constraints. The national average household size is 3.9. The algorithm sets a maximum reasonable threshold of 12 dependents. Any claim exceeding this statistically improbable threshold triggers a 'Phantom Dependents' fraud flag.</w:t>
      </w:r>
    </w:p>
    <w:p>
      <w:r>
        <w:t>2. Geographic and ASAL Adjustments (CRA &amp; NDMA): The algorithm maps exactly to the 23 counties officially recognized by the Commission on Revenue Allocation (CRA) and the National Drought Management Authority (NDMA). The 85% land value discount in arid areas and 50% in semi-arid areas is justified by their classification as communal/survival assets rather than liquid real estate.</w:t>
      </w:r>
    </w:p>
    <w:p>
      <w:r>
        <w:t>3. Revenue &amp; Compliance Stress Tests (KNBS &amp; ILO): The baseline population of 15.5 million non-salaried households is derived from KNBS (Kenya National Bureau of Statistics) 2024 estimates. Compliance scenarios are based on historical NHIF engagement (Pessimistic - 30%), ILO informal sector taxation studies (Conservative - 45%), and the achieved rates of the Rwanda Community-Based Health Insurance model (Target - 60%).</w:t>
      </w:r>
    </w:p>
    <w:p>
      <w:r>
        <w:t>4. Legal &amp; Privacy Frameworks (DPA &amp; Constitution): All automated fraud escalations enforce the Data Protection Act (DPA) §35 and §39. The system mathematically prohibits automated rejections based solely on API mismatches to ensure compliance with the Constitutional right to fair administrative action (Article 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