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type="pct" w:w="5000"/>
      </w:tblPr>
      <w:tblGrid>
        <w:gridCol w:w="9406"/>
      </w:tblGrid>
      <w:tr>
        <w:tc>
          <w:tcPr>
            <w:tcW w:type="dxa" w:w="9406"/>
            <w:shd w:fill="1A3C6E" w:val="clear"/>
          </w:tcPr>
          <w:p>
            <w:pPr>
              <w:spacing w:before="240" w:after="240"/>
              <w:jc w:val="center"/>
            </w:pPr>
            <w:r>
              <w:rPr>
                <w:rFonts w:ascii="Calibri" w:hAnsi="Calibri"/>
                <w:b/>
                <w:color w:val="FFFFFF"/>
                <w:sz w:val="36"/>
              </w:rPr>
              <w:t>SHA PMT v2.1 — Executive Summary</w:t>
            </w:r>
          </w:p>
        </w:tc>
      </w:tr>
    </w:tbl>
    <w:p>
      <w:pPr>
        <w:jc w:val="center"/>
      </w:pPr>
      <w:r>
        <w:rPr>
          <w:rFonts w:ascii="Calibri" w:hAnsi="Calibri"/>
          <w:i/>
          <w:color w:val="1A3C6E"/>
          <w:sz w:val="26"/>
        </w:rPr>
        <w:t>Fixing Kenya’s Health Insurance Algorithm</w:t>
      </w:r>
    </w:p>
    <w:p/>
    <w:p>
      <w:pPr>
        <w:pStyle w:val="Heading2"/>
      </w:pPr>
      <w:r>
        <w:t>The Crisis</w:t>
      </w:r>
    </w:p>
    <w:tbl>
      <w:tblPr>
        <w:tblStyle w:val="TableGrid"/>
        <w:tblW w:type="auto" w:w="0"/>
        <w:jc w:val="center"/>
        <w:tblLook w:firstColumn="1" w:firstRow="1" w:lastColumn="0" w:lastRow="0" w:noHBand="0" w:noVBand="1" w:val="04A0"/>
      </w:tblPr>
      <w:tblGrid>
        <w:gridCol w:w="4703"/>
        <w:gridCol w:w="4703"/>
      </w:tblGrid>
      <w:tr>
        <w:tc>
          <w:tcPr>
            <w:tcW w:type="dxa" w:w="4535"/>
            <w:shd w:fill="1A3C6E" w:val="clear"/>
          </w:tcPr>
          <w:p>
            <w:pPr>
              <w:spacing w:before="40" w:after="40"/>
              <w:jc w:val="center"/>
            </w:pPr>
            <w:r/>
            <w:r>
              <w:rPr>
                <w:rFonts w:ascii="Calibri" w:hAnsi="Calibri"/>
                <w:b/>
                <w:color w:val="FFFFFF"/>
                <w:sz w:val="20"/>
              </w:rPr>
              <w:t>Metric</w:t>
            </w:r>
          </w:p>
        </w:tc>
        <w:tc>
          <w:tcPr>
            <w:tcW w:type="dxa" w:w="4535"/>
            <w:shd w:fill="1A3C6E" w:val="clear"/>
          </w:tcPr>
          <w:p>
            <w:pPr>
              <w:spacing w:before="40" w:after="40"/>
              <w:jc w:val="center"/>
            </w:pPr>
            <w:r/>
            <w:r>
              <w:rPr>
                <w:rFonts w:ascii="Calibri" w:hAnsi="Calibri"/>
                <w:b/>
                <w:color w:val="FFFFFF"/>
                <w:sz w:val="20"/>
              </w:rPr>
              <w:t>Value</w:t>
            </w:r>
          </w:p>
        </w:tc>
      </w:tr>
      <w:tr>
        <w:tc>
          <w:tcPr>
            <w:tcW w:type="dxa" w:w="4535"/>
          </w:tcPr>
          <w:p>
            <w:pPr>
              <w:spacing w:before="40" w:after="40"/>
              <w:jc w:val="left"/>
            </w:pPr>
            <w:r/>
            <w:r>
              <w:rPr>
                <w:rFonts w:ascii="Calibri" w:hAnsi="Calibri"/>
                <w:b/>
                <w:color w:val="000000"/>
                <w:sz w:val="20"/>
              </w:rPr>
              <w:t>Informal-sector households affected</w:t>
            </w:r>
          </w:p>
        </w:tc>
        <w:tc>
          <w:tcPr>
            <w:tcW w:type="dxa" w:w="4535"/>
          </w:tcPr>
          <w:p>
            <w:pPr>
              <w:spacing w:before="40" w:after="40"/>
              <w:jc w:val="left"/>
            </w:pPr>
            <w:r/>
            <w:r>
              <w:rPr>
                <w:rFonts w:ascii="Calibri" w:hAnsi="Calibri"/>
                <w:b w:val="0"/>
                <w:color w:val="000000"/>
                <w:sz w:val="20"/>
              </w:rPr>
              <w:t>15.5 million</w:t>
            </w:r>
          </w:p>
        </w:tc>
      </w:tr>
      <w:tr>
        <w:tc>
          <w:tcPr>
            <w:tcW w:type="dxa" w:w="4535"/>
            <w:shd w:fill="F2F2F2" w:val="clear"/>
          </w:tcPr>
          <w:p>
            <w:pPr>
              <w:spacing w:before="40" w:after="40"/>
              <w:jc w:val="left"/>
            </w:pPr>
            <w:r/>
            <w:r>
              <w:rPr>
                <w:rFonts w:ascii="Calibri" w:hAnsi="Calibri"/>
                <w:b/>
                <w:color w:val="000000"/>
                <w:sz w:val="20"/>
              </w:rPr>
              <w:t>Documented algorithmic flaws</w:t>
            </w:r>
          </w:p>
        </w:tc>
        <w:tc>
          <w:tcPr>
            <w:tcW w:type="dxa" w:w="4535"/>
            <w:shd w:fill="F2F2F2" w:val="clear"/>
          </w:tcPr>
          <w:p>
            <w:pPr>
              <w:spacing w:before="40" w:after="40"/>
              <w:jc w:val="left"/>
            </w:pPr>
            <w:r/>
            <w:r>
              <w:rPr>
                <w:rFonts w:ascii="Calibri" w:hAnsi="Calibri"/>
                <w:b w:val="0"/>
                <w:color w:val="000000"/>
                <w:sz w:val="20"/>
              </w:rPr>
              <w:t>32 systemic flaws overcharging the poor</w:t>
            </w:r>
          </w:p>
        </w:tc>
      </w:tr>
      <w:tr>
        <w:tc>
          <w:tcPr>
            <w:tcW w:type="dxa" w:w="4535"/>
          </w:tcPr>
          <w:p>
            <w:pPr>
              <w:spacing w:before="40" w:after="40"/>
              <w:jc w:val="left"/>
            </w:pPr>
            <w:r/>
            <w:r>
              <w:rPr>
                <w:rFonts w:ascii="Calibri" w:hAnsi="Calibri"/>
                <w:b/>
                <w:color w:val="000000"/>
                <w:sz w:val="20"/>
              </w:rPr>
              <w:t>Annual deficit</w:t>
            </w:r>
          </w:p>
        </w:tc>
        <w:tc>
          <w:tcPr>
            <w:tcW w:type="dxa" w:w="4535"/>
          </w:tcPr>
          <w:p>
            <w:pPr>
              <w:spacing w:before="40" w:after="40"/>
              <w:jc w:val="left"/>
            </w:pPr>
            <w:r/>
            <w:r>
              <w:rPr>
                <w:rFonts w:ascii="Calibri" w:hAnsi="Calibri"/>
                <w:b w:val="0"/>
                <w:color w:val="000000"/>
                <w:sz w:val="20"/>
              </w:rPr>
              <w:t>KES 65.7B (KES 87B collections vs KES 178B claims)</w:t>
            </w:r>
          </w:p>
        </w:tc>
      </w:tr>
    </w:tbl>
    <w:p/>
    <w:p>
      <w:pPr>
        <w:pStyle w:val="Heading2"/>
      </w:pPr>
      <w:r>
        <w:t>The Solution — Adjustable Gross Income (AGI) Model</w:t>
      </w:r>
      <w:r>
        <w:t xml:space="preserve"> IDinsight flagged the algorithm as inequitable prior to deployment. SHA deployed it regardless.</w:t>
      </w:r>
    </w:p>
    <w:p>
      <w:r>
        <w:rPr>
          <w:rFonts w:ascii="Calibri" w:hAnsi="Calibri"/>
        </w:rPr>
        <w:t>The AGI model applies 7 evidence-based deductions before the legally mandated 2.75% rate, adjusting the tax base rather than the rate itself.</w:t>
      </w:r>
    </w:p>
    <w:p>
      <w:pPr>
        <w:pStyle w:val="Heading3"/>
      </w:pPr>
      <w:r>
        <w:t>Key Deductions</w:t>
      </w:r>
    </w:p>
    <w:p>
      <w:pPr>
        <w:pStyle w:val="ListBullet"/>
        <w:ind w:left="850"/>
      </w:pPr>
      <w:r>
        <w:rPr>
          <w:rFonts w:ascii="Calibri" w:hAnsi="Calibri"/>
          <w:b/>
          <w:sz w:val="22"/>
        </w:rPr>
        <w:t xml:space="preserve">ASAL Land Discount: </w:t>
      </w:r>
      <w:r>
        <w:rPr>
          <w:rFonts w:ascii="Calibri" w:hAnsi="Calibri"/>
          <w:sz w:val="22"/>
        </w:rPr>
        <w:t>85% reduction for arid/semi-arid land valuations</w:t>
      </w:r>
    </w:p>
    <w:p>
      <w:pPr>
        <w:pStyle w:val="ListBullet"/>
        <w:ind w:left="850"/>
      </w:pPr>
      <w:r>
        <w:rPr>
          <w:rFonts w:ascii="Calibri" w:hAnsi="Calibri"/>
          <w:b/>
          <w:sz w:val="22"/>
        </w:rPr>
        <w:t xml:space="preserve">Dependency Allowance: </w:t>
      </w:r>
      <w:r>
        <w:rPr>
          <w:rFonts w:ascii="Calibri" w:hAnsi="Calibri"/>
          <w:sz w:val="22"/>
        </w:rPr>
        <w:t>8% per dependent, capped at 35–40%</w:t>
      </w:r>
    </w:p>
    <w:p>
      <w:pPr>
        <w:pStyle w:val="ListBullet"/>
        <w:ind w:left="850"/>
      </w:pPr>
      <w:r>
        <w:rPr>
          <w:rFonts w:ascii="Calibri" w:hAnsi="Calibri"/>
          <w:b/>
          <w:sz w:val="22"/>
        </w:rPr>
        <w:t xml:space="preserve">CHE Exemption: </w:t>
      </w:r>
      <w:r>
        <w:rPr>
          <w:rFonts w:ascii="Calibri" w:hAnsi="Calibri"/>
          <w:sz w:val="22"/>
        </w:rPr>
        <w:t>Catastrophic health expenditure protection</w:t>
      </w:r>
    </w:p>
    <w:p>
      <w:pPr>
        <w:pStyle w:val="ListBullet"/>
        <w:ind w:left="850"/>
      </w:pPr>
      <w:r>
        <w:rPr>
          <w:rFonts w:ascii="Calibri" w:hAnsi="Calibri"/>
          <w:b/>
          <w:sz w:val="22"/>
        </w:rPr>
        <w:t xml:space="preserve">Digital Debt Exclusion: </w:t>
      </w:r>
      <w:r>
        <w:rPr>
          <w:rFonts w:ascii="Calibri" w:hAnsi="Calibri"/>
          <w:sz w:val="22"/>
        </w:rPr>
        <w:t>Fuliza/mobile loan defaults deducted</w:t>
      </w:r>
    </w:p>
    <w:p>
      <w:pPr>
        <w:pStyle w:val="ListBullet"/>
        <w:ind w:left="850"/>
      </w:pPr>
      <w:r>
        <w:rPr>
          <w:rFonts w:ascii="Calibri" w:hAnsi="Calibri"/>
          <w:b/>
          <w:sz w:val="22"/>
        </w:rPr>
        <w:t xml:space="preserve">Household Expense Float: </w:t>
      </w:r>
      <w:r>
        <w:rPr>
          <w:rFonts w:ascii="Calibri" w:hAnsi="Calibri"/>
          <w:sz w:val="22"/>
        </w:rPr>
        <w:t>Cost-of-living adjustment by county</w:t>
      </w:r>
    </w:p>
    <w:p>
      <w:pPr>
        <w:pStyle w:val="ListBullet"/>
        <w:ind w:left="850"/>
      </w:pPr>
      <w:r>
        <w:rPr>
          <w:rFonts w:ascii="Calibri" w:hAnsi="Calibri"/>
          <w:b/>
          <w:sz w:val="22"/>
        </w:rPr>
        <w:t xml:space="preserve">Tools of Trade: </w:t>
      </w:r>
      <w:r>
        <w:rPr>
          <w:rFonts w:ascii="Calibri" w:hAnsi="Calibri"/>
          <w:sz w:val="22"/>
        </w:rPr>
        <w:t>Income-generating assets depreciated, not penalized</w:t>
      </w:r>
    </w:p>
    <w:p>
      <w:pPr>
        <w:pStyle w:val="ListBullet"/>
        <w:ind w:left="850"/>
      </w:pPr>
      <w:r>
        <w:rPr>
          <w:rFonts w:ascii="Calibri" w:hAnsi="Calibri"/>
          <w:b/>
          <w:sz w:val="22"/>
        </w:rPr>
        <w:t xml:space="preserve">Fiduciary Exemption: </w:t>
      </w:r>
      <w:r>
        <w:rPr>
          <w:rFonts w:ascii="Calibri" w:hAnsi="Calibri"/>
          <w:sz w:val="22"/>
        </w:rPr>
        <w:t>Chama/group funds excluded from personal income</w:t>
      </w:r>
    </w:p>
    <w:p>
      <w:r>
        <w:rPr>
          <w:rFonts w:ascii="Calibri" w:hAnsi="Calibri"/>
          <w:b/>
          <w:color w:val="1A3C6E"/>
        </w:rPr>
        <w:t xml:space="preserve">Revenue Projection: </w:t>
      </w:r>
      <w:r>
        <w:rPr>
          <w:rFonts w:ascii="Calibri" w:hAnsi="Calibri"/>
        </w:rPr>
        <w:t>KES 87B → KES 139B through 60% compliance at lower, fairer rates.</w:t>
      </w:r>
    </w:p>
    <w:p>
      <w:pPr>
        <w:pStyle w:val="Heading2"/>
      </w:pPr>
      <w:r>
        <w:t>Legal Framework</w:t>
      </w:r>
    </w:p>
    <w:p>
      <w:r>
        <w:rPr>
          <w:b/>
        </w:rPr>
        <w:t xml:space="preserve">Dual Legal Mandate: </w:t>
      </w:r>
      <w:r>
        <w:t>The AGI model satisfies two major legal directives: (1) the High Court's March 19, 2026 unconstitutionality ruling (Justice Bahati Mwamuye) ordering the government to repair means-testing infrastructure within a 90-day window (expiring mid-June 2026), and (2) the CAJ Order #CAJ/2026/05/0847 demanding full algorithm disclosure by June 5, 2026.</w:t>
      </w:r>
    </w:p>
    <w:p>
      <w:r>
        <w:rPr>
          <w:b/>
        </w:rPr>
        <w:t xml:space="preserve">On June 9, 2026, the Awino petition challenging SHA was transferred to the Constitutional and Human Rights Division at Milimani, where it joins other pending constitutional challenges against SHA — indicating a systemic legal vulnerability, not an isolated dispute.</w:t>
      </w:r>
    </w:p>
    <w:tbl>
      <w:tblPr>
        <w:tblStyle w:val="TableGrid"/>
        <w:tblW w:type="auto" w:w="0"/>
        <w:jc w:val="center"/>
        <w:tblLook w:firstColumn="1" w:firstRow="1" w:lastColumn="0" w:lastRow="0" w:noHBand="0" w:noVBand="1" w:val="04A0"/>
      </w:tblPr>
      <w:tblGrid>
        <w:gridCol w:w="3135"/>
        <w:gridCol w:w="3135"/>
        <w:gridCol w:w="3135"/>
      </w:tblGrid>
      <w:tr>
        <w:tc>
          <w:tcPr>
            <w:tcW w:type="dxa" w:w="3024"/>
            <w:shd w:fill="1A3C6E" w:val="clear"/>
          </w:tcPr>
          <w:p>
            <w:pPr>
              <w:spacing w:before="40" w:after="40"/>
              <w:jc w:val="center"/>
            </w:pPr>
            <w:r/>
            <w:r>
              <w:rPr>
                <w:rFonts w:ascii="Calibri" w:hAnsi="Calibri"/>
                <w:b/>
                <w:color w:val="FFFFFF"/>
                <w:sz w:val="20"/>
              </w:rPr>
              <w:t>Legal Instrument</w:t>
            </w:r>
          </w:p>
        </w:tc>
        <w:tc>
          <w:tcPr>
            <w:tcW w:type="dxa" w:w="3024"/>
            <w:shd w:fill="1A3C6E" w:val="clear"/>
          </w:tcPr>
          <w:p>
            <w:pPr>
              <w:spacing w:before="40" w:after="40"/>
              <w:jc w:val="center"/>
            </w:pPr>
            <w:r/>
            <w:r>
              <w:rPr>
                <w:rFonts w:ascii="Calibri" w:hAnsi="Calibri"/>
                <w:b/>
                <w:color w:val="FFFFFF"/>
                <w:sz w:val="20"/>
              </w:rPr>
              <w:t>Requirement</w:t>
            </w:r>
          </w:p>
        </w:tc>
        <w:tc>
          <w:tcPr>
            <w:tcW w:type="dxa" w:w="3024"/>
            <w:shd w:fill="1A3C6E" w:val="clear"/>
          </w:tcPr>
          <w:p>
            <w:pPr>
              <w:spacing w:before="40" w:after="40"/>
              <w:jc w:val="center"/>
            </w:pPr>
            <w:r/>
            <w:r>
              <w:rPr>
                <w:rFonts w:ascii="Calibri" w:hAnsi="Calibri"/>
                <w:b/>
                <w:color w:val="FFFFFF"/>
                <w:sz w:val="20"/>
              </w:rPr>
              <w:t>v2.1 Compliance</w:t>
            </w:r>
          </w:p>
        </w:tc>
      </w:tr>
      <w:tr>
        <w:tc>
          <w:tcPr>
            <w:tcW w:type="dxa" w:w="3024"/>
          </w:tcPr>
          <w:p>
            <w:pPr>
              <w:spacing w:before="40" w:after="40"/>
              <w:jc w:val="left"/>
            </w:pPr>
            <w:r/>
            <w:r>
              <w:rPr>
                <w:rFonts w:ascii="Calibri" w:hAnsi="Calibri"/>
                <w:b/>
                <w:color w:val="000000"/>
                <w:sz w:val="20"/>
              </w:rPr>
              <w:t>Constitution Art. 27(4)</w:t>
            </w:r>
          </w:p>
        </w:tc>
        <w:tc>
          <w:tcPr>
            <w:tcW w:type="dxa" w:w="3024"/>
          </w:tcPr>
          <w:p>
            <w:pPr>
              <w:spacing w:before="40" w:after="40"/>
              <w:jc w:val="left"/>
            </w:pPr>
            <w:r/>
            <w:r>
              <w:rPr>
                <w:rFonts w:ascii="Calibri" w:hAnsi="Calibri"/>
                <w:b w:val="0"/>
                <w:color w:val="000000"/>
                <w:sz w:val="20"/>
              </w:rPr>
              <w:t>No sex/geography discrimination</w:t>
            </w:r>
          </w:p>
        </w:tc>
        <w:tc>
          <w:tcPr>
            <w:tcW w:type="dxa" w:w="3024"/>
          </w:tcPr>
          <w:p>
            <w:pPr>
              <w:spacing w:before="40" w:after="40"/>
              <w:jc w:val="left"/>
            </w:pPr>
            <w:r/>
            <w:r>
              <w:rPr>
                <w:rFonts w:ascii="Calibri" w:hAnsi="Calibri"/>
                <w:b w:val="0"/>
                <w:color w:val="000000"/>
                <w:sz w:val="20"/>
              </w:rPr>
              <w:t>Removed gender-based adjustments</w:t>
            </w:r>
          </w:p>
        </w:tc>
      </w:tr>
      <w:tr>
        <w:tc>
          <w:tcPr>
            <w:tcW w:type="dxa" w:w="3024"/>
            <w:shd w:fill="F2F2F2" w:val="clear"/>
          </w:tcPr>
          <w:p>
            <w:pPr>
              <w:spacing w:before="40" w:after="40"/>
              <w:jc w:val="left"/>
            </w:pPr>
            <w:r/>
            <w:r>
              <w:rPr>
                <w:rFonts w:ascii="Calibri" w:hAnsi="Calibri"/>
                <w:b/>
                <w:color w:val="000000"/>
                <w:sz w:val="20"/>
              </w:rPr>
              <w:t>DPA 2019 §32/35/39</w:t>
            </w:r>
          </w:p>
        </w:tc>
        <w:tc>
          <w:tcPr>
            <w:tcW w:type="dxa" w:w="3024"/>
            <w:shd w:fill="F2F2F2" w:val="clear"/>
          </w:tcPr>
          <w:p>
            <w:pPr>
              <w:spacing w:before="40" w:after="40"/>
              <w:jc w:val="left"/>
            </w:pPr>
            <w:r/>
            <w:r>
              <w:rPr>
                <w:rFonts w:ascii="Calibri" w:hAnsi="Calibri"/>
                <w:b w:val="0"/>
                <w:color w:val="000000"/>
                <w:sz w:val="20"/>
              </w:rPr>
              <w:t>Consent, human oversight, retention</w:t>
            </w:r>
          </w:p>
        </w:tc>
        <w:tc>
          <w:tcPr>
            <w:tcW w:type="dxa" w:w="3024"/>
            <w:shd w:fill="F2F2F2" w:val="clear"/>
          </w:tcPr>
          <w:p>
            <w:pPr>
              <w:spacing w:before="40" w:after="40"/>
              <w:jc w:val="left"/>
            </w:pPr>
            <w:r/>
            <w:r>
              <w:rPr>
                <w:rFonts w:ascii="Calibri" w:hAnsi="Calibri"/>
                <w:b w:val="0"/>
                <w:color w:val="000000"/>
                <w:sz w:val="20"/>
              </w:rPr>
              <w:t>Granular consent, human-in-the-loop, tiered retention</w:t>
            </w:r>
          </w:p>
        </w:tc>
      </w:tr>
      <w:tr>
        <w:tc>
          <w:tcPr>
            <w:tcW w:type="dxa" w:w="3024"/>
          </w:tcPr>
          <w:p>
            <w:pPr>
              <w:spacing w:before="40" w:after="40"/>
              <w:jc w:val="left"/>
            </w:pPr>
            <w:r/>
            <w:r>
              <w:rPr>
                <w:rFonts w:ascii="Calibri" w:hAnsi="Calibri"/>
                <w:b/>
                <w:color w:val="000000"/>
                <w:sz w:val="20"/>
              </w:rPr>
              <w:t>AI Bill 2026</w:t>
            </w:r>
          </w:p>
        </w:tc>
        <w:tc>
          <w:tcPr>
            <w:tcW w:type="dxa" w:w="3024"/>
          </w:tcPr>
          <w:p>
            <w:pPr>
              <w:spacing w:before="40" w:after="40"/>
              <w:jc w:val="left"/>
            </w:pPr>
            <w:r/>
            <w:r>
              <w:rPr>
                <w:rFonts w:ascii="Calibri" w:hAnsi="Calibri"/>
                <w:b w:val="0"/>
                <w:color w:val="000000"/>
                <w:sz w:val="20"/>
              </w:rPr>
              <w:t>Impact assessment, bias testing, explainability</w:t>
            </w:r>
          </w:p>
        </w:tc>
        <w:tc>
          <w:tcPr>
            <w:tcW w:type="dxa" w:w="3024"/>
          </w:tcPr>
          <w:p>
            <w:pPr>
              <w:spacing w:before="40" w:after="40"/>
              <w:jc w:val="left"/>
            </w:pPr>
            <w:r/>
            <w:r>
              <w:rPr>
                <w:rFonts w:ascii="Calibri" w:hAnsi="Calibri"/>
                <w:b w:val="0"/>
                <w:color w:val="000000"/>
                <w:sz w:val="20"/>
              </w:rPr>
              <w:t>Full compliance achieved</w:t>
            </w:r>
          </w:p>
        </w:tc>
      </w:tr>
      <w:tr>
        <w:tc>
          <w:tcPr>
            <w:tcW w:type="dxa" w:w="3024"/>
            <w:shd w:fill="F2F2F2" w:val="clear"/>
          </w:tcPr>
          <w:p>
            <w:pPr>
              <w:spacing w:before="40" w:after="40"/>
              <w:jc w:val="left"/>
            </w:pPr>
            <w:r/>
            <w:r>
              <w:rPr>
                <w:rFonts w:ascii="Calibri" w:hAnsi="Calibri"/>
                <w:b/>
                <w:color w:val="000000"/>
                <w:sz w:val="20"/>
              </w:rPr>
              <w:t>CAJ Order</w:t>
            </w:r>
          </w:p>
        </w:tc>
        <w:tc>
          <w:tcPr>
            <w:tcW w:type="dxa" w:w="3024"/>
            <w:shd w:fill="F2F2F2" w:val="clear"/>
          </w:tcPr>
          <w:p>
            <w:pPr>
              <w:spacing w:before="40" w:after="40"/>
              <w:jc w:val="left"/>
            </w:pPr>
            <w:r/>
            <w:r>
              <w:rPr>
                <w:rFonts w:ascii="Calibri" w:hAnsi="Calibri"/>
                <w:b w:val="0"/>
                <w:color w:val="000000"/>
                <w:sz w:val="20"/>
              </w:rPr>
              <w:t>Algorithm disclosure</w:t>
            </w:r>
          </w:p>
        </w:tc>
        <w:tc>
          <w:tcPr>
            <w:tcW w:type="dxa" w:w="3024"/>
            <w:shd w:fill="F2F2F2" w:val="clear"/>
          </w:tcPr>
          <w:p>
            <w:pPr>
              <w:spacing w:before="40" w:after="40"/>
              <w:jc w:val="left"/>
            </w:pPr>
            <w:r/>
            <w:r>
              <w:rPr>
                <w:rFonts w:ascii="Calibri" w:hAnsi="Calibri"/>
                <w:b w:val="0"/>
                <w:color w:val="000000"/>
                <w:sz w:val="20"/>
              </w:rPr>
              <w:t>21-day deadline June 5, 2026</w:t>
            </w:r>
          </w:p>
        </w:tc>
      </w:tr>
      <w:tr>
        <w:tc>
          <w:tcPr>
            <w:tcW w:type="dxa" w:w="3135"/>
          </w:tcPr>
          <w:p>
            <w:r>
              <w:t>High Court (Justice Mwita, June 2025)</w:t>
            </w:r>
          </w:p>
        </w:tc>
        <w:tc>
          <w:tcPr>
            <w:tcW w:type="dxa" w:w="3135"/>
          </w:tcPr>
          <w:p>
            <w:r>
              <w:t>No double taxation on gross income</w:t>
            </w:r>
          </w:p>
        </w:tc>
        <w:tc>
          <w:tcPr>
            <w:tcW w:type="dxa" w:w="3135"/>
          </w:tcPr>
          <w:p>
            <w:r>
              <w:t>Applies 2.75% strictly to net adjusted income (AGI) after taxes, not gross, resolving double taxation</w:t>
            </w:r>
          </w:p>
        </w:tc>
      </w:tr>
    </w:tbl>
    <w:p/>
    <w:p>
      <w:pPr>
        <w:pStyle w:val="Heading2"/>
      </w:pPr>
      <w:r>
        <w:t>Three Asks</w:t>
      </w:r>
    </w:p>
    <w:p>
      <w:r>
        <w:rPr>
          <w:rFonts w:ascii="Calibri" w:hAnsi="Calibri"/>
          <w:b/>
          <w:color w:val="1A3C6E"/>
          <w:sz w:val="22"/>
        </w:rPr>
        <w:t xml:space="preserve">1. </w:t>
      </w:r>
      <w:r>
        <w:rPr>
          <w:rFonts w:ascii="Calibri" w:hAnsi="Calibri"/>
          <w:sz w:val="22"/>
        </w:rPr>
        <w:t>SHA to adopt AGI model as the v2.1 means-testing standard</w:t>
      </w:r>
    </w:p>
    <w:p>
      <w:r>
        <w:rPr>
          <w:rFonts w:ascii="Calibri" w:hAnsi="Calibri"/>
          <w:b/>
          <w:color w:val="1A3C6E"/>
          <w:sz w:val="22"/>
        </w:rPr>
        <w:t xml:space="preserve">2. </w:t>
      </w:r>
      <w:r>
        <w:rPr>
          <w:rFonts w:ascii="Calibri" w:hAnsi="Calibri"/>
          <w:sz w:val="22"/>
        </w:rPr>
        <w:t>Data Commissioner to issue compliance certificate</w:t>
      </w:r>
    </w:p>
    <w:p>
      <w:r>
        <w:rPr>
          <w:rFonts w:ascii="Calibri" w:hAnsi="Calibri"/>
          <w:b/>
          <w:color w:val="1A3C6E"/>
          <w:sz w:val="22"/>
        </w:rPr>
        <w:t xml:space="preserve">3. </w:t>
      </w:r>
      <w:r>
        <w:rPr>
          <w:rFonts w:ascii="Calibri" w:hAnsi="Calibri"/>
          <w:sz w:val="22"/>
        </w:rPr>
        <w:t>KIPPRA to conduct independent policy review</w:t>
      </w:r>
    </w:p>
    <w:p/>
    <w:p>
      <w:r>
        <w:t>Phone: 0712260057  |  Email: 2507765@students.kcau.ac.ke</w:t>
      </w:r>
    </w:p>
    <w:p>
      <w:pPr>
        <w:jc w:val="center"/>
      </w:pPr>
      <w:r>
        <w:t>Prepared by Peter M. Kaulani (KCA University)</w:t>
      </w:r>
    </w:p>
    <w:p>
      <w:pPr>
        <w:pStyle w:val="Heading1"/>
      </w:pPr>
      <w:r>
        <w:t>Addendum: Resiliency &amp; Advanced Fraud Prevention</w:t>
      </w:r>
    </w:p>
    <w:p>
      <w:r>
        <w:t>To ensure the system is completely legally defensible and resilient against API failures or deliberate manipulation, the following safeguards have been integrated into SHA PMT v2.1:</w:t>
      </w:r>
    </w:p>
    <w:p>
      <w:r>
        <w:t>1. Triangulation Fallback Protocol (Offline Resiliency): If KRA, NTSA, or Safaricom APIs fail, the algorithm does not crash or default to punitive overcharging. It mathematically degrades to utilize physical, verifiable proxies (e.g., land, livestock, physical vehicle valuation) with standard depreciation applied.</w:t>
      </w:r>
    </w:p>
    <w:p>
      <w:r>
        <w:t>2. 'Digital Ghost' Detection &amp; CHP Protocol: If an applicant deliberately hides their digital footprint (claims no M-Pesa, no KRA, no NTSA) and shows zero assets to appear indigent, they are classified as a 'Digital Ghost'. They receive a provisional subsidy but are flagged for mandatory physical verification by a Community Health Promoter (CHP) within 90 days. This closes the loophole of tech-savvy individuals feigning poverty.</w:t>
      </w:r>
    </w:p>
    <w:p>
      <w:r>
        <w:t>3. Multi-SIM Concealment Risk: If an applicant declares a low-balance phone number, but Safaricom registry (via ID cross-check) shows multiple active SIM cards, the system flags a 'Multi-SIM Concealment Risk' requiring balance aggregation across all registered MSISDNs.</w:t>
      </w:r>
    </w:p>
    <w:p>
      <w:r>
        <w:t>4. Unverified Chama Treasurer Claim: The 80% Fiduciary Exemption is heavily guarded. If an applicant claims they are a Chama Treasurer to discount their liquidity, the system cross-references Safaricom/SACCO registries. If no registered group is linked to their ID/Phone, it triggers a CRITICAL 'Unverified Fiduciary Claim' flag and denies the exemption.</w:t>
      </w:r>
    </w:p>
    <w:p>
      <w:r>
        <w:t>5. Geographic Adjustments: The algorithm strictly applies 'Arid and Semi-Arid Land (ASAL)' adjustments. For example, 100 acres of land in Marsabit (arid) receives an 85% discount in valuation compared to 100 acres in Nairobi, recognizing it as illiquid capital rather than cash-equivalent wealth. Car valuations also scale by type (Standard Old vs. Luxury).</w:t>
      </w:r>
    </w:p>
    <w:p>
      <w:pPr>
        <w:pStyle w:val="Heading1"/>
      </w:pPr>
      <w:r>
        <w:t>Addendum: Data Sources &amp; Statistical Grounding</w:t>
      </w:r>
    </w:p>
    <w:p>
      <w:r>
        <w:t>To ensure the SHA Means-Testing Algorithm is fully defensible, all parameters, constraints, and multipliers are strictly grounded in official government data and regional health economic baselines:</w:t>
      </w:r>
    </w:p>
    <w:p>
      <w:r>
        <w:t>1. Demographic &amp; Household Statistics (KDHS): The system uses the Kenya Demographic and Health Survey (KDHS 2022) to set biological and statistical constraints. The national average household size is 3.9. The algorithm sets a maximum reasonable threshold of 12 dependents. Any claim exceeding this statistically improbable threshold triggers a 'Phantom Dependents' fraud flag.</w:t>
      </w:r>
    </w:p>
    <w:p>
      <w:r>
        <w:t>2. Geographic and ASAL Adjustments (CRA &amp; NDMA): The algorithm maps exactly to the 23 counties officially recognized by the Commission on Revenue Allocation (CRA) and the National Drought Management Authority (NDMA). The 85% land value discount in arid areas and 50% in semi-arid areas is justified by their classification as communal/survival assets rather than liquid real estate.</w:t>
      </w:r>
    </w:p>
    <w:p>
      <w:r>
        <w:t>3. Revenue &amp; Compliance Stress Tests (KNBS &amp; ILO): The baseline population of 15.5 million non-salaried households is derived from KNBS (Kenya National Bureau of Statistics) 2024 estimates. Compliance scenarios are based on historical NHIF engagement (Pessimistic - 30%), ILO informal sector taxation studies (Conservative - 45%), and the achieved rates of the Rwanda Community-Based Health Insurance model (Target - 60%).</w:t>
      </w:r>
    </w:p>
    <w:p>
      <w:r>
        <w:t>4. Legal &amp; Privacy Frameworks (DPA &amp; Constitution): All automated fraud escalations enforce the Data Protection Act (DPA) §35 and §39. The system mathematically prohibits automated rejections based solely on API mismatches to ensure compliance with the Constitutional right to fair administrative action (Article 47).</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i/>
        <w:color w:val="1A3C6E"/>
        <w:sz w:val="16"/>
      </w:rPr>
      <w:t>SHA PMT v2.1 — Prepared for Official Government Submission — June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