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 PMT v2.1: Institutional &amp; Regulatory Adoption Pathway</w:t>
      </w:r>
    </w:p>
    <w:p>
      <w:r>
        <w:t>Date: June 2026</w:t>
        <w:br/>
        <w:t>Authors: Applied Computing &amp; Policy Research Team, KCA University</w:t>
        <w:br/>
        <w:t>Target Audience: Ministry of Health, SHA Board, National Assembly Health Committee</w:t>
      </w:r>
    </w:p>
    <w:p>
      <w:pPr>
        <w:pStyle w:val="Heading2"/>
      </w:pPr>
      <w:r>
        <w:t>Executive Summary</w:t>
      </w:r>
    </w:p>
    <w:p>
      <w:r>
        <w:t>Transitioning from the constitutionally vulnerable, Lasso-based Proxy Means Test (PMT v2.0) to the Adjusted Gross Income (AGI) model (PMT v2.1) requires a realistic, legally sound, and politically viable pathway. Rather than proposing a disruptive rip-and-replace of SHA's existing KES 100B+ digital infrastructure, this pathway outlines a 4-step phased integration designed to build evidence, secure stakeholder trust, and align with active court mandates.</w:t>
      </w:r>
    </w:p>
    <w:p>
      <w:pPr>
        <w:pStyle w:val="Heading2"/>
      </w:pPr>
      <w:r>
        <w:t>The 4-Step Adoption Route</w:t>
      </w:r>
    </w:p>
    <w:p>
      <w:pPr>
        <w:pStyle w:val="Heading3"/>
      </w:pPr>
      <w:r>
        <w:t>Step 1: Academic &amp; Institutional Validation (Weeks 1-4)</w:t>
      </w:r>
    </w:p>
    <w:p>
      <w:r>
        <w:t>The first step establishes the academic and policy credibility of the AGI model. This is initiated through the KCA University Policy Brief, co-authored with Dr. Rotich, which serves as the formal academic gatekeeper validation. This brief is submitted to the Kenya Institute for Public Policy Research and Analysis (KIPPRA) for endorsement. Concurrently, the algorithm's compliance and fairness are audited by the Commission on Administrative Justice (CAJ) and the Office of the Data Protection Commissioner (ODPC) to satisfy the June 5 disclosure deadline and secure ODPC compliance certification.</w:t>
      </w:r>
    </w:p>
    <w:p>
      <w:pPr>
        <w:pStyle w:val="Heading3"/>
      </w:pPr>
      <w:r>
        <w:t>Step 2: Parliamentary Entry Point (Weeks 5-8)</w:t>
      </w:r>
    </w:p>
    <w:p>
      <w:r>
        <w:t>The primary political entry point is the National Assembly Departmental Committee on Health, which on March 20, 2026, declared the current SHA system 'unsustainable' due to low compliance and a KES 11B fraud crisis. By presenting the AGI model's comparative fairness audit and its projected KES 52B (+59.8%) revenue lift, the research team positions the reform as the technical solution to SHA's sustainability crisis. This builds legislative backing to mandate an evaluation of the algorithm.</w:t>
      </w:r>
    </w:p>
    <w:p>
      <w:pPr>
        <w:pStyle w:val="Heading3"/>
      </w:pPr>
      <w:r>
        <w:t>Step 3: Zero-Commitment Phase 0 Parallel Run (Weeks 9-16)</w:t>
      </w:r>
    </w:p>
    <w:p>
      <w:r>
        <w:t>To minimize political risk and prevent pushback from SHA's IT consortium (Apeiro/Safacom), the transition is proposed as a zero-commitment parallel run rather than a replacement. Under this phase, the AGI model runs silently in the background alongside the active Lasso PMT. This allows SHA's technical team to compare the models on live data, demonstrating: (a) R² accuracy improvements, (b) county-level exclusion error reductions, and (c) the effectiveness of the *147# USSD interface in rural counties (bypassing the SMS verification barriers documented by Willow Health Media).</w:t>
      </w:r>
    </w:p>
    <w:p>
      <w:pPr>
        <w:pStyle w:val="Heading3"/>
      </w:pPr>
      <w:r>
        <w:t>Step 4: Phased National Rollout &amp; Formal Procurement (Weeks 17-24)</w:t>
      </w:r>
    </w:p>
    <w:p>
      <w:r>
        <w:t>Only when the parallel-run data proves that the AGI model reduces exclusion errors and improves compliance does SHA proceed to formal integration and procurement. The software update is pushed as a core upgrade to the existing SHA database schema, requiring zero new hardware. The rollout proceeds in phases: starting with a 20,000-citizen pilot, expanding to 15 counties, and culminating in a national release across all 47 counties.</w:t>
      </w:r>
    </w:p>
    <w:p>
      <w:pPr>
        <w:pStyle w:val="Heading2"/>
      </w:pPr>
      <w:r>
        <w:t>Key Advantages of the Parallel-Run Framing</w:t>
      </w:r>
    </w:p>
    <w:p>
      <w:r>
        <w:t>- Zero Upfront Commitment: SHA does not have to admit the current system is a failure; it simply agrees to an 'optimization audit'.</w:t>
        <w:br/>
        <w:t>- Fact-Based Decision Making: Hard data from the parallel run, not academic theories, drives the final adoption decision.</w:t>
        <w:br/>
        <w:t>- Intellectual Property Protection: The AGI model is licensed under CC-BY 4.0, protecting the academic priority of the KCA University research team while allowing SHA to implement the code without licensing barriers.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