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type="pct" w:w="5000"/>
      </w:tblPr>
      <w:tblGrid>
        <w:gridCol w:w="9406"/>
      </w:tblGrid>
      <w:tr>
        <w:tc>
          <w:tcPr>
            <w:tcW w:type="dxa" w:w="9406"/>
            <w:shd w:fill="1A3C6E" w:val="clear"/>
          </w:tcPr>
          <w:p>
            <w:pPr>
              <w:spacing w:before="240" w:after="24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Briefing for the Office of the Data Protection Commissioner — SHA PMT v2.1</w:t>
            </w:r>
          </w:p>
        </w:tc>
      </w:tr>
    </w:tbl>
    <w:p/>
    <w:p>
      <w:pPr>
        <w:pBdr>
          <w:bottom w:val="single" w:sz="12" w:space="1" w:color="1A3C6E"/>
        </w:pBdr>
      </w:pPr>
      <w:r>
        <w:rPr>
          <w:rFonts w:ascii="Calibri" w:hAnsi="Calibri"/>
          <w:b/>
          <w:color w:val="1A3C6E"/>
          <w:sz w:val="28"/>
        </w:rPr>
        <w:t>SLIDE 1  |  SHA PMT Crisis Summary</w:t>
      </w:r>
    </w:p>
    <w:p>
      <w:pPr>
        <w:pStyle w:val="ListBullet"/>
        <w:ind w:left="850"/>
      </w:pPr>
      <w:r>
        <w:rPr>
          <w:rFonts w:ascii="Calibri" w:hAnsi="Calibri"/>
          <w:b/>
          <w:sz w:val="22"/>
        </w:rPr>
        <w:t>Context:</w:t>
      </w:r>
      <w:r>
        <w:rPr>
          <w:rFonts w:ascii="Calibri" w:hAnsi="Calibri"/>
          <w:sz w:val="22"/>
        </w:rPr>
        <w:t xml:space="preserve"> SHA means-testing algorithm (PMT) determines contributions for 15.5M informal-sector households</w:t>
      </w:r>
    </w:p>
    <w:p>
      <w:pPr>
        <w:pStyle w:val="ListBullet"/>
        <w:ind w:left="850"/>
      </w:pPr>
      <w:r>
        <w:rPr>
          <w:rFonts w:ascii="Calibri" w:hAnsi="Calibri"/>
          <w:b/>
          <w:sz w:val="22"/>
        </w:rPr>
        <w:t>Problem:</w:t>
      </w:r>
      <w:r>
        <w:rPr>
          <w:rFonts w:ascii="Calibri" w:hAnsi="Calibri"/>
          <w:sz w:val="22"/>
        </w:rPr>
        <w:t xml:space="preserve"> Current algorithm has 32 documented systemic flaws overcharging vulnerable citizens</w:t>
      </w:r>
    </w:p>
    <w:p>
      <w:pPr>
        <w:pStyle w:val="ListBullet"/>
        <w:ind w:left="850"/>
      </w:pPr>
      <w:r>
        <w:t>Legal: High Court unconstitutionality 90-day fix window (Justice Bahati Mwamuye, March 2026, expiring mid-June); CAJ order (deadline June 5, 2026)</w:t>
      </w:r>
    </w:p>
    <w:p>
      <w:pPr>
        <w:pStyle w:val="ListBullet"/>
        <w:ind w:left="850"/>
      </w:pPr>
      <w:r>
        <w:rPr>
          <w:rFonts w:ascii="Calibri" w:hAnsi="Calibri"/>
          <w:b/>
          <w:sz w:val="22"/>
        </w:rPr>
        <w:t>Solution:</w:t>
      </w:r>
      <w:r>
        <w:rPr>
          <w:rFonts w:ascii="Calibri" w:hAnsi="Calibri"/>
          <w:sz w:val="22"/>
        </w:rPr>
        <w:t xml:space="preserve"> Proposed v2.1 fixes all identified flaws using an Adjustable Gross Income (AGI) model</w:t>
      </w:r>
    </w:p>
    <w:p>
      <w:pPr>
        <w:pBdr>
          <w:bottom w:val="single" w:sz="12" w:space="1" w:color="1A3C6E"/>
        </w:pBdr>
      </w:pPr>
      <w:r>
        <w:rPr>
          <w:rFonts w:ascii="Calibri" w:hAnsi="Calibri"/>
          <w:b/>
          <w:color w:val="1A3C6E"/>
          <w:sz w:val="28"/>
        </w:rPr>
        <w:t>SLIDE 2  |  AGI Model Overview</w:t>
      </w:r>
    </w:p>
    <w:p>
      <w:pPr>
        <w:jc w:val="center"/>
      </w:pPr>
      <w:r>
        <w:rPr>
          <w:rFonts w:ascii="Calibri" w:hAnsi="Calibri"/>
          <w:b/>
          <w:color w:val="1A3C6E"/>
          <w:sz w:val="24"/>
        </w:rPr>
        <w:t>Monthly Contribution = max(300, (AGI × 2.75%) / 12)</w:t>
      </w:r>
    </w:p>
    <w:p>
      <w:pPr>
        <w:pStyle w:val="ListBullet"/>
        <w:ind w:left="850"/>
      </w:pPr>
      <w:r>
        <w:rPr>
          <w:rFonts w:ascii="Calibri" w:hAnsi="Calibri"/>
          <w:b/>
          <w:sz w:val="22"/>
        </w:rPr>
        <w:t>Formula:</w:t>
      </w:r>
      <w:r>
        <w:rPr>
          <w:rFonts w:ascii="Calibri" w:hAnsi="Calibri"/>
          <w:sz w:val="22"/>
        </w:rPr>
        <w:t xml:space="preserve"> AGI = Gross Income − Verified Deductions (ASAL land, dependency, CHE, digital debt, household float, tools of trade)</w:t>
      </w:r>
    </w:p>
    <w:p>
      <w:pPr>
        <w:pStyle w:val="ListBullet"/>
        <w:ind w:left="850"/>
      </w:pPr>
      <w:r>
        <w:rPr>
          <w:rFonts w:ascii="Calibri" w:hAnsi="Calibri"/>
          <w:b/>
          <w:sz w:val="22"/>
        </w:rPr>
        <w:t>Rate:</w:t>
      </w:r>
      <w:r>
        <w:rPr>
          <w:rFonts w:ascii="Calibri" w:hAnsi="Calibri"/>
          <w:sz w:val="22"/>
        </w:rPr>
        <w:t xml:space="preserve"> Maintains legally mandated 2.75% rate — adjusts the tax BASE, not the rate</w:t>
      </w:r>
    </w:p>
    <w:p>
      <w:pPr>
        <w:pStyle w:val="ListBullet"/>
        <w:ind w:left="850"/>
      </w:pPr>
      <w:r>
        <w:rPr>
          <w:rFonts w:ascii="Calibri" w:hAnsi="Calibri"/>
          <w:b/>
          <w:sz w:val="22"/>
        </w:rPr>
        <w:t>Fairness:</w:t>
      </w:r>
      <w:r>
        <w:rPr>
          <w:rFonts w:ascii="Calibri" w:hAnsi="Calibri"/>
          <w:sz w:val="22"/>
        </w:rPr>
        <w:t xml:space="preserve"> Pro-poor asymmetric fairness: overcharging penalized 1:1, undercharging rewarded 0.5:1</w:t>
      </w:r>
    </w:p>
    <w:p>
      <w:pPr>
        <w:pBdr>
          <w:bottom w:val="single" w:sz="12" w:space="1" w:color="1A3C6E"/>
        </w:pBdr>
      </w:pPr>
      <w:r>
        <w:rPr>
          <w:rFonts w:ascii="Calibri" w:hAnsi="Calibri"/>
          <w:b/>
          <w:color w:val="1A3C6E"/>
          <w:sz w:val="28"/>
        </w:rPr>
        <w:t>SLIDE 3  |  DPA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DPA Section</w:t>
            </w:r>
          </w:p>
        </w:tc>
        <w:tc>
          <w:tcPr>
            <w:tcW w:type="dxa" w:w="3024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024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SHA PMT v2.1 Implementation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§32 Consent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Informed consent for data processing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3 separate granular toggles (KRA, NTSA, Telecom) with fallback to flat-rate</w:t>
            </w:r>
          </w:p>
        </w:tc>
      </w:tr>
      <w:tr>
        <w:tc>
          <w:tcPr>
            <w:tcW w:type="dxa" w:w="3024"/>
            <w:shd w:fill="F2F2F2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§35 Automated Decisions</w:t>
            </w:r>
          </w:p>
        </w:tc>
        <w:tc>
          <w:tcPr>
            <w:tcW w:type="dxa" w:w="3024"/>
            <w:shd w:fill="F2F2F2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Human oversight of automated decisions</w:t>
            </w:r>
          </w:p>
        </w:tc>
        <w:tc>
          <w:tcPr>
            <w:tcW w:type="dxa" w:w="3024"/>
            <w:shd w:fill="F2F2F2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No auto-rejection. All fraud flags escalate to human officer review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§39 Retention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Data minimization and retention limits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Tiered — raw inputs purged after 1–2 years, results retained 7 years</w:t>
            </w:r>
          </w:p>
        </w:tc>
      </w:tr>
      <w:tr>
        <w:tc>
          <w:tcPr>
            <w:tcW w:type="dxa" w:w="3024"/>
            <w:shd w:fill="F2F2F2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Encryption</w:t>
            </w:r>
          </w:p>
        </w:tc>
        <w:tc>
          <w:tcPr>
            <w:tcW w:type="dxa" w:w="3024"/>
            <w:shd w:fill="F2F2F2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Security safeguards</w:t>
            </w:r>
          </w:p>
        </w:tc>
        <w:tc>
          <w:tcPr>
            <w:tcW w:type="dxa" w:w="3024"/>
            <w:shd w:fill="F2F2F2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AES-256 at rest, TLS 1.3 in transit, field-level encryption for sensitive data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Breach Protocol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Breach notification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DPO 24hrs, ODPC 72hrs, citizen notification</w:t>
            </w:r>
          </w:p>
        </w:tc>
      </w:tr>
    </w:tbl>
    <w:p/>
    <w:p>
      <w:pPr>
        <w:pBdr>
          <w:bottom w:val="single" w:sz="12" w:space="1" w:color="1A3C6E"/>
        </w:pBdr>
      </w:pPr>
      <w:r>
        <w:t>SLIDE 4  |  AI Bill 2026 Compliance (Alignment with Pending Legislation) (Alignment with Pending Legislation) (Alignment with Pending Legislation) (Alignment with Pending Legislation)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AI Bill Requirement</w:t>
            </w:r>
          </w:p>
        </w:tc>
        <w:tc>
          <w:tcPr>
            <w:tcW w:type="dxa" w:w="3024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SHA PMT v2.1 Implementation</w:t>
            </w:r>
          </w:p>
        </w:tc>
        <w:tc>
          <w:tcPr>
            <w:tcW w:type="dxa" w:w="3024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Algorithmic Impact Assessment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Full legal/ethical evaluation completed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✅ Aligned (Compliant once enacted)</w:t>
            </w:r>
          </w:p>
        </w:tc>
      </w:tr>
      <w:tr>
        <w:tc>
          <w:tcPr>
            <w:tcW w:type="dxa" w:w="3024"/>
            <w:shd w:fill="F2F2F2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Transparency &amp; Explainability</w:t>
            </w:r>
          </w:p>
        </w:tc>
        <w:tc>
          <w:tcPr>
            <w:tcW w:type="dxa" w:w="3024"/>
            <w:shd w:fill="F2F2F2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SHAP deduction receipts for every assessment</w:t>
            </w:r>
          </w:p>
        </w:tc>
        <w:tc>
          <w:tcPr>
            <w:tcW w:type="dxa" w:w="3024"/>
            <w:shd w:fill="F2F2F2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✅ Aligned (Compliant once enacted)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Bias Testing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Equalized Odds CI/CD gate (5% FPR threshold)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✅ Aligned (Compliant once enacted)</w:t>
            </w:r>
          </w:p>
        </w:tc>
      </w:tr>
      <w:tr>
        <w:tc>
          <w:tcPr>
            <w:tcW w:type="dxa" w:w="3024"/>
            <w:shd w:fill="F2F2F2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Human Oversight</w:t>
            </w:r>
          </w:p>
        </w:tc>
        <w:tc>
          <w:tcPr>
            <w:tcW w:type="dxa" w:w="3024"/>
            <w:shd w:fill="F2F2F2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DPA §35 human-in-the-loop for all fraud flags</w:t>
            </w:r>
          </w:p>
        </w:tc>
        <w:tc>
          <w:tcPr>
            <w:tcW w:type="dxa" w:w="3024"/>
            <w:shd w:fill="F2F2F2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✅ Aligned (Compliant once enacted)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Data Protection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DPA-compliant consent, retention, encryption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✅ Aligned (Compliant once enacted)</w:t>
            </w:r>
          </w:p>
        </w:tc>
      </w:tr>
      <w:tr>
        <w:tc>
          <w:tcPr>
            <w:tcW w:type="dxa" w:w="3024"/>
            <w:shd w:fill="F2F2F2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Right to Appeal</w:t>
            </w:r>
          </w:p>
        </w:tc>
        <w:tc>
          <w:tcPr>
            <w:tcW w:type="dxa" w:w="3024"/>
            <w:shd w:fill="F2F2F2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90-day appeal window, different officer re-assessment</w:t>
            </w:r>
          </w:p>
        </w:tc>
        <w:tc>
          <w:tcPr>
            <w:tcW w:type="dxa" w:w="3024"/>
            <w:shd w:fill="F2F2F2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✅ Aligned (Compliant once enacted)</w:t>
            </w:r>
          </w:p>
        </w:tc>
      </w:tr>
    </w:tbl>
    <w:p/>
    <w:p>
      <w:pPr>
        <w:pBdr>
          <w:bottom w:val="single" w:sz="12" w:space="1" w:color="1A3C6E"/>
        </w:pBdr>
      </w:pPr>
      <w:r>
        <w:rPr>
          <w:rFonts w:ascii="Calibri" w:hAnsi="Calibri"/>
          <w:b/>
          <w:color w:val="1A3C6E"/>
          <w:sz w:val="28"/>
        </w:rPr>
        <w:t>SLIDE 5  |  Proposed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024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Timeframe</w:t>
            </w:r>
          </w:p>
        </w:tc>
        <w:tc>
          <w:tcPr>
            <w:tcW w:type="dxa" w:w="3024"/>
            <w:shd w:fill="1A3C6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Activities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Phase 0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Weeks 1–2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SHAP samples, Data Commissioner briefing, CAJ filing</w:t>
            </w:r>
          </w:p>
        </w:tc>
      </w:tr>
      <w:tr>
        <w:tc>
          <w:tcPr>
            <w:tcW w:type="dxa" w:w="3024"/>
            <w:shd w:fill="F2F2F2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Phase 1</w:t>
            </w:r>
          </w:p>
        </w:tc>
        <w:tc>
          <w:tcPr>
            <w:tcW w:type="dxa" w:w="3024"/>
            <w:shd w:fill="F2F2F2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Months 1–3</w:t>
            </w:r>
          </w:p>
        </w:tc>
        <w:tc>
          <w:tcPr>
            <w:tcW w:type="dxa" w:w="3024"/>
            <w:shd w:fill="F2F2F2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Pilot in 4 counties (Kakamega, Samburu, Nairobi, Nyeri)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Phase 2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Months 4–6</w:t>
            </w:r>
          </w:p>
        </w:tc>
        <w:tc>
          <w:tcPr>
            <w:tcW w:type="dxa" w:w="302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National rollout</w:t>
            </w:r>
          </w:p>
        </w:tc>
      </w:tr>
    </w:tbl>
    <w:p/>
    <w:p>
      <w:r>
        <w:rPr>
          <w:rFonts w:ascii="Calibri" w:hAnsi="Calibri"/>
          <w:b/>
          <w:color w:val="1A3C6E"/>
        </w:rPr>
        <w:t xml:space="preserve">REQUEST: </w:t>
      </w:r>
      <w:r>
        <w:rPr>
          <w:rFonts w:ascii="Calibri" w:hAnsi="Calibri"/>
        </w:rPr>
        <w:t>Data Commissioner compliance certificate to proceed to Phase 1 pilot.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i/>
        <w:color w:val="1A3C6E"/>
        <w:sz w:val="16"/>
      </w:rPr>
      <w:t>SHA PMT v2.1 — Prepared for Official Government Submission — June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