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type="pct" w:w="5000"/>
      </w:tblPr>
      <w:tblGrid>
        <w:gridCol w:w="9406"/>
      </w:tblGrid>
      <w:tr>
        <w:tc>
          <w:tcPr>
            <w:tcW w:type="dxa" w:w="9406"/>
            <w:shd w:fill="1A3C6E" w:val="clear"/>
          </w:tcPr>
          <w:p>
            <w:pPr>
              <w:spacing w:before="240" w:after="240"/>
              <w:jc w:val="center"/>
            </w:pPr>
            <w:r>
              <w:rPr>
                <w:rFonts w:ascii="Calibri" w:hAnsi="Calibri"/>
                <w:b/>
                <w:color w:val="FFFFFF"/>
                <w:sz w:val="36"/>
              </w:rPr>
              <w:t>SHA PMT v2.1 — Executive Summary</w:t>
            </w:r>
          </w:p>
        </w:tc>
      </w:tr>
    </w:tbl>
    <w:p>
      <w:pPr>
        <w:jc w:val="center"/>
      </w:pPr>
      <w:r>
        <w:rPr>
          <w:rFonts w:ascii="Calibri" w:hAnsi="Calibri"/>
          <w:i/>
          <w:color w:val="1A3C6E"/>
          <w:sz w:val="26"/>
        </w:rPr>
        <w:t>Fixing Kenya’s Health Insurance Algorithm</w:t>
      </w:r>
    </w:p>
    <w:p/>
    <w:p>
      <w:pPr>
        <w:pStyle w:val="Heading2"/>
      </w:pPr>
      <w:r>
        <w:t>The Crisis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  <w:shd w:fill="1A3C6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535"/>
            <w:shd w:fill="1A3C6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Informal-sector households affected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15.5 million</w:t>
            </w:r>
          </w:p>
        </w:tc>
      </w:tr>
      <w:tr>
        <w:tc>
          <w:tcPr>
            <w:tcW w:type="dxa" w:w="45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Documented algorithmic flaws</w:t>
            </w:r>
          </w:p>
        </w:tc>
        <w:tc>
          <w:tcPr>
            <w:tcW w:type="dxa" w:w="4535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32 systemic flaws overcharging the poor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Annual deficit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KES 65.7B (KES 87B collections vs KES 178B claims)</w:t>
            </w:r>
          </w:p>
        </w:tc>
      </w:tr>
    </w:tbl>
    <w:p/>
    <w:p>
      <w:pPr>
        <w:pStyle w:val="Heading2"/>
      </w:pPr>
      <w:r>
        <w:t>The Solution — Adjustable Gross Income (AGI) Model</w:t>
      </w:r>
      <w:r>
        <w:t xml:space="preserve"> IDinsight flagged the algorithm as inequitable prior to deployment. SHA deployed it regardless.</w:t>
      </w:r>
    </w:p>
    <w:p>
      <w:r>
        <w:rPr>
          <w:rFonts w:ascii="Calibri" w:hAnsi="Calibri"/>
        </w:rPr>
        <w:t>The AGI model applies 7 evidence-based deductions before the legally mandated 2.75% rate, adjusting the tax base rather than the rate itself.</w:t>
      </w:r>
    </w:p>
    <w:p>
      <w:pPr>
        <w:pStyle w:val="Heading3"/>
      </w:pPr>
      <w:r>
        <w:t>Key Deductions</w:t>
      </w:r>
    </w:p>
    <w:p>
      <w:pPr>
        <w:pStyle w:val="ListBullet"/>
        <w:ind w:left="850"/>
      </w:pPr>
      <w:r>
        <w:rPr>
          <w:rFonts w:ascii="Calibri" w:hAnsi="Calibri"/>
          <w:b/>
          <w:sz w:val="22"/>
        </w:rPr>
        <w:t xml:space="preserve">ASAL Land Discount: </w:t>
      </w:r>
      <w:r>
        <w:rPr>
          <w:rFonts w:ascii="Calibri" w:hAnsi="Calibri"/>
          <w:sz w:val="22"/>
        </w:rPr>
        <w:t>85% reduction for arid/semi-arid land valuations</w:t>
      </w:r>
    </w:p>
    <w:p>
      <w:pPr>
        <w:pStyle w:val="ListBullet"/>
        <w:ind w:left="850"/>
      </w:pPr>
      <w:r>
        <w:rPr>
          <w:rFonts w:ascii="Calibri" w:hAnsi="Calibri"/>
          <w:b/>
          <w:sz w:val="22"/>
        </w:rPr>
        <w:t xml:space="preserve">Dependency Allowance: </w:t>
      </w:r>
      <w:r>
        <w:rPr>
          <w:rFonts w:ascii="Calibri" w:hAnsi="Calibri"/>
          <w:sz w:val="22"/>
        </w:rPr>
        <w:t>8% per dependent, capped at 35–40%</w:t>
      </w:r>
    </w:p>
    <w:p>
      <w:pPr>
        <w:pStyle w:val="ListBullet"/>
        <w:ind w:left="850"/>
      </w:pPr>
      <w:r>
        <w:rPr>
          <w:rFonts w:ascii="Calibri" w:hAnsi="Calibri"/>
          <w:b/>
          <w:sz w:val="22"/>
        </w:rPr>
        <w:t xml:space="preserve">CHE Exemption: </w:t>
      </w:r>
      <w:r>
        <w:rPr>
          <w:rFonts w:ascii="Calibri" w:hAnsi="Calibri"/>
          <w:sz w:val="22"/>
        </w:rPr>
        <w:t>Catastrophic health expenditure protection</w:t>
      </w:r>
    </w:p>
    <w:p>
      <w:pPr>
        <w:pStyle w:val="ListBullet"/>
        <w:ind w:left="850"/>
      </w:pPr>
      <w:r>
        <w:rPr>
          <w:rFonts w:ascii="Calibri" w:hAnsi="Calibri"/>
          <w:b/>
          <w:sz w:val="22"/>
        </w:rPr>
        <w:t xml:space="preserve">Digital Debt Exclusion: </w:t>
      </w:r>
      <w:r>
        <w:rPr>
          <w:rFonts w:ascii="Calibri" w:hAnsi="Calibri"/>
          <w:sz w:val="22"/>
        </w:rPr>
        <w:t>Fuliza/mobile loan defaults deducted</w:t>
      </w:r>
    </w:p>
    <w:p>
      <w:pPr>
        <w:pStyle w:val="ListBullet"/>
        <w:ind w:left="850"/>
      </w:pPr>
      <w:r>
        <w:rPr>
          <w:rFonts w:ascii="Calibri" w:hAnsi="Calibri"/>
          <w:b/>
          <w:sz w:val="22"/>
        </w:rPr>
        <w:t xml:space="preserve">Household Expense Float: </w:t>
      </w:r>
      <w:r>
        <w:rPr>
          <w:rFonts w:ascii="Calibri" w:hAnsi="Calibri"/>
          <w:sz w:val="22"/>
        </w:rPr>
        <w:t>Cost-of-living adjustment by county</w:t>
      </w:r>
    </w:p>
    <w:p>
      <w:pPr>
        <w:pStyle w:val="ListBullet"/>
        <w:ind w:left="850"/>
      </w:pPr>
      <w:r>
        <w:rPr>
          <w:rFonts w:ascii="Calibri" w:hAnsi="Calibri"/>
          <w:b/>
          <w:sz w:val="22"/>
        </w:rPr>
        <w:t xml:space="preserve">Tools of Trade: </w:t>
      </w:r>
      <w:r>
        <w:rPr>
          <w:rFonts w:ascii="Calibri" w:hAnsi="Calibri"/>
          <w:sz w:val="22"/>
        </w:rPr>
        <w:t>Income-generating assets depreciated, not penalized</w:t>
      </w:r>
    </w:p>
    <w:p>
      <w:pPr>
        <w:pStyle w:val="ListBullet"/>
        <w:ind w:left="850"/>
      </w:pPr>
      <w:r>
        <w:rPr>
          <w:rFonts w:ascii="Calibri" w:hAnsi="Calibri"/>
          <w:b/>
          <w:sz w:val="22"/>
        </w:rPr>
        <w:t xml:space="preserve">Fiduciary Exemption: </w:t>
      </w:r>
      <w:r>
        <w:rPr>
          <w:rFonts w:ascii="Calibri" w:hAnsi="Calibri"/>
          <w:sz w:val="22"/>
        </w:rPr>
        <w:t>Chama/group funds excluded from personal income</w:t>
      </w:r>
    </w:p>
    <w:p>
      <w:r>
        <w:rPr>
          <w:rFonts w:ascii="Calibri" w:hAnsi="Calibri"/>
          <w:b/>
          <w:color w:val="1A3C6E"/>
        </w:rPr>
        <w:t xml:space="preserve">Revenue Projection: </w:t>
      </w:r>
      <w:r>
        <w:rPr>
          <w:rFonts w:ascii="Calibri" w:hAnsi="Calibri"/>
        </w:rPr>
        <w:t>KES 87B → KES 139B through 60% compliance at lower, fairer rates.</w:t>
      </w:r>
    </w:p>
    <w:p>
      <w:pPr>
        <w:pStyle w:val="Heading2"/>
      </w:pPr>
      <w:r>
        <w:t>Legal Framework</w:t>
      </w:r>
    </w:p>
    <w:p>
      <w:r>
        <w:rPr>
          <w:b/>
        </w:rPr>
        <w:t xml:space="preserve">Dual Legal Mandate: </w:t>
      </w:r>
      <w:r>
        <w:t>The AGI model satisfies two major legal directives: (1) the High Court's March 19, 2026 unconstitutionality ruling (Justice Bahati Mwamuye) ordering the government to repair means-testing infrastructure within a 90-day window (expiring mid-June 2026), and (2) the CAJ Order #CAJ/2026/05/0847 demanding full algorithm disclosure by June 5, 2026.</w:t>
      </w:r>
    </w:p>
    <w:p>
      <w:r>
        <w:rPr>
          <w:b/>
        </w:rPr>
        <w:t xml:space="preserve">On June 9, 2026, the Awino petition challenging SHA was transferred to the Constitutional and Human Rights Division at Milimani, where it joins other pending constitutional challenges against SHA — indicating a systemic legal vulnerability, not an isolated dispute.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024"/>
            <w:shd w:fill="1A3C6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Legal Instrument</w:t>
            </w:r>
          </w:p>
        </w:tc>
        <w:tc>
          <w:tcPr>
            <w:tcW w:type="dxa" w:w="3024"/>
            <w:shd w:fill="1A3C6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024"/>
            <w:shd w:fill="1A3C6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v2.1 Compliance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Constitution Art. 27(4)</w:t>
            </w:r>
          </w:p>
        </w:tc>
        <w:tc>
          <w:tcPr>
            <w:tcW w:type="dxa" w:w="3024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No sex/geography discrimination</w:t>
            </w:r>
          </w:p>
        </w:tc>
        <w:tc>
          <w:tcPr>
            <w:tcW w:type="dxa" w:w="3024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Removed gender-based adjustments</w:t>
            </w:r>
          </w:p>
        </w:tc>
      </w:tr>
      <w:tr>
        <w:tc>
          <w:tcPr>
            <w:tcW w:type="dxa" w:w="3024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DPA 2019 §32/35/39</w:t>
            </w:r>
          </w:p>
        </w:tc>
        <w:tc>
          <w:tcPr>
            <w:tcW w:type="dxa" w:w="3024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Consent, human oversight, retention</w:t>
            </w:r>
          </w:p>
        </w:tc>
        <w:tc>
          <w:tcPr>
            <w:tcW w:type="dxa" w:w="3024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Granular consent, human-in-the-loop, tiered retention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AI Bill 2026</w:t>
            </w:r>
          </w:p>
        </w:tc>
        <w:tc>
          <w:tcPr>
            <w:tcW w:type="dxa" w:w="3024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Impact assessment, bias testing, explainability</w:t>
            </w:r>
          </w:p>
        </w:tc>
        <w:tc>
          <w:tcPr>
            <w:tcW w:type="dxa" w:w="3024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Full compliance achieved</w:t>
            </w:r>
          </w:p>
        </w:tc>
      </w:tr>
      <w:tr>
        <w:tc>
          <w:tcPr>
            <w:tcW w:type="dxa" w:w="3024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color w:val="000000"/>
                <w:sz w:val="20"/>
              </w:rPr>
              <w:t>CAJ Order</w:t>
            </w:r>
          </w:p>
        </w:tc>
        <w:tc>
          <w:tcPr>
            <w:tcW w:type="dxa" w:w="3024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Algorithm disclosure</w:t>
            </w:r>
          </w:p>
        </w:tc>
        <w:tc>
          <w:tcPr>
            <w:tcW w:type="dxa" w:w="3024"/>
            <w:shd w:fill="F2F2F2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0"/>
              </w:rPr>
              <w:t>21-day deadline June 5, 2026</w:t>
            </w:r>
          </w:p>
        </w:tc>
      </w:tr>
      <w:tr>
        <w:tc>
          <w:tcPr>
            <w:tcW w:type="dxa" w:w="3135"/>
          </w:tcPr>
          <w:p>
            <w:r>
              <w:t>High Court (Justice Mwita, June 2025)</w:t>
            </w:r>
          </w:p>
        </w:tc>
        <w:tc>
          <w:tcPr>
            <w:tcW w:type="dxa" w:w="3135"/>
          </w:tcPr>
          <w:p>
            <w:r>
              <w:t>No double taxation on gross income</w:t>
            </w:r>
          </w:p>
        </w:tc>
        <w:tc>
          <w:tcPr>
            <w:tcW w:type="dxa" w:w="3135"/>
          </w:tcPr>
          <w:p>
            <w:r>
              <w:t>Applies 2.75% strictly to net adjusted income (AGI) after taxes, not gross, resolving double taxation</w:t>
            </w:r>
          </w:p>
        </w:tc>
      </w:tr>
    </w:tbl>
    <w:p/>
    <w:p>
      <w:pPr>
        <w:pStyle w:val="Heading2"/>
      </w:pPr>
      <w:r>
        <w:t>Three Asks</w:t>
      </w:r>
    </w:p>
    <w:p>
      <w:r>
        <w:rPr>
          <w:rFonts w:ascii="Calibri" w:hAnsi="Calibri"/>
          <w:b/>
          <w:color w:val="1A3C6E"/>
          <w:sz w:val="22"/>
        </w:rPr>
        <w:t xml:space="preserve">1. </w:t>
      </w:r>
      <w:r>
        <w:rPr>
          <w:rFonts w:ascii="Calibri" w:hAnsi="Calibri"/>
          <w:sz w:val="22"/>
        </w:rPr>
        <w:t>SHA to adopt AGI model as the v2.1 means-testing standard</w:t>
      </w:r>
    </w:p>
    <w:p>
      <w:r>
        <w:rPr>
          <w:rFonts w:ascii="Calibri" w:hAnsi="Calibri"/>
          <w:b/>
          <w:color w:val="1A3C6E"/>
          <w:sz w:val="22"/>
        </w:rPr>
        <w:t xml:space="preserve">2. </w:t>
      </w:r>
      <w:r>
        <w:rPr>
          <w:rFonts w:ascii="Calibri" w:hAnsi="Calibri"/>
          <w:sz w:val="22"/>
        </w:rPr>
        <w:t>Data Commissioner to issue compliance certificate</w:t>
      </w:r>
    </w:p>
    <w:p>
      <w:r>
        <w:rPr>
          <w:rFonts w:ascii="Calibri" w:hAnsi="Calibri"/>
          <w:b/>
          <w:color w:val="1A3C6E"/>
          <w:sz w:val="22"/>
        </w:rPr>
        <w:t xml:space="preserve">3. </w:t>
      </w:r>
      <w:r>
        <w:rPr>
          <w:rFonts w:ascii="Calibri" w:hAnsi="Calibri"/>
          <w:sz w:val="22"/>
        </w:rPr>
        <w:t>KIPPRA to conduct independent policy review</w:t>
      </w:r>
    </w:p>
    <w:p/>
    <w:p>
      <w:r>
        <w:t>Phone: 0712260057  |  Email: 2507765@students.kcau.ac.ke</w:t>
      </w:r>
    </w:p>
    <w:p>
      <w:pPr>
        <w:jc w:val="center"/>
      </w:pPr>
      <w:r>
        <w:t>Prepared by Peter M. Kaulani (KCA University)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i/>
        <w:color w:val="1A3C6E"/>
        <w:sz w:val="16"/>
      </w:rPr>
      <w:t>SHA PMT v2.1 — Prepared for Official Government Submission — June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3C6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3C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