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83" w:val="clear"/>
            <w:tcMar>
              <w:top w:type="dxa" w:w="120"/>
              <w:left w:type="dxa" w:w="160"/>
              <w:bottom w:type="dxa" w:w="120"/>
              <w:right w:type="dxa" w:w="160"/>
            </w:tcMar>
          </w:tcPr>
          <w:p>
            <w:pPr>
              <w:spacing w:after="40" w:before="0"/>
            </w:pPr>
            <w:r>
              <w:rPr>
                <w:rFonts w:ascii="Arial" w:cs="Arial" w:eastAsia="Arial" w:hAnsi="Arial"/>
                <w:b/>
                <w:bCs/>
                <w:color w:val="FFFFFF"/>
                <w:sz w:val="20"/>
                <w:szCs w:val="20"/>
              </w:rPr>
              <w:t xml:space="preserve">MEETING PRE-READ BRIEF</w:t>
            </w:r>
          </w:p>
          <w:p>
            <w:pPr>
              <w:spacing w:after="0" w:before="0"/>
            </w:pPr>
            <w:r>
              <w:rPr>
                <w:rFonts w:ascii="Arial" w:cs="Arial" w:eastAsia="Arial" w:hAnsi="Arial"/>
                <w:color w:val="DDDDDD"/>
                <w:sz w:val="18"/>
                <w:szCs w:val="18"/>
              </w:rPr>
              <w:t xml:space="preserve">SHA PMT Reform: AGI Model v2.1   |   KCA University   |   Tuesday, June 9, 2026</w:t>
            </w:r>
          </w:p>
        </w:tc>
      </w:tr>
    </w:tbl>
    <w:p>
      <w:pPr>
        <w:spacing w:after="0" w:before="120"/>
      </w:pPr>
      <w:r>
        <w:t xml:space="preserve"/>
      </w:r>
    </w:p>
    <w:p>
      <w:pPr>
        <w:spacing w:after="160" w:before="0"/>
      </w:pPr>
      <w:r>
        <w:rPr>
          <w:rFonts w:ascii="Arial" w:cs="Arial" w:eastAsia="Arial" w:hAnsi="Arial"/>
          <w:color w:val="555555"/>
          <w:sz w:val="22"/>
          <w:szCs w:val="22"/>
        </w:rPr>
        <w:t xml:space="preserve">Prepared for the attention of the meeting participants  ·  June 9, 2026</w:t>
      </w:r>
    </w:p>
    <w:p>
      <w:pPr>
        <w:spacing w:after="100" w:before="240"/>
      </w:pPr>
      <w:r>
        <w:rPr>
          <w:rFonts w:ascii="Arial" w:cs="Arial" w:eastAsia="Arial" w:hAnsi="Arial"/>
          <w:b/>
          <w:bCs/>
          <w:color w:val="1B5E83"/>
          <w:sz w:val="24"/>
          <w:szCs w:val="24"/>
        </w:rPr>
        <w:t xml:space="preserve">What This Meeting Is About</w:t>
      </w:r>
    </w:p>
    <w:p>
      <w:pPr>
        <w:spacing w:after="60" w:before="60"/>
        <w:jc w:val="both"/>
      </w:pPr>
      <w:r>
        <w:rPr>
          <w:rFonts w:ascii="Arial" w:cs="Arial" w:eastAsia="Arial" w:hAnsi="Arial"/>
          <w:sz w:val="22"/>
          <w:szCs w:val="22"/>
        </w:rPr>
        <w:t xml:space="preserve">This brief introduces independent research completed at KCA University that proposes a transparent, legally compliant replacement for the Social Health Authority's AI-powered healthcare premium algorithm. The research is complete. The purpose of Tuesday's meeting is to discuss how KCA University can formally support the research and help advance it through Kenya's policy and oversight channels.</w:t>
      </w:r>
    </w:p>
    <w:p>
      <w:pPr>
        <w:spacing w:after="0" w:before="100"/>
      </w:pPr>
      <w:r>
        <w:t xml:space="preserve"/>
      </w:r>
    </w:p>
    <w:p>
      <w:pPr>
        <w:spacing w:after="100" w:before="240"/>
      </w:pPr>
      <w:r>
        <w:rPr>
          <w:rFonts w:ascii="Arial" w:cs="Arial" w:eastAsia="Arial" w:hAnsi="Arial"/>
          <w:b/>
          <w:bCs/>
          <w:color w:val="1B5E83"/>
          <w:sz w:val="24"/>
          <w:szCs w:val="24"/>
        </w:rPr>
        <w:t xml:space="preserve">The Problem — In Brief</w:t>
      </w:r>
    </w:p>
    <w:p>
      <w:pPr>
        <w:spacing w:after="60" w:before="60"/>
        <w:jc w:val="both"/>
      </w:pPr>
      <w:r>
        <w:rPr>
          <w:rFonts w:ascii="Arial" w:cs="Arial" w:eastAsia="Arial" w:hAnsi="Arial"/>
          <w:sz w:val="22"/>
          <w:szCs w:val="22"/>
        </w:rPr>
        <w:t xml:space="preserve">Kenya's Social Health Authority (SHA) uses a machine learning model called the Proxy Means Test (PMT) to calculate how much each of 29.8 million registered Kenyans pays for healthcare. The algorithm has been independently audited and found to be deeply flawed: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spacing w:after="40" w:before="0"/>
              <w:jc w:val="center"/>
            </w:pPr>
            <w:r>
              <w:rPr>
                <w:rFonts w:ascii="Arial" w:cs="Arial" w:eastAsia="Arial" w:hAnsi="Arial"/>
                <w:b/>
                <w:bCs/>
                <w:color w:val="B71C1C"/>
                <w:sz w:val="36"/>
                <w:szCs w:val="36"/>
              </w:rPr>
              <w:t xml:space="preserve">80%</w:t>
            </w:r>
          </w:p>
          <w:p>
            <w:pPr>
              <w:spacing w:after="0" w:before="0"/>
              <w:jc w:val="center"/>
            </w:pPr>
            <w:r>
              <w:rPr>
                <w:rFonts w:ascii="Arial" w:cs="Arial" w:eastAsia="Arial" w:hAnsi="Arial"/>
                <w:color w:val="555555"/>
                <w:sz w:val="18"/>
                <w:szCs w:val="18"/>
              </w:rPr>
              <w:t xml:space="preserve">of poorest households overcharged</w:t>
            </w:r>
          </w:p>
        </w:tc>
        <w:tc>
          <w:tcPr>
            <w:tcW w:type="dxa" w:w="312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spacing w:after="40" w:before="0"/>
              <w:jc w:val="center"/>
            </w:pPr>
            <w:r>
              <w:rPr>
                <w:rFonts w:ascii="Arial" w:cs="Arial" w:eastAsia="Arial" w:hAnsi="Arial"/>
                <w:b/>
                <w:bCs/>
                <w:color w:val="B71C1C"/>
                <w:sz w:val="36"/>
                <w:szCs w:val="36"/>
              </w:rPr>
              <w:t xml:space="preserve">65%</w:t>
            </w:r>
          </w:p>
          <w:p>
            <w:pPr>
              <w:spacing w:after="0" w:before="0"/>
              <w:jc w:val="center"/>
            </w:pPr>
            <w:r>
              <w:rPr>
                <w:rFonts w:ascii="Arial" w:cs="Arial" w:eastAsia="Arial" w:hAnsi="Arial"/>
                <w:color w:val="555555"/>
                <w:sz w:val="18"/>
                <w:szCs w:val="18"/>
              </w:rPr>
              <w:t xml:space="preserve">exclusion error, female-headed HHs</w:t>
            </w:r>
          </w:p>
        </w:tc>
        <w:tc>
          <w:tcPr>
            <w:tcW w:type="dxa" w:w="312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spacing w:after="40" w:before="0"/>
              <w:jc w:val="center"/>
            </w:pPr>
            <w:r>
              <w:rPr>
                <w:rFonts w:ascii="Arial" w:cs="Arial" w:eastAsia="Arial" w:hAnsi="Arial"/>
                <w:b/>
                <w:bCs/>
                <w:color w:val="E65100"/>
                <w:sz w:val="36"/>
                <w:szCs w:val="36"/>
              </w:rPr>
              <w:t xml:space="preserve">KES 65.7B</w:t>
            </w:r>
          </w:p>
          <w:p>
            <w:pPr>
              <w:spacing w:after="0" w:before="0"/>
              <w:jc w:val="center"/>
            </w:pPr>
            <w:r>
              <w:rPr>
                <w:rFonts w:ascii="Arial" w:cs="Arial" w:eastAsia="Arial" w:hAnsi="Arial"/>
                <w:color w:val="555555"/>
                <w:sz w:val="18"/>
                <w:szCs w:val="18"/>
              </w:rPr>
              <w:t xml:space="preserve">annual deficit despite collections</w:t>
            </w:r>
          </w:p>
        </w:tc>
      </w:tr>
    </w:tbl>
    <w:p>
      <w:pPr>
        <w:spacing w:after="0" w:before="100"/>
      </w:pPr>
      <w:r>
        <w:t xml:space="preserve"/>
      </w:r>
    </w:p>
    <w:p>
      <w:pPr>
        <w:spacing w:after="60" w:before="60"/>
        <w:jc w:val="both"/>
      </w:pPr>
      <w:r>
        <w:rPr>
          <w:rFonts w:ascii="Arial" w:cs="Arial" w:eastAsia="Arial" w:hAnsi="Arial"/>
          <w:sz w:val="22"/>
          <w:szCs w:val="22"/>
        </w:rPr>
        <w:t xml:space="preserve">IDinsight — SHA's own contracted evaluator — warned that the algorithm was inequitable before deployment. SHA deployed it regardless, under executive pressure to maximise revenue. As a result, only 5 million of 29.8 million registered members pay their premiums. The other 24.8 million have been priced out of the system.</w:t>
      </w:r>
    </w:p>
    <w:p>
      <w:pPr>
        <w:spacing w:after="0" w:before="100"/>
      </w:pPr>
      <w:r>
        <w:t xml:space="preserve"/>
      </w:r>
    </w:p>
    <w:p>
      <w:pPr>
        <w:spacing w:after="100" w:before="240"/>
      </w:pPr>
      <w:r>
        <w:rPr>
          <w:rFonts w:ascii="Arial" w:cs="Arial" w:eastAsia="Arial" w:hAnsi="Arial"/>
          <w:b/>
          <w:bCs/>
          <w:color w:val="1B5E83"/>
          <w:sz w:val="24"/>
          <w:szCs w:val="24"/>
        </w:rPr>
        <w:t xml:space="preserve">What Was Built</w:t>
      </w:r>
    </w:p>
    <w:p>
      <w:pPr>
        <w:spacing w:after="60" w:before="60"/>
        <w:jc w:val="both"/>
      </w:pPr>
      <w:r>
        <w:rPr>
          <w:rFonts w:ascii="Arial" w:cs="Arial" w:eastAsia="Arial" w:hAnsi="Arial"/>
          <w:sz w:val="22"/>
          <w:szCs w:val="22"/>
        </w:rPr>
        <w:t xml:space="preserve">Over the past academic year, working independently as part of the Applied Computing programme, Peter M. Kaulani designed, tested, and documented a complete replacement: the Adjustable Gross Income (AGI) Model v2.1.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80" w:before="0"/>
            </w:pPr>
            <w:r>
              <w:rPr>
                <w:rFonts w:ascii="Arial" w:cs="Arial" w:eastAsia="Arial" w:hAnsi="Arial"/>
                <w:b/>
                <w:bCs/>
                <w:color w:val="1B5E83"/>
                <w:sz w:val="22"/>
                <w:szCs w:val="22"/>
              </w:rPr>
              <w:t xml:space="preserve">Research deliverables</w:t>
            </w:r>
          </w:p>
          <w:p>
            <w:pPr>
              <w:pStyle w:val="ListParagraph"/>
              <w:numPr>
                <w:ilvl w:val="0"/>
                <w:numId w:val="2"/>
              </w:numPr>
              <w:spacing w:after="40" w:before="40"/>
            </w:pPr>
            <w:r>
              <w:rPr>
                <w:rFonts w:ascii="Arial" w:cs="Arial" w:eastAsia="Arial" w:hAnsi="Arial"/>
                <w:sz w:val="22"/>
                <w:szCs w:val="22"/>
              </w:rPr>
              <w:t xml:space="preserve">20 documents (400+ pages)</w:t>
            </w:r>
          </w:p>
          <w:p>
            <w:pPr>
              <w:pStyle w:val="ListParagraph"/>
              <w:numPr>
                <w:ilvl w:val="0"/>
                <w:numId w:val="2"/>
              </w:numPr>
              <w:spacing w:after="40" w:before="40"/>
            </w:pPr>
            <w:r>
              <w:rPr>
                <w:rFonts w:ascii="Arial" w:cs="Arial" w:eastAsia="Arial" w:hAnsi="Arial"/>
                <w:sz w:val="22"/>
                <w:szCs w:val="22"/>
              </w:rPr>
              <w:t xml:space="preserve">Working React MVP — 47 counties, 6 tabs</w:t>
            </w:r>
          </w:p>
          <w:p>
            <w:pPr>
              <w:pStyle w:val="ListParagraph"/>
              <w:numPr>
                <w:ilvl w:val="0"/>
                <w:numId w:val="2"/>
              </w:numPr>
              <w:spacing w:after="40" w:before="40"/>
            </w:pPr>
            <w:r>
              <w:rPr>
                <w:rFonts w:ascii="Arial" w:cs="Arial" w:eastAsia="Arial" w:hAnsi="Arial"/>
                <w:sz w:val="22"/>
                <w:szCs w:val="22"/>
              </w:rPr>
              <w:t xml:space="preserve">34 published algorithm coefficients</w:t>
            </w:r>
          </w:p>
          <w:p>
            <w:pPr>
              <w:pStyle w:val="ListParagraph"/>
              <w:numPr>
                <w:ilvl w:val="0"/>
                <w:numId w:val="2"/>
              </w:numPr>
              <w:spacing w:after="40" w:before="40"/>
            </w:pPr>
            <w:r>
              <w:rPr>
                <w:rFonts w:ascii="Arial" w:cs="Arial" w:eastAsia="Arial" w:hAnsi="Arial"/>
                <w:sz w:val="22"/>
                <w:szCs w:val="22"/>
              </w:rPr>
              <w:t xml:space="preserve">Actuarial financial model</w:t>
            </w:r>
          </w:p>
          <w:p>
            <w:pPr>
              <w:pStyle w:val="ListParagraph"/>
              <w:numPr>
                <w:ilvl w:val="0"/>
                <w:numId w:val="2"/>
              </w:numPr>
              <w:spacing w:after="40" w:before="40"/>
            </w:pPr>
            <w:r>
              <w:rPr>
                <w:rFonts w:ascii="Arial" w:cs="Arial" w:eastAsia="Arial" w:hAnsi="Arial"/>
                <w:sz w:val="22"/>
                <w:szCs w:val="22"/>
              </w:rPr>
              <w:t xml:space="preserve">18-month implementation roadmap</w:t>
            </w:r>
          </w:p>
          <w:p>
            <w:pPr>
              <w:pStyle w:val="ListParagraph"/>
              <w:numPr>
                <w:ilvl w:val="0"/>
                <w:numId w:val="2"/>
              </w:numPr>
              <w:spacing w:after="40" w:before="40"/>
            </w:pPr>
            <w:r>
              <w:rPr>
                <w:rFonts w:ascii="Arial" w:cs="Arial" w:eastAsia="Arial" w:hAnsi="Arial"/>
                <w:sz w:val="22"/>
                <w:szCs w:val="22"/>
              </w:rPr>
              <w:t xml:space="preserve">Full legal and constitutional analysis</w:t>
            </w:r>
          </w:p>
          <w:p>
            <w:pPr>
              <w:pStyle w:val="ListParagraph"/>
              <w:numPr>
                <w:ilvl w:val="0"/>
                <w:numId w:val="2"/>
              </w:numPr>
              <w:spacing w:after="40" w:before="40"/>
            </w:pPr>
            <w:r>
              <w:rPr>
                <w:rFonts w:ascii="Arial" w:cs="Arial" w:eastAsia="Arial" w:hAnsi="Arial"/>
                <w:sz w:val="22"/>
                <w:szCs w:val="22"/>
              </w:rPr>
              <w:t xml:space="preserve">5 SHAP household deduction receipts</w:t>
            </w:r>
          </w:p>
        </w:tc>
        <w:tc>
          <w:tcPr>
            <w:tcW w:type="dxa" w:w="47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80" w:before="0"/>
            </w:pPr>
            <w:r>
              <w:rPr>
                <w:rFonts w:ascii="Arial" w:cs="Arial" w:eastAsia="Arial" w:hAnsi="Arial"/>
                <w:b/>
                <w:bCs/>
                <w:color w:val="1B5E83"/>
                <w:sz w:val="22"/>
                <w:szCs w:val="22"/>
              </w:rPr>
              <w:t xml:space="preserve">Key improvements</w:t>
            </w:r>
          </w:p>
          <w:p>
            <w:pPr>
              <w:pStyle w:val="ListParagraph"/>
              <w:numPr>
                <w:ilvl w:val="0"/>
                <w:numId w:val="2"/>
              </w:numPr>
              <w:spacing w:after="40" w:before="40"/>
            </w:pPr>
            <w:r>
              <w:rPr>
                <w:rFonts w:ascii="Arial" w:cs="Arial" w:eastAsia="Arial" w:hAnsi="Arial"/>
                <w:sz w:val="22"/>
                <w:szCs w:val="22"/>
              </w:rPr>
              <w:t xml:space="preserve">Every household gets a written explanation of their premium</w:t>
            </w:r>
          </w:p>
          <w:p>
            <w:pPr>
              <w:pStyle w:val="ListParagraph"/>
              <w:numPr>
                <w:ilvl w:val="0"/>
                <w:numId w:val="2"/>
              </w:numPr>
              <w:spacing w:after="40" w:before="40"/>
            </w:pPr>
            <w:r>
              <w:rPr>
                <w:rFonts w:ascii="Arial" w:cs="Arial" w:eastAsia="Arial" w:hAnsi="Arial"/>
                <w:sz w:val="22"/>
                <w:szCs w:val="22"/>
              </w:rPr>
              <w:t xml:space="preserve">ASAL-specific corrections for 23 arid counties</w:t>
            </w:r>
          </w:p>
          <w:p>
            <w:pPr>
              <w:pStyle w:val="ListParagraph"/>
              <w:numPr>
                <w:ilvl w:val="0"/>
                <w:numId w:val="2"/>
              </w:numPr>
              <w:spacing w:after="40" w:before="40"/>
            </w:pPr>
            <w:r>
              <w:rPr>
                <w:rFonts w:ascii="Arial" w:cs="Arial" w:eastAsia="Arial" w:hAnsi="Arial"/>
                <w:sz w:val="22"/>
                <w:szCs w:val="22"/>
              </w:rPr>
              <w:t xml:space="preserve">M-Pesa behavioral proxy replacing static asset guesses</w:t>
            </w:r>
          </w:p>
          <w:p>
            <w:pPr>
              <w:pStyle w:val="ListParagraph"/>
              <w:numPr>
                <w:ilvl w:val="0"/>
                <w:numId w:val="2"/>
              </w:numPr>
              <w:spacing w:after="40" w:before="40"/>
            </w:pPr>
            <w:r>
              <w:rPr>
                <w:rFonts w:ascii="Arial" w:cs="Arial" w:eastAsia="Arial" w:hAnsi="Arial"/>
                <w:sz w:val="22"/>
                <w:szCs w:val="22"/>
              </w:rPr>
              <w:t xml:space="preserve">KES 52B additional annual revenue projected</w:t>
            </w:r>
          </w:p>
          <w:p>
            <w:pPr>
              <w:pStyle w:val="ListParagraph"/>
              <w:numPr>
                <w:ilvl w:val="0"/>
                <w:numId w:val="2"/>
              </w:numPr>
              <w:spacing w:after="40" w:before="40"/>
            </w:pPr>
            <w:r>
              <w:rPr>
                <w:rFonts w:ascii="Arial" w:cs="Arial" w:eastAsia="Arial" w:hAnsi="Arial"/>
                <w:sz w:val="22"/>
                <w:szCs w:val="22"/>
              </w:rPr>
              <w:t xml:space="preserve">Resolves Justice Mwita’s double-taxation ruling</w:t>
            </w:r>
          </w:p>
          <w:p>
            <w:pPr>
              <w:pStyle w:val="ListParagraph"/>
              <w:numPr>
                <w:ilvl w:val="0"/>
                <w:numId w:val="2"/>
              </w:numPr>
              <w:spacing w:after="40" w:before="40"/>
            </w:pPr>
            <w:r>
              <w:rPr>
                <w:rFonts w:ascii="Arial" w:cs="Arial" w:eastAsia="Arial" w:hAnsi="Arial"/>
                <w:sz w:val="22"/>
                <w:szCs w:val="22"/>
              </w:rPr>
              <w:t xml:space="preserve">Satisfies AI Bill 2026, DPA 2019, and CAJ order</w:t>
            </w:r>
          </w:p>
        </w:tc>
      </w:tr>
    </w:tbl>
    <w:p>
      <w:pPr>
        <w:spacing w:after="0" w:before="100"/>
      </w:pPr>
      <w:r>
        <w:t xml:space="preserve"/>
      </w:r>
    </w:p>
    <w:p>
      <w:pPr>
        <w:spacing w:after="100" w:before="240"/>
      </w:pPr>
      <w:r>
        <w:rPr>
          <w:rFonts w:ascii="Arial" w:cs="Arial" w:eastAsia="Arial" w:hAnsi="Arial"/>
          <w:b/>
          <w:bCs/>
          <w:color w:val="1B5E83"/>
          <w:sz w:val="24"/>
          <w:szCs w:val="24"/>
        </w:rPr>
        <w:t xml:space="preserve">The Legal Situation —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tcPr>
          <w:p>
            <w:pPr>
              <w:spacing w:after="80" w:before="0"/>
            </w:pPr>
            <w:r>
              <w:rPr>
                <w:rFonts w:ascii="Arial" w:cs="Arial" w:eastAsia="Arial" w:hAnsi="Arial"/>
                <w:b/>
                <w:bCs/>
                <w:color w:val="B71C1C"/>
                <w:sz w:val="22"/>
                <w:szCs w:val="22"/>
              </w:rPr>
              <w:t xml:space="preserve">Three legal deadlines are active simultaneously</w:t>
            </w:r>
          </w:p>
          <w:p>
            <w:pPr>
              <w:pStyle w:val="ListParagraph"/>
              <w:numPr>
                <w:ilvl w:val="0"/>
                <w:numId w:val="2"/>
              </w:numPr>
              <w:spacing w:after="40" w:before="40"/>
            </w:pPr>
            <w:r>
              <w:rPr>
                <w:rFonts w:ascii="Arial" w:cs="Arial" w:eastAsia="Arial" w:hAnsi="Arial"/>
                <w:b/>
                <w:bCs/>
                <w:sz w:val="22"/>
                <w:szCs w:val="22"/>
              </w:rPr>
              <w:t xml:space="preserve">CAJ Order — </w:t>
            </w:r>
            <w:r>
              <w:rPr>
                <w:rFonts w:ascii="Arial" w:cs="Arial" w:eastAsia="Arial" w:hAnsi="Arial"/>
                <w:sz w:val="22"/>
                <w:szCs w:val="22"/>
              </w:rPr>
              <w:t xml:space="preserve">CAJ Order CAJ/2026/05/0847 required SHA to disclose its algorithm by June 5, 2026. SHA did not comply. Peter filed a citizen submission on June 5, providing the full AGI model disclosure as evidence that transparency is technically achievable.</w:t>
            </w:r>
          </w:p>
          <w:p>
            <w:pPr>
              <w:pStyle w:val="ListParagraph"/>
              <w:numPr>
                <w:ilvl w:val="0"/>
                <w:numId w:val="2"/>
              </w:numPr>
              <w:spacing w:after="40" w:before="40"/>
            </w:pPr>
            <w:r>
              <w:rPr>
                <w:rFonts w:ascii="Arial" w:cs="Arial" w:eastAsia="Arial" w:hAnsi="Arial"/>
                <w:b/>
                <w:bCs/>
                <w:sz w:val="22"/>
                <w:szCs w:val="22"/>
              </w:rPr>
              <w:t xml:space="preserve">High Court — </w:t>
            </w:r>
            <w:r>
              <w:rPr>
                <w:rFonts w:ascii="Arial" w:cs="Arial" w:eastAsia="Arial" w:hAnsi="Arial"/>
                <w:sz w:val="22"/>
                <w:szCs w:val="22"/>
              </w:rPr>
              <w:t xml:space="preserve">The High Court (Justice Bahati Mwamuye) declared the SHA rollout unconstitutional in March 2026 and gave the government a 90-day fix order. That order expires June 17 — eight days from today.</w:t>
            </w:r>
          </w:p>
          <w:p>
            <w:pPr>
              <w:pStyle w:val="ListParagraph"/>
              <w:numPr>
                <w:ilvl w:val="0"/>
                <w:numId w:val="2"/>
              </w:numPr>
              <w:spacing w:after="40" w:before="40"/>
            </w:pPr>
            <w:r>
              <w:rPr>
                <w:rFonts w:ascii="Arial" w:cs="Arial" w:eastAsia="Arial" w:hAnsi="Arial"/>
                <w:b/>
                <w:bCs/>
                <w:sz w:val="22"/>
                <w:szCs w:val="22"/>
              </w:rPr>
              <w:t xml:space="preserve">Kiambu Petition — </w:t>
            </w:r>
            <w:r>
              <w:rPr>
                <w:rFonts w:ascii="Arial" w:cs="Arial" w:eastAsia="Arial" w:hAnsi="Arial"/>
                <w:sz w:val="22"/>
                <w:szCs w:val="22"/>
              </w:rPr>
              <w:t xml:space="preserve">A constitutional petition (Awino v. SHA) is before the Kiambu High Court with directions scheduled for today, June 9 — the same day as this meeting.</w:t>
            </w:r>
          </w:p>
        </w:tc>
      </w:tr>
    </w:tbl>
    <w:p>
      <w:pPr>
        <w:spacing w:after="0" w:before="100"/>
      </w:pPr>
      <w:r>
        <w:t xml:space="preserve"/>
      </w:r>
    </w:p>
    <w:p>
      <w:pPr>
        <w:spacing w:after="60" w:before="60"/>
        <w:jc w:val="both"/>
      </w:pPr>
      <w:r>
        <w:rPr>
          <w:rFonts w:ascii="Arial" w:cs="Arial" w:eastAsia="Arial" w:hAnsi="Arial"/>
          <w:sz w:val="22"/>
          <w:szCs w:val="22"/>
        </w:rPr>
        <w:t xml:space="preserve">Submissions have also been sent to Lighthouse Reports, The Guardian, KIPPRA, and the SHA CEO. Kenya’s healthcare algorithm is under more legal and media scrutiny right now than at any point in SHA’s history. There is an active policy window that will not remain open indefinitely.</w:t>
      </w:r>
    </w:p>
    <w:p>
      <w:pPr>
        <w:spacing w:after="0" w:before="100"/>
      </w:pPr>
      <w:r>
        <w:t xml:space="preserve"/>
      </w:r>
    </w:p>
    <w:p>
      <w:pPr>
        <w:spacing w:after="100" w:before="240"/>
      </w:pPr>
      <w:r>
        <w:rPr>
          <w:rFonts w:ascii="Arial" w:cs="Arial" w:eastAsia="Arial" w:hAnsi="Arial"/>
          <w:b/>
          <w:bCs/>
          <w:color w:val="1B5E83"/>
          <w:sz w:val="24"/>
          <w:szCs w:val="24"/>
        </w:rPr>
        <w:t xml:space="preserve">What KCA University Is Being Asked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pPr>
              <w:spacing w:after="80" w:before="0"/>
            </w:pPr>
            <w:r>
              <w:rPr>
                <w:rFonts w:ascii="Arial" w:cs="Arial" w:eastAsia="Arial" w:hAnsi="Arial"/>
                <w:b/>
                <w:bCs/>
                <w:color w:val="0F6E56"/>
                <w:sz w:val="22"/>
                <w:szCs w:val="22"/>
              </w:rPr>
              <w:t xml:space="preserve">Three specific asks — nothing more</w:t>
            </w:r>
          </w:p>
          <w:p>
            <w:pPr>
              <w:pStyle w:val="ListParagraph"/>
              <w:numPr>
                <w:ilvl w:val="0"/>
                <w:numId w:val="2"/>
              </w:numPr>
              <w:spacing w:after="40" w:before="40"/>
            </w:pPr>
            <w:r>
              <w:rPr>
                <w:rFonts w:ascii="Arial" w:cs="Arial" w:eastAsia="Arial" w:hAnsi="Arial"/>
                <w:b/>
                <w:bCs/>
                <w:sz w:val="22"/>
                <w:szCs w:val="22"/>
              </w:rPr>
              <w:t xml:space="preserve">1. </w:t>
            </w:r>
            <w:r>
              <w:rPr>
                <w:rFonts w:ascii="Arial" w:cs="Arial" w:eastAsia="Arial" w:hAnsi="Arial"/>
                <w:sz w:val="22"/>
                <w:szCs w:val="22"/>
              </w:rPr>
              <w:t xml:space="preserve">A formal letter of academic endorsement supporting submission of the research to KIPPRA (Kenya Institute for Public Policy Research and Analysis) as a Policy Brief.</w:t>
            </w:r>
          </w:p>
          <w:p>
            <w:pPr>
              <w:pStyle w:val="ListParagraph"/>
              <w:numPr>
                <w:ilvl w:val="0"/>
                <w:numId w:val="2"/>
              </w:numPr>
              <w:spacing w:after="40" w:before="40"/>
            </w:pPr>
            <w:r>
              <w:rPr>
                <w:rFonts w:ascii="Arial" w:cs="Arial" w:eastAsia="Arial" w:hAnsi="Arial"/>
                <w:b/>
                <w:bCs/>
                <w:sz w:val="22"/>
                <w:szCs w:val="22"/>
              </w:rPr>
              <w:t xml:space="preserve">2. </w:t>
            </w:r>
            <w:r>
              <w:rPr>
                <w:rFonts w:ascii="Arial" w:cs="Arial" w:eastAsia="Arial" w:hAnsi="Arial"/>
                <w:sz w:val="22"/>
                <w:szCs w:val="22"/>
              </w:rPr>
              <w:t xml:space="preserve">A KCA University letter of institutional support for the citizen filing submitted to the Commission on Administrative Justice on June 5, 2026.</w:t>
            </w:r>
          </w:p>
          <w:p>
            <w:pPr>
              <w:pStyle w:val="ListParagraph"/>
              <w:numPr>
                <w:ilvl w:val="0"/>
                <w:numId w:val="2"/>
              </w:numPr>
              <w:spacing w:after="40" w:before="40"/>
            </w:pPr>
            <w:r>
              <w:rPr>
                <w:rFonts w:ascii="Arial" w:cs="Arial" w:eastAsia="Arial" w:hAnsi="Arial"/>
                <w:b/>
                <w:bCs/>
                <w:sz w:val="22"/>
                <w:szCs w:val="22"/>
              </w:rPr>
              <w:t xml:space="preserve">3. </w:t>
            </w:r>
            <w:r>
              <w:rPr>
                <w:rFonts w:ascii="Arial" w:cs="Arial" w:eastAsia="Arial" w:hAnsi="Arial"/>
                <w:sz w:val="22"/>
                <w:szCs w:val="22"/>
              </w:rPr>
              <w:t xml:space="preserve">An introduction to one government, policy, or parliamentary contact — Ministry of Health, National Assembly Health Committee, or SHA Board — through KCA’s existing institutional relationships.</w:t>
            </w:r>
          </w:p>
        </w:tc>
      </w:tr>
    </w:tbl>
    <w:p>
      <w:pPr>
        <w:spacing w:after="0" w:before="100"/>
      </w:pPr>
      <w:r>
        <w:t xml:space="preserve"/>
      </w:r>
    </w:p>
    <w:p>
      <w:pPr>
        <w:spacing w:after="60" w:before="60"/>
        <w:jc w:val="both"/>
      </w:pPr>
      <w:r>
        <w:rPr>
          <w:rFonts w:ascii="Arial" w:cs="Arial" w:eastAsia="Arial" w:hAnsi="Arial"/>
          <w:sz w:val="22"/>
          <w:szCs w:val="22"/>
        </w:rPr>
        <w:t xml:space="preserve">This is not a request for SHA to immediately adopt a student project. It is a request for the university to formally recognise independent research that addresses one of Kenya’s most urgent public policy failures, and to help ensure it reaches the institutions that are actively looking for solutions.</w:t>
      </w:r>
    </w:p>
    <w:p>
      <w:pPr>
        <w:spacing w:after="0" w:before="160"/>
      </w:pPr>
      <w:r>
        <w:t xml:space="preserve"/>
      </w:r>
    </w:p>
    <w:p>
      <w:pPr>
        <w:pBdr>
          <w:top w:val="single" w:color="CCCCCC" w:sz="4" w:space="8"/>
        </w:pBdr>
        <w:spacing w:after="0" w:before="80"/>
        <w:jc w:val="center"/>
      </w:pPr>
      <w:r>
        <w:rPr>
          <w:rFonts w:ascii="Arial" w:cs="Arial" w:eastAsia="Arial" w:hAnsi="Arial"/>
          <w:color w:val="888888"/>
          <w:sz w:val="18"/>
          <w:szCs w:val="18"/>
        </w:rPr>
        <w:t xml:space="preserve">SHA PMT Reform: AGI Model v2.1  ·  KCA University  ·  June 2026  ·  Independent Research</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2026-06-08T09:55:00.707Z</dcterms:created>
  <dcterms:modified xsi:type="dcterms:W3CDTF">2026-06-08T09:55:00.726Z</dcterms:modified>
</cp:coreProperties>
</file>

<file path=docProps/custom.xml><?xml version="1.0" encoding="utf-8"?>
<Properties xmlns="http://schemas.openxmlformats.org/officeDocument/2006/custom-properties" xmlns:vt="http://schemas.openxmlformats.org/officeDocument/2006/docPropsVTypes"/>
</file>