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 PMT v2.1 — Privacy Policy &amp; Data Protection Framework</w:t>
      </w:r>
    </w:p>
    <w:p>
      <w:r/>
      <w:r>
        <w:rPr>
          <w:b/>
        </w:rPr>
        <w:t>Document Version:</w:t>
      </w:r>
      <w:r>
        <w:t xml:space="preserve"> 2.1-Final</w:t>
      </w:r>
    </w:p>
    <w:p>
      <w:r/>
      <w:r>
        <w:rPr>
          <w:b/>
        </w:rPr>
        <w:t>Date:</w:t>
      </w:r>
      <w:r>
        <w:t xml:space="preserve"> June 2026</w:t>
      </w:r>
    </w:p>
    <w:p>
      <w:r/>
      <w:r>
        <w:rPr>
          <w:b/>
        </w:rPr>
        <w:t>Applicable Law:</w:t>
      </w:r>
      <w:r>
        <w:t xml:space="preserve"> Kenya Data Protection Act 2019 (DPA), Constitution of Kenya 2010</w:t>
      </w:r>
    </w:p>
    <w:p>
      <w:r/>
      <w:r>
        <w:rPr>
          <w:b/>
        </w:rPr>
        <w:t>Data Controller:</w:t>
      </w:r>
      <w:r>
        <w:t xml:space="preserve"> Social Health Authority (SHA), Republic of Kenya</w:t>
      </w:r>
    </w:p>
    <w:p>
      <w:r/>
      <w:r>
        <w:rPr>
          <w:b/>
        </w:rPr>
        <w:t>Data Protection Officer:</w:t>
      </w:r>
      <w:r>
        <w:t xml:space="preserve"> [To be appointed per DPA §24]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## 1. Purpose &amp; Scope</w:t>
      </w:r>
    </w:p>
    <w:p>
      <w:r>
        <w:t>This Privacy Policy governs how the Social Health Authority (SHA) Proxy Means-Testing (PMT) Algorithm v2.1 collects, processes, stores, and deletes personal data for the purpose of determining citizen contribution tiers under the Social Health Insurance Act 2023 (Section 27).</w:t>
      </w:r>
    </w:p>
    <w:p>
      <w:r>
        <w:t>This policy applies to all data processed through the SHA PMT system, including:</w:t>
      </w:r>
    </w:p>
    <w:p>
      <w:pPr>
        <w:pStyle w:val="ListBullet"/>
      </w:pPr>
      <w:r>
        <w:t>KRA tax records</w:t>
      </w:r>
    </w:p>
    <w:p>
      <w:pPr>
        <w:pStyle w:val="ListBullet"/>
      </w:pPr>
      <w:r>
        <w:t>NTSA vehicle registration data</w:t>
      </w:r>
    </w:p>
    <w:p>
      <w:pPr>
        <w:pStyle w:val="ListBullet"/>
      </w:pPr>
      <w:r>
        <w:t>Telecom/M-Pesa transaction history (Safaricom)</w:t>
      </w:r>
    </w:p>
    <w:p>
      <w:pPr>
        <w:pStyle w:val="ListBullet"/>
      </w:pPr>
      <w:r>
        <w:t>Self-reported household survey data</w:t>
      </w:r>
    </w:p>
    <w:p>
      <w:pPr>
        <w:pStyle w:val="ListBullet"/>
      </w:pPr>
      <w:r>
        <w:t>Fraud detection outputs and audit trail records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## 2. Legal Basis for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Data Source</w:t>
            </w:r>
          </w:p>
        </w:tc>
        <w:tc>
          <w:tcPr>
            <w:tcW w:type="dxa" w:w="235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Legal Basis</w:t>
            </w:r>
          </w:p>
        </w:tc>
        <w:tc>
          <w:tcPr>
            <w:tcW w:type="dxa" w:w="235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35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DPA Section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KRA Tax Records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Explicit consent (DPA §32) + SHIA §27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Verify formal income for contribution calculation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§32(1)(a)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NTSA Vehicle Registry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Explicit consent (DPA §32)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Assess capital assets (vehicles)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§32(1)(a)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Telecom/M-Pesa History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Explicit consent (DPA §32)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Assess retained liquidity and business velocity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§32(1)(a)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Self-Reported Survey Data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Legitimate interest (DPA §30)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Household composition, assets, health 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§30(1)(b)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Fraud Detection Output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Legitimate interest + Legal obligation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Prevent subsidy fraud; comply with SHIA §27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§30(1)(c)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Audit Trail Records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Legal obligation (DPA §39)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Financial audit compliance, appeals evidence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§39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## 3. Granular Consent Model (DPA §32 Compliance)</w:t>
      </w:r>
    </w:p>
    <w:p>
      <w:r>
        <w:t>### 3.1 Consent Requirement</w:t>
      </w:r>
    </w:p>
    <w:p>
      <w:r>
        <w:t xml:space="preserve">The SHA PMT system implements </w:t>
      </w:r>
      <w:r>
        <w:rPr>
          <w:b/>
        </w:rPr>
        <w:t>granular, purpose-limited consent</w:t>
      </w:r>
      <w:r>
        <w:t xml:space="preserve"> as required by DPA Section 32. Consent is:</w:t>
      </w:r>
    </w:p>
    <w:p>
      <w:pPr>
        <w:pStyle w:val="ListBullet"/>
      </w:pPr>
      <w:r>
        <w:t>Explicit: Each data source requires a separate, affirmative action (individual checkbox/toggle)</w:t>
      </w:r>
    </w:p>
    <w:p>
      <w:pPr>
        <w:pStyle w:val="ListBullet"/>
      </w:pPr>
      <w:r>
        <w:t>Specific: Each consent toggle clearly states the data source and its purpose</w:t>
      </w:r>
    </w:p>
    <w:p>
      <w:pPr>
        <w:pStyle w:val="ListBullet"/>
      </w:pPr>
      <w:r>
        <w:t>Freely Given: Declining any or all automated checks does not deny access to SHA services; citizens are instead assigned a flat-rate tier or may submit certified documents manually</w:t>
      </w:r>
    </w:p>
    <w:p>
      <w:pPr>
        <w:pStyle w:val="ListBullet"/>
      </w:pPr>
      <w:r>
        <w:t>Informed: Citizens are provided with clear, plain-language descriptions of what data is accessed and why</w:t>
      </w:r>
    </w:p>
    <w:p>
      <w:r>
        <w:t>### 3.2 Consent Categories</w:t>
      </w:r>
    </w:p>
    <w:p>
      <w:r>
        <w:t>The system presents three separate consent toggles:</w:t>
      </w:r>
    </w:p>
    <w:p>
      <w:pPr>
        <w:pStyle w:val="ListNumber"/>
      </w:pPr>
      <w:r>
        <w:t>☐ KRA Tax Records — "I consent to SHA retrieving my KRA tax records to verify my monthly income for calculating my contribution tier."</w:t>
      </w:r>
    </w:p>
    <w:p>
      <w:pPr>
        <w:pStyle w:val="ListNumber"/>
      </w:pPr>
      <w:r>
        <w:t>☐ NTSA Vehicle Registry — "I consent to SHA checking the NTSA registry to identify commercial or personal vehicles for capital asset assessment."</w:t>
      </w:r>
    </w:p>
    <w:p>
      <w:pPr>
        <w:pStyle w:val="ListNumber"/>
      </w:pPr>
      <w:r>
        <w:t>☐ Telecom/M-Pesa Transaction History — "I consent to SHA accessing my mobile money transaction history to assess retained liquidity and distinguish business float from personal wealth."</w:t>
      </w:r>
    </w:p>
    <w:p>
      <w:r>
        <w:t>### 3.3 Right to Withdraw (DPA §32(2-3))</w:t>
      </w:r>
    </w:p>
    <w:p>
      <w:pPr>
        <w:pStyle w:val="ListBullet"/>
      </w:pPr>
      <w:r>
        <w:t>Citizens may withdraw consent at any time without penalty to prior lawful processing</w:t>
      </w:r>
    </w:p>
    <w:p>
      <w:pPr>
        <w:pStyle w:val="ListBullet"/>
      </w:pPr>
      <w:r>
        <w:t>Withdrawal does not affect the lawfulness of processing based on consent before its withdrawal</w:t>
      </w:r>
    </w:p>
    <w:p>
      <w:pPr>
        <w:pStyle w:val="ListBullet"/>
      </w:pPr>
      <w:r>
        <w:t>Upon withdrawal, the citizen is reassigned to the flat-rate tier or manual document review pathway</w:t>
      </w:r>
    </w:p>
    <w:p>
      <w:pPr>
        <w:pStyle w:val="ListBullet"/>
      </w:pPr>
      <w:r>
        <w:t>Withdrawal requests are processed within 7 business days</w:t>
      </w:r>
    </w:p>
    <w:p>
      <w:r>
        <w:t>### 3.4 Fallback Mechanism</w:t>
      </w:r>
    </w:p>
    <w:p>
      <w:r>
        <w:t>If a citizen declines automated verification for any or all sources:</w:t>
      </w:r>
    </w:p>
    <w:p>
      <w:pPr>
        <w:pStyle w:val="ListBullet"/>
      </w:pPr>
      <w:r>
        <w:t>The system does not deny access to SHA coverage</w:t>
      </w:r>
    </w:p>
    <w:p>
      <w:pPr>
        <w:pStyle w:val="ListBullet"/>
      </w:pPr>
      <w:r>
        <w:t>The citizen is assigned a standard flat-rate tier (SHIA §27 baseline)</w:t>
      </w:r>
    </w:p>
    <w:p>
      <w:pPr>
        <w:pStyle w:val="ListBullet"/>
      </w:pPr>
      <w:r>
        <w:t>The citizen may alternatively submit certified physical documents (pay slips, bank statements, tax certificates) for manual assessment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## 4. Tiered Data Retention Strategy (DPA §39 Compliance)</w:t>
      </w:r>
    </w:p>
    <w:p>
      <w:r>
        <w:t>DPA Section 39 mandates that personal data "shall not be kept for longer than is necessary for the purposes for which it was processed." We implement a tiered retention schedule that balances audit requirements with data minimization:</w:t>
      </w:r>
    </w:p>
    <w:p>
      <w:r>
        <w:t>### 4.1 Retention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Data Category</w:t>
            </w:r>
          </w:p>
        </w:tc>
        <w:tc>
          <w:tcPr>
            <w:tcW w:type="dxa" w:w="235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Retention Period</w:t>
            </w:r>
          </w:p>
        </w:tc>
        <w:tc>
          <w:tcPr>
            <w:tcW w:type="dxa" w:w="235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Justification</w:t>
            </w:r>
          </w:p>
        </w:tc>
        <w:tc>
          <w:tcPr>
            <w:tcW w:type="dxa" w:w="235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Action After Expiry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**Raw Assessment Inputs** (M-Pesa logs, KRA records, NTSA data, asset valuations, survey responses)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**1–2 years**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Covers the assessment period + appeal/review window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**Permanent deletion or irreversible anonymization**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**Computed Assessment Results** (assigned tier, contribution rate, eligibility status)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**7 years**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Financial audit compliance (Kenya Revenue Authority requirements)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Archive in anonymized aggregate form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**Audit Trail Metadata** (assessment ID, algorithm version, officer ID, timestamps)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**7 years**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Legal accountability and appeals evidence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Archive; personal identifiers pseudonymized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**Consent Records** (which consents were given/withdrawn, timestamps)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**7 years**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DPA §32 compliance evidence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Retained as legal records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**Fraud Flag Records** (risk scores, flag reasons, officer decisions)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**3 years**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Pattern analysis for fraud prevention improvements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sz w:val="18"/>
              </w:rPr>
              <w:t>Anonymized after 3 years</w:t>
            </w:r>
          </w:p>
        </w:tc>
      </w:tr>
    </w:tbl>
    <w:p/>
    <w:p>
      <w:r>
        <w:t>### 4.2 Deletion Procedures</w:t>
      </w:r>
    </w:p>
    <w:p>
      <w:pPr>
        <w:pStyle w:val="ListBullet"/>
      </w:pPr>
      <w:r>
        <w:t>Automated Purge: A scheduled background process runs weekly to identify and delete raw input data older than the retention period</w:t>
      </w:r>
    </w:p>
    <w:p>
      <w:pPr>
        <w:pStyle w:val="ListBullet"/>
      </w:pPr>
      <w:r>
        <w:t>Anonymization: Where deletion is not feasible (e.g., aggregate statistical records), data is irreversibly anonymized by removing all personal identifiers and replacing with cryptographic hashes</w:t>
      </w:r>
    </w:p>
    <w:p>
      <w:pPr>
        <w:pStyle w:val="ListBullet"/>
      </w:pPr>
      <w:r>
        <w:t>Backup Compliance: Backup systems observe the same retention schedules; backup copies containing expired data are overwritten within 30 days of the retention deadline</w:t>
      </w:r>
    </w:p>
    <w:p>
      <w:r>
        <w:t>### 4.3 Encryption Standards</w:t>
      </w:r>
    </w:p>
    <w:p>
      <w:pPr>
        <w:pStyle w:val="ListBullet"/>
      </w:pPr>
      <w:r>
        <w:t>At Rest: AES-256 encryption for all stored personal data</w:t>
      </w:r>
    </w:p>
    <w:p>
      <w:pPr>
        <w:pStyle w:val="ListBullet"/>
      </w:pPr>
      <w:r>
        <w:t>In Transit: TLS 1.3 for all API communications (KRA, NTSA, Safaricom integrations)</w:t>
      </w:r>
    </w:p>
    <w:p>
      <w:pPr>
        <w:pStyle w:val="ListBullet"/>
      </w:pPr>
      <w:r>
        <w:t>Tokenized Analytics: Aggregated analytics use tokenized identifiers that cannot be reverse-mapped to individuals</w:t>
      </w:r>
    </w:p>
    <w:p>
      <w:pPr>
        <w:pStyle w:val="ListBullet"/>
      </w:pPr>
      <w:r>
        <w:t>Encrypted Fields: Sensitive assessment inputs (M-Pesa balances, Fuliza defaults, land acreage, livestock count) are marked for field-level encryption in audit records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## 5. Automated Decision-Making Safeguards (DPA §35)</w:t>
      </w:r>
    </w:p>
    <w:p>
      <w:r>
        <w:t>### 5.1 Right to Human Review</w:t>
      </w:r>
    </w:p>
    <w:p>
      <w:r>
        <w:t>DPA Section 35(1) states that every person has a right not to be subject to decisions based solely on automated processing that significantly affect them. The SHA PMT system enforces:</w:t>
      </w:r>
    </w:p>
    <w:p>
      <w:pPr>
        <w:pStyle w:val="ListBullet"/>
      </w:pPr>
      <w:r>
        <w:t>No Automated Rejections: The algorithm's fraud detection output is evidence, never a verdict. No subsidy denial, penalty, or tier assignment is finalized without human officer review.</w:t>
      </w:r>
    </w:p>
    <w:p>
      <w:pPr>
        <w:pStyle w:val="ListBullet"/>
      </w:pPr>
      <w:r>
        <w:t>Escalation Protocol:</w:t>
      </w:r>
    </w:p>
    <w:p>
      <w:pPr>
        <w:pStyle w:val="ListBullet"/>
      </w:pPr>
      <w:r>
        <w:t>Fraud Risk &gt;70% (CRITICAL): Escalated to SHA Fraud Officer for mandatory manual review. Assessment held pending officer decision. Data Protection Officer notified. Citizen has 7 days to provide evidence.</w:t>
      </w:r>
    </w:p>
    <w:p>
      <w:pPr>
        <w:pStyle w:val="ListBullet"/>
      </w:pPr>
      <w:r>
        <w:t>Fraud Risk 50–70% (HIGH): Manual review by county-level SHA officer. Additional documentation may be requested. Citizen can respond within 14 days.</w:t>
      </w:r>
    </w:p>
    <w:p>
      <w:pPr>
        <w:pStyle w:val="ListBullet"/>
      </w:pPr>
      <w:r>
        <w:t>Fraud Risk &lt;50% (MEDIUM): Standard processing with flagged note. Automatic fairness audit triggered.</w:t>
      </w:r>
    </w:p>
    <w:p>
      <w:r>
        <w:t>### 5.2 Right to Explanation</w:t>
      </w:r>
    </w:p>
    <w:p>
      <w:pPr>
        <w:pStyle w:val="ListBullet"/>
      </w:pPr>
      <w:r>
        <w:t>Citizens may dial USSD *1474# to receive a plain-language explanation of their assessment</w:t>
      </w:r>
    </w:p>
    <w:p>
      <w:pPr>
        <w:pStyle w:val="ListBullet"/>
      </w:pPr>
      <w:r>
        <w:t>Explanations include: the data sources used, the main factors affecting their tier, and the fraud flags (if any) that were raised</w:t>
      </w:r>
    </w:p>
    <w:p>
      <w:pPr>
        <w:pStyle w:val="ListBullet"/>
      </w:pPr>
      <w:r>
        <w:t>Officer dashboards display SHAP-based interpretability metrics showing the top contributing factors</w:t>
      </w:r>
    </w:p>
    <w:p>
      <w:r>
        <w:t>### 5.3 Right to Appeal</w:t>
      </w:r>
    </w:p>
    <w:p>
      <w:pPr>
        <w:pStyle w:val="ListBullet"/>
      </w:pPr>
      <w:r>
        <w:t>Citizens may appeal any assessment decision within 90 days</w:t>
      </w:r>
    </w:p>
    <w:p>
      <w:pPr>
        <w:pStyle w:val="ListBullet"/>
      </w:pPr>
      <w:r>
        <w:t>Appeals trigger a full manual re-assessment by a different officer</w:t>
      </w:r>
    </w:p>
    <w:p>
      <w:pPr>
        <w:pStyle w:val="ListBullet"/>
      </w:pPr>
      <w:r>
        <w:t>The appeals outcome, including the officer's reasoning, is logged in the audit trail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## 6. Data Subject Rights</w:t>
      </w:r>
    </w:p>
    <w:p>
      <w:r>
        <w:t>Under the Kenya Data Protection Act 2019, citizens have the following rights, which the SHA PMT system implements: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Right</w:t>
            </w:r>
          </w:p>
        </w:tc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DPA Section</w:t>
            </w:r>
          </w:p>
        </w:tc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sz w:val="18"/>
              </w:rPr>
              <w:t>**Right of Access**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sz w:val="18"/>
              </w:rPr>
              <w:t>§26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sz w:val="18"/>
              </w:rPr>
              <w:t>Citizens can request a copy of all data held about them via USSD *1474# or county SHA office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**Right to Rectification**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§27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Citizens can correct inaccurate data by submitting certified documents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sz w:val="18"/>
              </w:rPr>
              <w:t>**Right to Erasure**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sz w:val="18"/>
              </w:rPr>
              <w:t>§28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sz w:val="18"/>
              </w:rPr>
              <w:t>Data deleted per tiered retention schedule; citizens can request early deletion of non-legally-required data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**Right to Restrict Processing**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§29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Citizens can request processing be limited pending a dispute resolution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sz w:val="18"/>
              </w:rPr>
              <w:t>**Right to Data Portability**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sz w:val="18"/>
              </w:rPr>
              <w:t>§30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sz w:val="18"/>
              </w:rPr>
              <w:t>Assessment data can be exported in machine-readable format upon request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**Right to Object**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§31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Citizens can object to processing; objection triggers manual assessment pathway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sz w:val="18"/>
              </w:rPr>
              <w:t>**Right re: Automated Decisions**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sz w:val="18"/>
              </w:rPr>
              <w:t>§35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sz w:val="18"/>
              </w:rPr>
              <w:t>No solely automated decisions; human review guaranteed (see Section 5)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## 7. Cross-Border Data Transfers</w:t>
      </w:r>
    </w:p>
    <w:p>
      <w:r>
        <w:t xml:space="preserve">The SHA PMT system does </w:t>
      </w:r>
      <w:r>
        <w:rPr>
          <w:b/>
        </w:rPr>
        <w:t>not</w:t>
      </w:r>
      <w:r>
        <w:t xml:space="preserve"> transfer personal data outside the Republic of Kenya. All processing, storage, and analytics occur within Kenyan jurisdiction. Should cross-border transfers become necessary in the future, they will comply with DPA §48–50 (adequate protection, binding corporate rules, or explicit consent).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## 8. Data Breach Response</w:t>
      </w:r>
    </w:p>
    <w:p>
      <w:r>
        <w:t>In the event of a personal data breach:</w:t>
      </w:r>
    </w:p>
    <w:p>
      <w:pPr>
        <w:pStyle w:val="ListNumber"/>
      </w:pPr>
      <w:r>
        <w:t>The Data Protection Officer is notified within 24 hours</w:t>
      </w:r>
    </w:p>
    <w:p>
      <w:pPr>
        <w:pStyle w:val="ListNumber"/>
      </w:pPr>
      <w:r>
        <w:t>The Office of the Data Protection Commissioner (ODPC) is notified within 72 hours per DPA §43</w:t>
      </w:r>
    </w:p>
    <w:p>
      <w:pPr>
        <w:pStyle w:val="ListNumber"/>
      </w:pPr>
      <w:r>
        <w:t>Affected citizens are notified without undue delay if the breach is likely to result in high risk to their rights</w:t>
      </w:r>
    </w:p>
    <w:p>
      <w:pPr>
        <w:pStyle w:val="ListNumber"/>
      </w:pPr>
      <w:r>
        <w:t>A full incident report is filed, including scope, remediation steps, and prevention measures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## 9. Contact Information</w:t>
      </w:r>
    </w:p>
    <w:p>
      <w:pPr>
        <w:pStyle w:val="ListBullet"/>
      </w:pPr>
      <w:r>
        <w:t>Data Controller: Social Health Authority, Republic of Kenya</w:t>
      </w:r>
    </w:p>
    <w:p>
      <w:pPr>
        <w:pStyle w:val="ListBullet"/>
      </w:pPr>
      <w:r>
        <w:t>Data Protection Officer: [To be appointed]</w:t>
      </w:r>
    </w:p>
    <w:p>
      <w:pPr>
        <w:pStyle w:val="ListBullet"/>
      </w:pPr>
      <w:r>
        <w:t>Complaints: Office of the Data Protection Commissioner (ODPC), Kenya</w:t>
      </w:r>
    </w:p>
    <w:p>
      <w:pPr>
        <w:pStyle w:val="ListBullet"/>
      </w:pPr>
      <w:r>
        <w:t>Citizen Helpline: USSD *1474# or SHA County Offices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/>
      <w:r>
        <w:rPr>
          <w:i/>
        </w:rPr>
        <w:t>This Privacy Policy is a living document and will be updated as the SHA PMT system evolves. All updates will be communicated to data subjects through official channels.</w:t>
      </w:r>
      <w:r/>
    </w:p>
    <w:p>
      <w:r/>
      <w:r>
        <w:rPr>
          <w:i/>
        </w:rPr>
        <w:t>Prepared in compliance with the Kenya Data Protection Act 2019, Constitution of Kenya 2010, and Social Health Insurance Act 2023.</w:t>
      </w:r>
      <w:r/>
    </w:p>
    <w:p/>
    <w:p>
      <w:pPr>
        <w:jc w:val="center"/>
      </w:pPr>
      <w:r>
        <w:rPr>
          <w:i/>
          <w:color w:val="999999"/>
          <w:sz w:val="16"/>
        </w:rPr>
        <w:t>SHA PMT v2.1 — Prepared for Official Government Submission — June 2026</w:t>
      </w:r>
    </w:p>
    <w:p>
      <w:pPr>
        <w:pStyle w:val="Heading2"/>
      </w:pPr>
      <w:r>
        <w:t>8. Consent Refusal &amp; Fallback Mechanism</w:t>
      </w:r>
    </w:p>
    <w:p>
      <w:r>
        <w:t>Under Section 32 and 35 of the Data Protection Act 2019, citizens retain the absolute right to refuse or withdraw consent for digital cash flow integration (M-Pesa API access). In the event of consent refusal, the SHA PMT v2.1 algorithm automatically falls back to a KDHS 2022-calibrated asset-plus-sector score. This fallback uses traditional non-digital proxy variables (housing materials, land acreage, water source, and livestock counts) but incorporates the critical corrections for ASAL counties, chronic illness, and household size. This ensures that non-consenting households are not penalized, and are still assessed under a framework that is significantly fairer than the legacy Lasso PMT.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3C6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