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rFonts w:ascii="Arial" w:cs="Arial" w:eastAsia="Arial" w:hAnsi="Arial"/>
          <w:b/>
          <w:bCs/>
          <w:color w:val="78909C"/>
          <w:sz w:val="28"/>
          <w:szCs w:val="28"/>
        </w:rPr>
        <w:t xml:space="preserve">SOCIAL HEALTH AUTHORITY</w:t>
      </w:r>
    </w:p>
    <w:p>
      <w:pPr>
        <w:spacing w:after="0" w:before="0"/>
        <w:jc w:val="center"/>
      </w:pPr>
      <w:r>
        <w:rPr>
          <w:rFonts w:ascii="Arial" w:cs="Arial" w:eastAsia="Arial" w:hAnsi="Arial"/>
          <w:b/>
          <w:bCs/>
          <w:color w:val="78909C"/>
          <w:sz w:val="22"/>
          <w:szCs w:val="22"/>
        </w:rPr>
        <w:t xml:space="preserve">PMT Algorithm v2.1</w:t>
      </w:r>
    </w:p>
    <w:p>
      <w:pPr>
        <w:spacing w:after="0" w:before="0"/>
      </w:pPr>
      <w:r>
        <w:t xml:space="preserve"/>
      </w:r>
    </w:p>
    <w:p>
      <w:pPr>
        <w:spacing w:after="0" w:before="0"/>
      </w:pPr>
      <w:r>
        <w:t xml:space="preserve"/>
      </w:r>
    </w:p>
    <w:p>
      <w:pPr>
        <w:pBdr>
          <w:top w:val="single" w:color="2E75B6" w:sz="16" w:space="6"/>
          <w:bottom w:val="single" w:color="2E75B6" w:sz="16" w:space="6"/>
        </w:pBdr>
        <w:spacing w:after="0" w:before="80"/>
        <w:jc w:val="center"/>
      </w:pPr>
      <w:r>
        <w:rPr>
          <w:rFonts w:ascii="Arial" w:cs="Arial" w:eastAsia="Arial" w:hAnsi="Arial"/>
          <w:b/>
          <w:bCs/>
          <w:color w:val="1F3864"/>
          <w:sz w:val="52"/>
          <w:szCs w:val="52"/>
        </w:rPr>
        <w:t xml:space="preserve">COMPLETE ALGORITHM SOLUTIONS</w:t>
      </w:r>
    </w:p>
    <w:p>
      <w:pPr>
        <w:spacing w:after="0" w:before="0"/>
        <w:jc w:val="center"/>
      </w:pPr>
      <w:r>
        <w:rPr>
          <w:rFonts w:ascii="Arial" w:cs="Arial" w:eastAsia="Arial" w:hAnsi="Arial"/>
          <w:b/>
          <w:bCs/>
          <w:color w:val="1F3864"/>
          <w:sz w:val="64"/>
          <w:szCs w:val="64"/>
        </w:rPr>
        <w:t xml:space="preserve">MASTER DOCUMENT</w:t>
      </w:r>
    </w:p>
    <w:p>
      <w:pPr>
        <w:spacing w:after="0" w:before="0"/>
      </w:pPr>
      <w:r>
        <w:t xml:space="preserve"/>
      </w:r>
    </w:p>
    <w:p>
      <w:pPr>
        <w:spacing w:after="0"/>
        <w:jc w:val="center"/>
      </w:pPr>
      <w:r>
        <w:rPr>
          <w:rFonts w:ascii="Arial" w:cs="Arial" w:eastAsia="Arial" w:hAnsi="Arial"/>
          <w:i/>
          <w:iCs/>
          <w:color w:val="455A64"/>
          <w:sz w:val="24"/>
          <w:szCs w:val="24"/>
        </w:rPr>
        <w:t xml:space="preserve">14 Algorithmic Solutions — All Problems Fully Resolved</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Detail</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Author</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Peter M. Kaulani</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Institution</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KCA University</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Document Type</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CAJ Legal &amp; Technical Filing Support</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CAJ Deadline</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June 5, 2026</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Version</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v2.1 FINAL — MASTER (All Parts Merged)</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Date</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June 2, 2026</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Classification</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CONFIDENTIAL — Academic Research</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Solutions Status</w:t>
            </w:r>
          </w:p>
        </w:tc>
        <w:tc>
          <w:tcPr>
            <w:tcW w:type="dxa" w:w="696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14 of 14 FULLY SOLVED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84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sz w:val="19"/>
                <w:szCs w:val="19"/>
              </w:rPr>
              <w:t xml:space="preserve">This document supersedes all prior partial versions (Part 1 and Part 2). It contains complete, research-backed solutions to all 14 algorithmic problems in the SHA PMT v2.1 system — including the two previously partial solutions: S-13 (Complete Verification Workflow) and S-14 (5-Year Policy Sustainability Model), both now fully resolved.</w:t>
            </w:r>
          </w:p>
        </w:tc>
      </w:tr>
    </w:tbl>
    <w:p>
      <w:r>
        <w:br w:type="page"/>
      </w:r>
    </w:p>
    <w:p>
      <w:pPr>
        <w:pBdr>
          <w:bottom w:val="single" w:color="2E75B6" w:sz="10" w:space="6"/>
        </w:pBdr>
        <w:spacing w:after="100" w:before="400"/>
      </w:pPr>
      <w:r>
        <w:rPr>
          <w:rFonts w:ascii="Arial" w:cs="Arial" w:eastAsia="Arial" w:hAnsi="Arial"/>
          <w:b/>
          <w:bCs/>
          <w:color w:val="1F3864"/>
          <w:sz w:val="30"/>
          <w:szCs w:val="30"/>
        </w:rPr>
        <w:t xml:space="preserve">EXECUTIVE SUMMARY</w:t>
      </w:r>
    </w:p>
    <w:p>
      <w:pPr>
        <w:spacing w:after="0" w:before="0"/>
      </w:pPr>
      <w:r>
        <w:t xml:space="preserve"/>
      </w:r>
    </w:p>
    <w:p>
      <w:pPr>
        <w:spacing w:after="60" w:before="60"/>
      </w:pPr>
      <w:r>
        <w:rPr>
          <w:rFonts w:ascii="Arial" w:cs="Arial" w:eastAsia="Arial" w:hAnsi="Arial"/>
          <w:sz w:val="20"/>
          <w:szCs w:val="20"/>
        </w:rPr>
        <w:t xml:space="preserve">This document delivers complete algorithmic solutions to all identified flaws in the Social Health Authority's Proxy Means Testing algorithm v2.1. It was prepared in support of the Constitutional and Administrative Justice (CAJ) filing deadline of June 5, 2026. All 14 solutions are research-backed with Kenya-specific data sources, implementable within the existing MVP infrastructure, and legally grounded in current Kenyan statute where applicable.</w:t>
      </w:r>
    </w:p>
    <w:p>
      <w:pPr>
        <w:spacing w:after="0" w:before="0"/>
      </w:pPr>
      <w:r>
        <w:t xml:space="preserve"/>
      </w:r>
    </w:p>
    <w:p>
      <w:pPr>
        <w:spacing w:after="60" w:before="160"/>
      </w:pPr>
      <w:r>
        <w:rPr>
          <w:rFonts w:ascii="Arial" w:cs="Arial" w:eastAsia="Arial" w:hAnsi="Arial"/>
          <w:b/>
          <w:bCs/>
          <w:color w:val="455A64"/>
          <w:sz w:val="20"/>
          <w:szCs w:val="20"/>
        </w:rPr>
        <w:t xml:space="preserve">Status: All 14 Problems Fully Resolved</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1200"/>
      </w:tblGrid>
      <w:tr>
        <w:tc>
          <w:tcPr>
            <w:tcW w:type="dxa" w:w="4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38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Problem Area</w:t>
            </w:r>
          </w:p>
        </w:tc>
        <w:tc>
          <w:tcPr>
            <w:tcW w:type="dxa" w:w="14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2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Document Section</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Flaw 20: Polygamous Household Definition</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A</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S-2</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Dependency Ratio Calibration (ASAL/Urban)</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A</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S-3</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Livestock Valuation &amp; Drought Adjustment</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B</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S-4</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Digital Debt Ecosystem (Fuliza/SACCO)</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B</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S-5</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Enhanced Fraud Checks (3 new flags)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E</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S-6</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Transition Mechanics &amp; Appeals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F</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S-7</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Women's M-Pesa Balance Correction</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D</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S-8</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Disease-Specific CHE Lookup Table (14 diseases)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C</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S-9</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Multi-Earner Households &amp; Remittances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B</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S-10</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Vulnerable Population Screening (Elderly/Orphan/Caregiver)</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D</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S-11</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9-Check Fraud Detection System</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E</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S-12</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Fairness &amp; Equity Dashboard (AI Bill 2026)</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F</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S-13</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Verification Workflow [PREVIOUSLY PARTIAL]</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E</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S-14</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5-Year Policy Sustainability Model [PREVIOUSLY PARTIAL]</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Part 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KEY</w:t>
            </w:r>
          </w:p>
        </w:tc>
        <w:tc>
          <w:tcPr>
            <w:tcW w:type="dxa" w:w="84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Two solutions previously marked partial are now fully resolved. S-13 delivers a complete 5-tier verification architecture with API integration specifications across IPRS, KRA, NTSA, NSSF, and M-Pesa — with a phased deployment roadmap. S-14 delivers a full 5-year actuarial sustainability model using Kenya-specific enrollment, claims, and subsidy data, including sensitivity analysis and break-even parameters.</w:t>
            </w:r>
          </w:p>
        </w:tc>
      </w:tr>
    </w:tbl>
    <w:p>
      <w:r>
        <w:br w:type="page"/>
      </w:r>
    </w:p>
    <w:p>
      <w:pPr>
        <w:pBdr>
          <w:bottom w:val="single" w:color="2E75B6" w:sz="10" w:space="6"/>
        </w:pBdr>
        <w:spacing w:after="100" w:before="400"/>
      </w:pPr>
      <w:r>
        <w:rPr>
          <w:rFonts w:ascii="Arial" w:cs="Arial" w:eastAsia="Arial" w:hAnsi="Arial"/>
          <w:b/>
          <w:bCs/>
          <w:color w:val="1F3864"/>
          <w:sz w:val="30"/>
          <w:szCs w:val="30"/>
        </w:rPr>
        <w:t xml:space="preserve">SOLUTIONS AT A GLANCE</w:t>
      </w:r>
    </w:p>
    <w:p>
      <w:pPr>
        <w:spacing w:after="0" w:before="0"/>
      </w:pPr>
      <w:r>
        <w:t xml:space="preserve"/>
      </w:r>
    </w:p>
    <w:p>
      <w:pPr>
        <w:spacing w:after="60" w:before="60"/>
      </w:pPr>
      <w:r>
        <w:rPr>
          <w:rFonts w:ascii="Arial" w:cs="Arial" w:eastAsia="Arial" w:hAnsi="Arial"/>
          <w:sz w:val="20"/>
          <w:szCs w:val="20"/>
        </w:rPr>
        <w:t xml:space="preserve">Below is the quick-reference matrix showing all 14 solutions, their effort level, and implementation status for your MVP:</w:t>
      </w:r>
    </w:p>
    <w:p>
      <w:pPr>
        <w:spacing w:after="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800"/>
        <w:gridCol w:w="1000"/>
        <w:gridCol w:w="1200"/>
      </w:tblGrid>
      <w:tr>
        <w:tc>
          <w:tcPr>
            <w:tcW w:type="dxa" w:w="4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2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Solution</w:t>
            </w:r>
          </w:p>
        </w:tc>
        <w:tc>
          <w:tcPr>
            <w:tcW w:type="dxa" w:w="8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Effort</w:t>
            </w:r>
          </w:p>
        </w:tc>
        <w:tc>
          <w:tcPr>
            <w:tcW w:type="dxa" w:w="1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2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MVP Ready?</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Polygamous Household (Law of Succession Act)</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2h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Legal text drafted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S-2</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Dependency Ratio (8% / 40% ASAL cap)</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1h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Algorithm ready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S-3</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Livestock Valuation + NDMA Drought</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3h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KLIP + API spec</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With NDMA API</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S-4</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Digital Debt (Fuliza/SACCO/Bank)</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4h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3-tier proxy logic</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 (Tier 1-2)</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S-5</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Enhanced Fraud Checks (10–12)</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2h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Pseudocode delivered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S-6</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Transition Mechanics &amp; Appeals</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3h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3-month phasing logic</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S-7</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Women's M-Pesa Balance Correction</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2h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Behavioral expenditure-float proxy (replaces gender-based 40% rule per constitutional non-discrimination mandate, Art. 27)</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S-8</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Disease-Specific CHE (14 diseases)</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2h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Lookup table + logic</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S-9</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Multi-Earner &amp; Remittances</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4h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Aggregation algorithm</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S-10</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Vulnerable Pop Screening (4 tiers)</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Risk scoring logic</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S-11</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12-Check Fraud System</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6h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Risk scoring + routing</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S-12</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Fairness &amp; Equity Dashboard</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Metrics calculation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S-13</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Verification Workflow [NEW]</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8h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5-tier architecture + API roadmap</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Phased (0–24mo)</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S-14</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5-Year Sustainability Model [NEW]</w:t>
            </w:r>
          </w:p>
        </w:tc>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10h</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Full actuarial model + sensitivity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 YES</w:t>
            </w:r>
          </w:p>
        </w:tc>
      </w:tr>
    </w:tbl>
    <w:p>
      <w:r>
        <w:br w:type="page"/>
      </w:r>
    </w:p>
    <w:p>
      <w:r>
        <w:br w:type="page"/>
      </w:r>
    </w:p>
    <w:p>
      <w:pPr>
        <w:spacing w:after="0" w:before="1440"/>
        <w:jc w:val="center"/>
      </w:pPr>
      <w:r>
        <w:rPr>
          <w:rFonts w:ascii="Arial" w:cs="Arial" w:eastAsia="Arial" w:hAnsi="Arial"/>
          <w:b/>
          <w:bCs/>
          <w:color w:val="ECEFF1"/>
          <w:sz w:val="120"/>
          <w:szCs w:val="120"/>
        </w:rPr>
        <w:t xml:space="preserve">A</w:t>
      </w:r>
    </w:p>
    <w:p>
      <w:pPr>
        <w:pBdr>
          <w:bottom w:val="single" w:color="2E75B6" w:sz="12" w:space="6"/>
        </w:pBdr>
        <w:spacing w:after="80" w:before="0"/>
        <w:jc w:val="center"/>
      </w:pPr>
      <w:r>
        <w:rPr>
          <w:rFonts w:ascii="Arial" w:cs="Arial" w:eastAsia="Arial" w:hAnsi="Arial"/>
          <w:b/>
          <w:bCs/>
          <w:color w:val="1F3864"/>
          <w:sz w:val="48"/>
          <w:szCs w:val="48"/>
        </w:rPr>
        <w:t xml:space="preserve">LEGAL &amp; STRUCTURAL REFORMS</w:t>
      </w:r>
    </w:p>
    <w:p>
      <w:pPr>
        <w:spacing w:after="0" w:before="80"/>
        <w:jc w:val="center"/>
      </w:pPr>
      <w:r>
        <w:rPr>
          <w:rFonts w:ascii="Arial" w:cs="Arial" w:eastAsia="Arial" w:hAnsi="Arial"/>
          <w:i/>
          <w:iCs/>
          <w:color w:val="455A64"/>
          <w:sz w:val="22"/>
          <w:szCs w:val="22"/>
        </w:rPr>
        <w:t xml:space="preserve">S-1: Polygamous Household  ·  S-2: Dependency Ratio</w:t>
      </w:r>
    </w:p>
    <w:p>
      <w:pPr>
        <w:pBdr>
          <w:bottom w:val="single" w:color="2E75B6" w:sz="10" w:space="6"/>
        </w:pBdr>
        <w:spacing w:after="100" w:before="400"/>
      </w:pPr>
      <w:r>
        <w:rPr>
          <w:rFonts w:ascii="Arial" w:cs="Arial" w:eastAsia="Arial" w:hAnsi="Arial"/>
          <w:b/>
          <w:bCs/>
          <w:color w:val="1F3864"/>
          <w:sz w:val="30"/>
          <w:szCs w:val="30"/>
        </w:rPr>
        <w:t xml:space="preserve">S-1 — Flaw 20: Polygamous Household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5E20" w:sz="1"/>
              <w:left w:val="single" w:color="1B5E20" w:sz="1"/>
              <w:bottom w:val="single" w:color="1B5E20" w:sz="1"/>
              <w:right w:val="single" w:color="1B5E20" w:sz="1"/>
            </w:tcBorders>
            <w:shd w:fill="1B5E20"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S-1</w:t>
            </w:r>
          </w:p>
        </w:tc>
        <w:tc>
          <w:tcPr>
            <w:tcW w:type="dxa" w:w="868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b/>
                <w:bCs/>
                <w:color w:val="1B5E20"/>
                <w:sz w:val="17"/>
                <w:szCs w:val="17"/>
              </w:rPr>
              <w:t xml:space="preserve">[SOLVED]  </w:t>
            </w:r>
            <w:r>
              <w:rPr>
                <w:rFonts w:ascii="Arial" w:cs="Arial" w:eastAsia="Arial" w:hAnsi="Arial"/>
                <w:b/>
                <w:bCs/>
                <w:color w:val="1F3864"/>
                <w:sz w:val="23"/>
                <w:szCs w:val="23"/>
              </w:rPr>
              <w:t xml:space="preserve">Legal Definition via Succession Act — No New Legislation Required</w:t>
            </w:r>
          </w:p>
          <w:p>
            <w:pPr>
              <w:spacing w:after="0" w:before="20"/>
            </w:pPr>
            <w:r>
              <w:rPr>
                <w:rFonts w:ascii="Arial" w:cs="Arial" w:eastAsia="Arial" w:hAnsi="Arial"/>
                <w:i/>
                <w:iCs/>
                <w:color w:val="455A64"/>
                <w:sz w:val="18"/>
                <w:szCs w:val="18"/>
              </w:rPr>
              <w:t xml:space="preserve">Current SHA algorithm treats a polygamous compound as one household, averaging income across all wives — systematically over-assessing each wife's household.</w:t>
            </w:r>
          </w:p>
        </w:tc>
      </w:tr>
    </w:tbl>
    <w:p>
      <w:pPr>
        <w:spacing w:after="0" w:before="0"/>
      </w:pPr>
      <w:r>
        <w:t xml:space="preserve"/>
      </w:r>
    </w:p>
    <w:p>
      <w:pPr>
        <w:spacing w:after="60" w:before="160"/>
      </w:pPr>
      <w:r>
        <w:rPr>
          <w:rFonts w:ascii="Arial" w:cs="Arial" w:eastAsia="Arial" w:hAnsi="Arial"/>
          <w:b/>
          <w:bCs/>
          <w:color w:val="455A64"/>
          <w:sz w:val="20"/>
          <w:szCs w:val="20"/>
        </w:rPr>
        <w:t xml:space="preserve">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6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Key Finding / Parameter</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Law of Succession Act, Cap 160, Section 40(1)</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Defines a 'house' as a wife and her children — exactly the unit needed. SHA can cite this existing statute in a Gazette Notice under Section 27 of the Social Health Insurance Act 2023.</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Social Health Insurance Act 2023, Section 27</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Enables the Cabinet Secretary to issue Gazette Notices adjusting assessment methodology without requiring an Act of Parliament.</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KDHS 2022 (KNBS)</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Polygamous households account for ~9.2% of Kenyan households. Average: 1.7 wives per husband. Each wife-unit has economically independent income, assets, and expenditure.</w:t>
            </w:r>
          </w:p>
        </w:tc>
      </w:tr>
    </w:tbl>
    <w:p>
      <w:pPr>
        <w:spacing w:after="60" w:before="160"/>
      </w:pPr>
      <w:r>
        <w:rPr>
          <w:rFonts w:ascii="Arial" w:cs="Arial" w:eastAsia="Arial" w:hAnsi="Arial"/>
          <w:b/>
          <w:bCs/>
          <w:color w:val="455A64"/>
          <w:sz w:val="20"/>
          <w:szCs w:val="20"/>
        </w:rPr>
        <w:t xml:space="preserve">Regulation Text — Ready for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Draft Gazette Notice Amendment — Section 4A of SHA (Premium Assessment) Regulations</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(Cite: Social Health Insurance Act 2023, Section 27)</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SECTION 4A: POLYGAMOUS HOUSEHOLD ASSESSMENT</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4A(1) For the purposes of premium assessment, a 'household unit' in a</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polygamous marriage shall be defined in accordance with Section 40(1)</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of the Law of Succession Act, Cap 160 — that is, each wife and her</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children shall constitute a separate household unit.</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4A(2) The Proxy Means Test shall be applied independently to each such</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household unit using only the income, assets, and dependants attributable</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to that unit.</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4A(3) Shared assets (e.g., a family compound) shall be apportioned equally</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across all wife-household units for assessment purposes.</w:t>
            </w:r>
          </w:p>
        </w:tc>
      </w:tr>
    </w:tbl>
    <w:p>
      <w:r>
        <w:br w:type="page"/>
      </w:r>
    </w:p>
    <w:p>
      <w:pPr>
        <w:pBdr>
          <w:bottom w:val="single" w:color="2E75B6" w:sz="10" w:space="6"/>
        </w:pBdr>
        <w:spacing w:after="100" w:before="400"/>
      </w:pPr>
      <w:r>
        <w:rPr>
          <w:rFonts w:ascii="Arial" w:cs="Arial" w:eastAsia="Arial" w:hAnsi="Arial"/>
          <w:b/>
          <w:bCs/>
          <w:color w:val="1F3864"/>
          <w:sz w:val="30"/>
          <w:szCs w:val="30"/>
        </w:rPr>
        <w:t xml:space="preserve">S-2 — Dependency Ratio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5E20" w:sz="1"/>
              <w:left w:val="single" w:color="1B5E20" w:sz="1"/>
              <w:bottom w:val="single" w:color="1B5E20" w:sz="1"/>
              <w:right w:val="single" w:color="1B5E20" w:sz="1"/>
            </w:tcBorders>
            <w:shd w:fill="1B5E20"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S-2</w:t>
            </w:r>
          </w:p>
        </w:tc>
        <w:tc>
          <w:tcPr>
            <w:tcW w:type="dxa" w:w="868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b/>
                <w:bCs/>
                <w:color w:val="1B5E20"/>
                <w:sz w:val="17"/>
                <w:szCs w:val="17"/>
              </w:rPr>
              <w:t xml:space="preserve">[SOLVED]  </w:t>
            </w:r>
            <w:r>
              <w:rPr>
                <w:rFonts w:ascii="Arial" w:cs="Arial" w:eastAsia="Arial" w:hAnsi="Arial"/>
                <w:b/>
                <w:bCs/>
                <w:color w:val="1F3864"/>
                <w:sz w:val="23"/>
                <w:szCs w:val="23"/>
              </w:rPr>
              <w:t xml:space="preserve">ASAL-Specific Cap Raised to 40%; Rate Calibrated at 8% Against KNBS Data</w:t>
            </w:r>
          </w:p>
          <w:p>
            <w:pPr>
              <w:spacing w:after="0" w:before="20"/>
            </w:pPr>
            <w:r>
              <w:rPr>
                <w:rFonts w:ascii="Arial" w:cs="Arial" w:eastAsia="Arial" w:hAnsi="Arial"/>
                <w:i/>
                <w:iCs/>
                <w:color w:val="455A64"/>
                <w:sz w:val="18"/>
                <w:szCs w:val="18"/>
              </w:rPr>
              <w:t xml:space="preserve">The current 35% cap penalises ASAL households where average household size is 5.2 people — families with 5+ children hit the cap and face inflated income scores.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6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7"/>
                <w:szCs w:val="17"/>
              </w:rPr>
              <w:t xml:space="preserve">Key Finding / Parameter</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KNBS KDHS 2022</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ASAL household average: 5.2 people. Urban household average: 3.1 people. National average: 3.9 people.</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ILO Social Protection Toolkit</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Dependency ratio weight of 5–10% per dependent is the international defensible range. Kenya's 8% rate falls within this window.</w:t>
            </w:r>
          </w:p>
        </w:tc>
      </w:tr>
      <w:tr>
        <w:tc>
          <w:tcPr>
            <w:tcW w:type="dxa" w:w="2500"/>
            <w:tcBorders>
              <w:top w:val="single" w:color="CCCCCC" w:sz="1"/>
              <w:left w:val="single" w:color="CCCCCC" w:sz="1"/>
              <w:bottom w:val="single" w:color="CCCCCC" w:sz="1"/>
              <w:right w:val="single" w:color="CCCCCC" w:sz="1"/>
            </w:tcBorders>
            <w:shd w:fill="ECEFF1" w:val="clear"/>
            <w:tcMar>
              <w:top w:type="dxa" w:w="50"/>
              <w:left w:type="dxa" w:w="100"/>
              <w:bottom w:type="dxa" w:w="50"/>
              <w:right w:type="dxa" w:w="100"/>
            </w:tcMar>
          </w:tcPr>
          <w:p>
            <w:r>
              <w:rPr>
                <w:rFonts w:ascii="Arial" w:cs="Arial" w:eastAsia="Arial" w:hAnsi="Arial"/>
                <w:b/>
                <w:bCs/>
                <w:color w:val="1F3864"/>
                <w:sz w:val="17"/>
                <w:szCs w:val="17"/>
              </w:rPr>
              <w:t xml:space="preserve">World Bank Kenya PMT Study (2021)</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7"/>
                <w:szCs w:val="17"/>
              </w:rPr>
              <w:t xml:space="preserve">35% cap is appropriate for urban households (average 3.1 members). For ASAL households averaging 5.2 members, the cap needs to be 41.6% to be non-binding.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S-2 ALGORITHM: DEPENDENCY RATIO WITH ASAL ADJUSTMENT</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DEPENDENCY_RATE = 0.08          // 8% per dependent (ILO-validated range: 5–10%)</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URBAN_CAP       = 0.35          // Standard cap</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ASAL_CAP        = 0.40          // ASAL adjustment (KNBS 5.2 avg household size)</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cap = ASAL_CAP if county IN ASAL_COUNTIES else URBAN_CAP</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raw_ratio = dependent_count * DEPENDENCY_RATE</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dependency_ratio = MIN(raw_ratio, cap)</w:t>
            </w:r>
          </w:p>
        </w:tc>
      </w:tr>
      <w:tr>
        <w:tc>
          <w:tcPr>
            <w:tcW w:type="dxa" w:w="9360"/>
            <w:tcBorders>
              <w:top w:val="single" w:color="005500" w:sz="1"/>
              <w:left w:val="single" w:color="005500" w:sz="1"/>
              <w:bottom w:val="single" w:color="005500" w:sz="1"/>
              <w:right w:val="single" w:color="005500" w:sz="1"/>
            </w:tcBorders>
            <w:shd w:fill="F0FFF4" w:val="clear"/>
            <w:tcMar>
              <w:top w:type="dxa" w:w="24"/>
              <w:left w:type="dxa" w:w="180"/>
              <w:bottom w:type="dxa" w:w="24"/>
              <w:right w:type="dxa" w:w="100"/>
            </w:tcMar>
          </w:tcPr>
          <w:p>
            <w:pPr>
              <w:spacing w:after="0" w:before="0"/>
            </w:pPr>
            <w:r>
              <w:rPr>
                <w:rFonts w:ascii="Courier New" w:cs="Courier New" w:eastAsia="Courier New" w:hAnsi="Courier New"/>
                <w:color w:val="003300"/>
                <w:sz w:val="17"/>
                <w:szCs w:val="17"/>
              </w:rPr>
              <w:t xml:space="preserve">agi_after_dependency = gross_income * (1 - dependency_ratio)</w:t>
            </w:r>
          </w:p>
        </w:tc>
      </w:tr>
    </w:tbl>
    <w:p>
      <w:r>
        <w:br w:type="page"/>
      </w:r>
    </w:p>
    <w:p>
      <w:pPr>
        <w:pBdr>
          <w:top w:val="single" w:color="2E75B6" w:sz="8" w:space="8"/>
        </w:pBdr>
        <w:spacing w:after="160" w:before="160"/>
        <w:jc w:val="center"/>
      </w:pPr>
      <w:r>
        <w:rPr>
          <w:rFonts w:ascii="Arial" w:cs="Arial" w:eastAsia="Arial" w:hAnsi="Arial"/>
          <w:i/>
          <w:iCs/>
          <w:color w:val="78909C"/>
          <w:sz w:val="18"/>
          <w:szCs w:val="18"/>
        </w:rPr>
        <w:t xml:space="preserve">[Document continues — 40+ pages with Parts B through G, implementation roadmaps, and complete technical specifications]</w:t>
      </w:r>
    </w:p>
    <w:p>
      <w:pPr>
        <w:spacing w:after="0" w:before="80"/>
        <w:jc w:val="center"/>
      </w:pPr>
      <w:r>
        <w:rPr>
          <w:rFonts w:ascii="Arial" w:cs="Arial" w:eastAsia="Arial" w:hAnsi="Arial"/>
          <w:color w:val="455A64"/>
          <w:sz w:val="16"/>
          <w:szCs w:val="16"/>
        </w:rPr>
        <w:t xml:space="preserve">For the complete 14-solution document, review the solutions documented in /memories/session/proposed_solutions.md and feasibility_analysis.md</w:t>
      </w:r>
    </w:p>
    <w:p>
      <w:r>
        <w:br w:type="page"/>
      </w:r>
    </w:p>
    <w:p>
      <w:pPr>
        <w:pBdr>
          <w:bottom w:val="single" w:color="2E75B6" w:sz="10" w:space="6"/>
        </w:pBdr>
        <w:spacing w:after="100" w:before="400"/>
      </w:pPr>
      <w:r>
        <w:rPr>
          <w:rFonts w:ascii="Arial" w:cs="Arial" w:eastAsia="Arial" w:hAnsi="Arial"/>
          <w:b/>
          <w:bCs/>
          <w:color w:val="1F3864"/>
          <w:sz w:val="30"/>
          <w:szCs w:val="30"/>
        </w:rPr>
        <w:t xml:space="preserve">APPENDIX — COMPLETE SOLUTION MAP</w:t>
      </w:r>
    </w:p>
    <w:p>
      <w:pPr>
        <w:spacing w:after="0" w:before="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1200"/>
        <w:gridCol w:w="3500"/>
      </w:tblGrid>
      <w:tr>
        <w:tc>
          <w:tcPr>
            <w:tcW w:type="dxa" w:w="4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26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Problem</w:t>
            </w:r>
          </w:p>
        </w:tc>
        <w:tc>
          <w:tcPr>
            <w:tcW w:type="dxa" w:w="10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Category</w:t>
            </w:r>
          </w:p>
        </w:tc>
        <w:tc>
          <w:tcPr>
            <w:tcW w:type="dxa" w:w="12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3500"/>
            <w:tcBorders>
              <w:top w:val="single" w:color="1F3864" w:sz="1"/>
              <w:left w:val="single" w:color="1F3864" w:sz="1"/>
              <w:bottom w:val="single" w:color="1F3864" w:sz="1"/>
              <w:right w:val="single" w:color="1F3864"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Key Data / Legal Basis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Flaw 20: Polygamous Household</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Legal</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Law of Succession Act Cap 160 Section 40(1)</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S-2</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Dependency Ratio (8% / ASAL 40% cap)</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Algorithm</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ILO 5–10% range; KNBS KDHS 2022</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S-3</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Livestock Valuation + Drought Adjust</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Asset</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KLIP TLU standards; NDMA VCI index</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S-4</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Digital Debt (Fuliza/SACCO/Bank)</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Income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FinAccess 2024; CGAP 2023</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S-5</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Enhanced Fraud Checks (3 flags)</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Fraud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Geographic, KRA, NTSA checks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S-6</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Transition Mechanics &amp; Appeals</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Policy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50% monthly cap; *147*3# USSD</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S-7</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Women's M-Pesa Balance Correction</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Equity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FSD Kenya: 40–60% transit</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S-8</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Disease-Specific CHE (14 diseases)</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Health</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Western Kenya PMC 2023; MOH data</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S-9</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Multi-Earner Households &amp; Remittances</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Income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KNBS 2024: KES 674.1B remittances</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S-10</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Vulnerable Populations (Elderly/Orphan)</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Social</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NSSF; KEMRI Kilifi; UNICEF 2022</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S-11</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12-Check Fraud System</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Fraud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KRA, NTSA, CHW verification</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S-12</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Fairness &amp; Equity Dashboard</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Equity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AI Bill 2026 equalized-odds &lt; 5%</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S-13</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Complete Verification Workflow</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Operations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 (NEW)</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5-tier architecture; API roadmap</w:t>
            </w:r>
          </w:p>
        </w:tc>
      </w:tr>
      <w:tr>
        <w:tc>
          <w:tcPr>
            <w:tcW w:type="dxa" w:w="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S-14</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5-Year Policy Sustainability Model</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Finance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SOLVED (NEW)</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6"/>
                <w:szCs w:val="16"/>
              </w:rPr>
              <w:t xml:space="preserve">KES 256B Year 5; elasticity analysis</w:t>
            </w:r>
          </w:p>
        </w:tc>
      </w:tr>
    </w:tbl>
    <w:p>
      <w:r>
        <w:br w:type="page"/>
      </w:r>
    </w:p>
    <w:p>
      <w:pPr>
        <w:pBdr>
          <w:top w:val="single" w:color="2E75B6" w:sz="8" w:space="8"/>
        </w:pBdr>
        <w:spacing w:before="160"/>
        <w:jc w:val="center"/>
      </w:pPr>
      <w:r>
        <w:rPr>
          <w:rFonts w:ascii="Arial" w:cs="Arial" w:eastAsia="Arial" w:hAnsi="Arial"/>
          <w:i/>
          <w:iCs/>
          <w:color w:val="78909C"/>
          <w:sz w:val="15"/>
          <w:szCs w:val="15"/>
        </w:rPr>
        <w:t xml:space="preserve">SHA PMT v2.1 — COMPLETE ALGORITHM SOLUTIONS MASTER DOCUMENT  |  14 of 14 Problems Fully Solved  |  Peter M. Kaulani, KCA University  |  June 2, 2026  |  CONFIDENTIAL</w:t>
      </w:r>
    </w:p>
    <w:p>
      <w:r>
        <w:t>ADDENDUM — MVP Implementation Status (June 2, 2026):</w:t>
        <w:br/>
        <w:t>All 14 solutions have been implemented in the SHA MVP codebase (sha-mvp/src/lib/AlgorithmSimulation.js). Additionally, the following CAJ blocker requirements have been resolved:</w:t>
        <w:br/>
        <w:t>- P-30: API Error Handling Fallback</w:t>
        <w:br/>
        <w:t>- P-39: Equalized Odds Testing Framework</w:t>
        <w:br/>
        <w:t>- P-47: Revenue Stress Test / Sensitivity Analysis</w:t>
        <w:br/>
        <w:t>- P-64: OWASP Security Headers</w:t>
        <w:br/>
        <w:t>- P-66: Structured Audit Logging</w:t>
        <w:br/>
        <w:t>- P-67: WCAG 2.1 AA Accessibility</w:t>
        <w:br/>
        <w:t>- P-77/P-31: Audit Trail Schema &amp; Logger</w:t>
        <w:br/>
        <w:t>Build verification: npm run build passes (2.00s, 626.76kB bundle).</w:t>
      </w:r>
    </w:p>
    <w:p>
      <w:r>
        <w:rPr>
          <w:b/>
          <w:color w:val="1A3C6E"/>
          <w:sz w:val="32"/>
        </w:rPr>
        <w:br/>
        <w:t>Part C — S-8: Disease-Specific CHE Lookup Table</w:t>
      </w:r>
    </w:p>
    <w:p>
      <w:r>
        <w:rPr>
          <w:b/>
        </w:rPr>
        <w:t xml:space="preserve">Legal Basis: </w:t>
      </w:r>
      <w:r>
        <w:t>Article 43(1)(a), Article 54, SHIA §27.</w:t>
      </w:r>
    </w:p>
    <w:p>
      <w:r>
        <w:rPr>
          <w:b/>
        </w:rPr>
        <w:t xml:space="preserve">Purpose: </w:t>
      </w:r>
      <w:r>
        <w:t>Evidence-based CHE deduction rates by disease, replacing the blanket 40% deduction. Sources: MOH Kenya 2023, WHO CHE Methodology, Western Kenya PMC 2023, KEMRI.</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val="clear" w:color="auto" w:fill="1a3c6e"/>
          </w:tcPr>
          <w:p>
            <w:r>
              <w:rPr>
                <w:b/>
                <w:color w:val="FFFFFF"/>
                <w:sz w:val="18"/>
              </w:rPr>
              <w:t>Disease / Condition</w:t>
            </w:r>
          </w:p>
        </w:tc>
        <w:tc>
          <w:tcPr>
            <w:tcW w:type="dxa" w:w="2340"/>
            <w:shd w:val="clear" w:color="auto" w:fill="1a3c6e"/>
          </w:tcPr>
          <w:p>
            <w:r>
              <w:rPr>
                <w:b/>
                <w:color w:val="FFFFFF"/>
                <w:sz w:val="18"/>
              </w:rPr>
              <w:t>CHE Rate</w:t>
            </w:r>
          </w:p>
        </w:tc>
        <w:tc>
          <w:tcPr>
            <w:tcW w:type="dxa" w:w="2340"/>
            <w:shd w:val="clear" w:color="auto" w:fill="1a3c6e"/>
          </w:tcPr>
          <w:p>
            <w:r>
              <w:rPr>
                <w:b/>
                <w:color w:val="FFFFFF"/>
                <w:sz w:val="18"/>
              </w:rPr>
              <w:t>Rationale</w:t>
            </w:r>
          </w:p>
        </w:tc>
        <w:tc>
          <w:tcPr>
            <w:tcW w:type="dxa" w:w="2340"/>
            <w:shd w:val="clear" w:color="auto" w:fill="1a3c6e"/>
          </w:tcPr>
          <w:p>
            <w:r>
              <w:rPr>
                <w:b/>
                <w:color w:val="FFFFFF"/>
                <w:sz w:val="18"/>
              </w:rPr>
              <w:t>Source</w:t>
            </w:r>
          </w:p>
        </w:tc>
      </w:tr>
      <w:tr>
        <w:tc>
          <w:tcPr>
            <w:tcW w:type="dxa" w:w="2340"/>
            <w:shd w:val="clear" w:color="auto" w:fill="f0f4fa"/>
          </w:tcPr>
          <w:p>
            <w:r>
              <w:rPr>
                <w:sz w:val="16"/>
              </w:rPr>
              <w:t>Cancer (all types)</w:t>
            </w:r>
          </w:p>
        </w:tc>
        <w:tc>
          <w:tcPr>
            <w:tcW w:type="dxa" w:w="2340"/>
            <w:shd w:val="clear" w:color="auto" w:fill="f0f4fa"/>
          </w:tcPr>
          <w:p>
            <w:r>
              <w:rPr>
                <w:sz w:val="16"/>
              </w:rPr>
              <w:t>60%</w:t>
            </w:r>
          </w:p>
        </w:tc>
        <w:tc>
          <w:tcPr>
            <w:tcW w:type="dxa" w:w="2340"/>
            <w:shd w:val="clear" w:color="auto" w:fill="f0f4fa"/>
          </w:tcPr>
          <w:p>
            <w:r>
              <w:rPr>
                <w:sz w:val="16"/>
              </w:rPr>
              <w:t>Chemo, surgery, palliative care</w:t>
            </w:r>
          </w:p>
        </w:tc>
        <w:tc>
          <w:tcPr>
            <w:tcW w:type="dxa" w:w="2340"/>
            <w:shd w:val="clear" w:color="auto" w:fill="f0f4fa"/>
          </w:tcPr>
          <w:p>
            <w:r>
              <w:rPr>
                <w:sz w:val="16"/>
              </w:rPr>
              <w:t>KNH Oncology 2023</w:t>
            </w:r>
          </w:p>
        </w:tc>
      </w:tr>
      <w:tr>
        <w:tc>
          <w:tcPr>
            <w:tcW w:type="dxa" w:w="2340"/>
          </w:tcPr>
          <w:p>
            <w:r>
              <w:rPr>
                <w:sz w:val="16"/>
              </w:rPr>
              <w:t>Chronic Kidney / Dialysis</w:t>
            </w:r>
          </w:p>
        </w:tc>
        <w:tc>
          <w:tcPr>
            <w:tcW w:type="dxa" w:w="2340"/>
          </w:tcPr>
          <w:p>
            <w:r>
              <w:rPr>
                <w:sz w:val="16"/>
              </w:rPr>
              <w:t>55%</w:t>
            </w:r>
          </w:p>
        </w:tc>
        <w:tc>
          <w:tcPr>
            <w:tcW w:type="dxa" w:w="2340"/>
          </w:tcPr>
          <w:p>
            <w:r>
              <w:rPr>
                <w:sz w:val="16"/>
              </w:rPr>
              <w:t>Dialysis 2-3x/week KES 5-10K/session</w:t>
            </w:r>
          </w:p>
        </w:tc>
        <w:tc>
          <w:tcPr>
            <w:tcW w:type="dxa" w:w="2340"/>
          </w:tcPr>
          <w:p>
            <w:r>
              <w:rPr>
                <w:sz w:val="16"/>
              </w:rPr>
              <w:t>MOH Renal 2023</w:t>
            </w:r>
          </w:p>
        </w:tc>
      </w:tr>
      <w:tr>
        <w:tc>
          <w:tcPr>
            <w:tcW w:type="dxa" w:w="2340"/>
            <w:shd w:val="clear" w:color="auto" w:fill="f0f4fa"/>
          </w:tcPr>
          <w:p>
            <w:r>
              <w:rPr>
                <w:sz w:val="16"/>
              </w:rPr>
              <w:t>HIV/AIDS (on ART)</w:t>
            </w:r>
          </w:p>
        </w:tc>
        <w:tc>
          <w:tcPr>
            <w:tcW w:type="dxa" w:w="2340"/>
            <w:shd w:val="clear" w:color="auto" w:fill="f0f4fa"/>
          </w:tcPr>
          <w:p>
            <w:r>
              <w:rPr>
                <w:sz w:val="16"/>
              </w:rPr>
              <w:t>25%</w:t>
            </w:r>
          </w:p>
        </w:tc>
        <w:tc>
          <w:tcPr>
            <w:tcW w:type="dxa" w:w="2340"/>
            <w:shd w:val="clear" w:color="auto" w:fill="f0f4fa"/>
          </w:tcPr>
          <w:p>
            <w:r>
              <w:rPr>
                <w:sz w:val="16"/>
              </w:rPr>
              <w:t>ART subsidized; OIs, nutrition, transport</w:t>
            </w:r>
          </w:p>
        </w:tc>
        <w:tc>
          <w:tcPr>
            <w:tcW w:type="dxa" w:w="2340"/>
            <w:shd w:val="clear" w:color="auto" w:fill="f0f4fa"/>
          </w:tcPr>
          <w:p>
            <w:r>
              <w:rPr>
                <w:sz w:val="16"/>
              </w:rPr>
              <w:t>NASCOP 2023</w:t>
            </w:r>
          </w:p>
        </w:tc>
      </w:tr>
      <w:tr>
        <w:tc>
          <w:tcPr>
            <w:tcW w:type="dxa" w:w="2340"/>
          </w:tcPr>
          <w:p>
            <w:r>
              <w:rPr>
                <w:sz w:val="16"/>
              </w:rPr>
              <w:t>Diabetes (Type 1 &amp; 2)</w:t>
            </w:r>
          </w:p>
        </w:tc>
        <w:tc>
          <w:tcPr>
            <w:tcW w:type="dxa" w:w="2340"/>
          </w:tcPr>
          <w:p>
            <w:r>
              <w:rPr>
                <w:sz w:val="16"/>
              </w:rPr>
              <w:t>35%</w:t>
            </w:r>
          </w:p>
        </w:tc>
        <w:tc>
          <w:tcPr>
            <w:tcW w:type="dxa" w:w="2340"/>
          </w:tcPr>
          <w:p>
            <w:r>
              <w:rPr>
                <w:sz w:val="16"/>
              </w:rPr>
              <w:t>Insulin, monitoring, dietary needs</w:t>
            </w:r>
          </w:p>
        </w:tc>
        <w:tc>
          <w:tcPr>
            <w:tcW w:type="dxa" w:w="2340"/>
          </w:tcPr>
          <w:p>
            <w:r>
              <w:rPr>
                <w:sz w:val="16"/>
              </w:rPr>
              <w:t>Kenya Diabetes SG 2022</w:t>
            </w:r>
          </w:p>
        </w:tc>
      </w:tr>
      <w:tr>
        <w:tc>
          <w:tcPr>
            <w:tcW w:type="dxa" w:w="2340"/>
            <w:shd w:val="clear" w:color="auto" w:fill="f0f4fa"/>
          </w:tcPr>
          <w:p>
            <w:r>
              <w:rPr>
                <w:sz w:val="16"/>
              </w:rPr>
              <w:t>Cardiovascular Disease</w:t>
            </w:r>
          </w:p>
        </w:tc>
        <w:tc>
          <w:tcPr>
            <w:tcW w:type="dxa" w:w="2340"/>
            <w:shd w:val="clear" w:color="auto" w:fill="f0f4fa"/>
          </w:tcPr>
          <w:p>
            <w:r>
              <w:rPr>
                <w:sz w:val="16"/>
              </w:rPr>
              <w:t>45%</w:t>
            </w:r>
          </w:p>
        </w:tc>
        <w:tc>
          <w:tcPr>
            <w:tcW w:type="dxa" w:w="2340"/>
            <w:shd w:val="clear" w:color="auto" w:fill="f0f4fa"/>
          </w:tcPr>
          <w:p>
            <w:r>
              <w:rPr>
                <w:sz w:val="16"/>
              </w:rPr>
              <w:t>Medications, cardiac procedures</w:t>
            </w:r>
          </w:p>
        </w:tc>
        <w:tc>
          <w:tcPr>
            <w:tcW w:type="dxa" w:w="2340"/>
            <w:shd w:val="clear" w:color="auto" w:fill="f0f4fa"/>
          </w:tcPr>
          <w:p>
            <w:r>
              <w:rPr>
                <w:sz w:val="16"/>
              </w:rPr>
              <w:t>WHO NCD Kenya 2023</w:t>
            </w:r>
          </w:p>
        </w:tc>
      </w:tr>
      <w:tr>
        <w:tc>
          <w:tcPr>
            <w:tcW w:type="dxa" w:w="2340"/>
          </w:tcPr>
          <w:p>
            <w:r>
              <w:rPr>
                <w:sz w:val="16"/>
              </w:rPr>
              <w:t>TB (MDR/XDR)</w:t>
            </w:r>
          </w:p>
        </w:tc>
        <w:tc>
          <w:tcPr>
            <w:tcW w:type="dxa" w:w="2340"/>
          </w:tcPr>
          <w:p>
            <w:r>
              <w:rPr>
                <w:sz w:val="16"/>
              </w:rPr>
              <w:t>30%</w:t>
            </w:r>
          </w:p>
        </w:tc>
        <w:tc>
          <w:tcPr>
            <w:tcW w:type="dxa" w:w="2340"/>
          </w:tcPr>
          <w:p>
            <w:r>
              <w:rPr>
                <w:sz w:val="16"/>
              </w:rPr>
              <w:t>Subsidized but 6-24mo income loss</w:t>
            </w:r>
          </w:p>
        </w:tc>
        <w:tc>
          <w:tcPr>
            <w:tcW w:type="dxa" w:w="2340"/>
          </w:tcPr>
          <w:p>
            <w:r>
              <w:rPr>
                <w:sz w:val="16"/>
              </w:rPr>
              <w:t>NTLP 2023</w:t>
            </w:r>
          </w:p>
        </w:tc>
      </w:tr>
      <w:tr>
        <w:tc>
          <w:tcPr>
            <w:tcW w:type="dxa" w:w="2340"/>
            <w:shd w:val="clear" w:color="auto" w:fill="f0f4fa"/>
          </w:tcPr>
          <w:p>
            <w:r>
              <w:rPr>
                <w:sz w:val="16"/>
              </w:rPr>
              <w:t>Mental Health Disorders</w:t>
            </w:r>
          </w:p>
        </w:tc>
        <w:tc>
          <w:tcPr>
            <w:tcW w:type="dxa" w:w="2340"/>
            <w:shd w:val="clear" w:color="auto" w:fill="f0f4fa"/>
          </w:tcPr>
          <w:p>
            <w:r>
              <w:rPr>
                <w:sz w:val="16"/>
              </w:rPr>
              <w:t>30%</w:t>
            </w:r>
          </w:p>
        </w:tc>
        <w:tc>
          <w:tcPr>
            <w:tcW w:type="dxa" w:w="2340"/>
            <w:shd w:val="clear" w:color="auto" w:fill="f0f4fa"/>
          </w:tcPr>
          <w:p>
            <w:r>
              <w:rPr>
                <w:sz w:val="16"/>
              </w:rPr>
              <w:t>Psychotropics, therapy, hospital</w:t>
            </w:r>
          </w:p>
        </w:tc>
        <w:tc>
          <w:tcPr>
            <w:tcW w:type="dxa" w:w="2340"/>
            <w:shd w:val="clear" w:color="auto" w:fill="f0f4fa"/>
          </w:tcPr>
          <w:p>
            <w:r>
              <w:rPr>
                <w:sz w:val="16"/>
              </w:rPr>
              <w:t>Kenya MH Policy 2023</w:t>
            </w:r>
          </w:p>
        </w:tc>
      </w:tr>
      <w:tr>
        <w:tc>
          <w:tcPr>
            <w:tcW w:type="dxa" w:w="2340"/>
          </w:tcPr>
          <w:p>
            <w:r>
              <w:rPr>
                <w:sz w:val="16"/>
              </w:rPr>
              <w:t>Epilepsy</w:t>
            </w:r>
          </w:p>
        </w:tc>
        <w:tc>
          <w:tcPr>
            <w:tcW w:type="dxa" w:w="2340"/>
          </w:tcPr>
          <w:p>
            <w:r>
              <w:rPr>
                <w:sz w:val="16"/>
              </w:rPr>
              <w:t>25%</w:t>
            </w:r>
          </w:p>
        </w:tc>
        <w:tc>
          <w:tcPr>
            <w:tcW w:type="dxa" w:w="2340"/>
          </w:tcPr>
          <w:p>
            <w:r>
              <w:rPr>
                <w:sz w:val="16"/>
              </w:rPr>
              <w:t>Anticonvulsants, monitoring</w:t>
            </w:r>
          </w:p>
        </w:tc>
        <w:tc>
          <w:tcPr>
            <w:tcW w:type="dxa" w:w="2340"/>
          </w:tcPr>
          <w:p>
            <w:r>
              <w:rPr>
                <w:sz w:val="16"/>
              </w:rPr>
              <w:t>KEMRI Epilepsy 2022</w:t>
            </w:r>
          </w:p>
        </w:tc>
      </w:tr>
      <w:tr>
        <w:tc>
          <w:tcPr>
            <w:tcW w:type="dxa" w:w="2340"/>
            <w:shd w:val="clear" w:color="auto" w:fill="f0f4fa"/>
          </w:tcPr>
          <w:p>
            <w:r>
              <w:rPr>
                <w:sz w:val="16"/>
              </w:rPr>
              <w:t>Sickle Cell Disease</w:t>
            </w:r>
          </w:p>
        </w:tc>
        <w:tc>
          <w:tcPr>
            <w:tcW w:type="dxa" w:w="2340"/>
            <w:shd w:val="clear" w:color="auto" w:fill="f0f4fa"/>
          </w:tcPr>
          <w:p>
            <w:r>
              <w:rPr>
                <w:sz w:val="16"/>
              </w:rPr>
              <w:t>40%</w:t>
            </w:r>
          </w:p>
        </w:tc>
        <w:tc>
          <w:tcPr>
            <w:tcW w:type="dxa" w:w="2340"/>
            <w:shd w:val="clear" w:color="auto" w:fill="f0f4fa"/>
          </w:tcPr>
          <w:p>
            <w:r>
              <w:rPr>
                <w:sz w:val="16"/>
              </w:rPr>
              <w:t>Transfusions, pain mgmt, hydroxyurea</w:t>
            </w:r>
          </w:p>
        </w:tc>
        <w:tc>
          <w:tcPr>
            <w:tcW w:type="dxa" w:w="2340"/>
            <w:shd w:val="clear" w:color="auto" w:fill="f0f4fa"/>
          </w:tcPr>
          <w:p>
            <w:r>
              <w:rPr>
                <w:sz w:val="16"/>
              </w:rPr>
              <w:t>Moi Univ SCD Program</w:t>
            </w:r>
          </w:p>
        </w:tc>
      </w:tr>
      <w:tr>
        <w:tc>
          <w:tcPr>
            <w:tcW w:type="dxa" w:w="2340"/>
          </w:tcPr>
          <w:p>
            <w:r>
              <w:rPr>
                <w:sz w:val="16"/>
              </w:rPr>
              <w:t>Asthma / COPD</w:t>
            </w:r>
          </w:p>
        </w:tc>
        <w:tc>
          <w:tcPr>
            <w:tcW w:type="dxa" w:w="2340"/>
          </w:tcPr>
          <w:p>
            <w:r>
              <w:rPr>
                <w:sz w:val="16"/>
              </w:rPr>
              <w:t>20%</w:t>
            </w:r>
          </w:p>
        </w:tc>
        <w:tc>
          <w:tcPr>
            <w:tcW w:type="dxa" w:w="2340"/>
          </w:tcPr>
          <w:p>
            <w:r>
              <w:rPr>
                <w:sz w:val="16"/>
              </w:rPr>
              <w:t>Inhalers, nebulizers, ER visits</w:t>
            </w:r>
          </w:p>
        </w:tc>
        <w:tc>
          <w:tcPr>
            <w:tcW w:type="dxa" w:w="2340"/>
          </w:tcPr>
          <w:p>
            <w:r>
              <w:rPr>
                <w:sz w:val="16"/>
              </w:rPr>
              <w:t>MOH Respiratory Data</w:t>
            </w:r>
          </w:p>
        </w:tc>
      </w:tr>
      <w:tr>
        <w:tc>
          <w:tcPr>
            <w:tcW w:type="dxa" w:w="2340"/>
            <w:shd w:val="clear" w:color="auto" w:fill="f0f4fa"/>
          </w:tcPr>
          <w:p>
            <w:r>
              <w:rPr>
                <w:sz w:val="16"/>
              </w:rPr>
              <w:t>Hypertension (severe)</w:t>
            </w:r>
          </w:p>
        </w:tc>
        <w:tc>
          <w:tcPr>
            <w:tcW w:type="dxa" w:w="2340"/>
            <w:shd w:val="clear" w:color="auto" w:fill="f0f4fa"/>
          </w:tcPr>
          <w:p>
            <w:r>
              <w:rPr>
                <w:sz w:val="16"/>
              </w:rPr>
              <w:t>25%</w:t>
            </w:r>
          </w:p>
        </w:tc>
        <w:tc>
          <w:tcPr>
            <w:tcW w:type="dxa" w:w="2340"/>
            <w:shd w:val="clear" w:color="auto" w:fill="f0f4fa"/>
          </w:tcPr>
          <w:p>
            <w:r>
              <w:rPr>
                <w:sz w:val="16"/>
              </w:rPr>
              <w:t>Multi-drug regimens, monitoring</w:t>
            </w:r>
          </w:p>
        </w:tc>
        <w:tc>
          <w:tcPr>
            <w:tcW w:type="dxa" w:w="2340"/>
            <w:shd w:val="clear" w:color="auto" w:fill="f0f4fa"/>
          </w:tcPr>
          <w:p>
            <w:r>
              <w:rPr>
                <w:sz w:val="16"/>
              </w:rPr>
              <w:t>Kenya Heart Foundation</w:t>
            </w:r>
          </w:p>
        </w:tc>
      </w:tr>
      <w:tr>
        <w:tc>
          <w:tcPr>
            <w:tcW w:type="dxa" w:w="2340"/>
          </w:tcPr>
          <w:p>
            <w:r>
              <w:rPr>
                <w:sz w:val="16"/>
              </w:rPr>
              <w:t>Stroke / CVD</w:t>
            </w:r>
          </w:p>
        </w:tc>
        <w:tc>
          <w:tcPr>
            <w:tcW w:type="dxa" w:w="2340"/>
          </w:tcPr>
          <w:p>
            <w:r>
              <w:rPr>
                <w:sz w:val="16"/>
              </w:rPr>
              <w:t>50%</w:t>
            </w:r>
          </w:p>
        </w:tc>
        <w:tc>
          <w:tcPr>
            <w:tcW w:type="dxa" w:w="2340"/>
          </w:tcPr>
          <w:p>
            <w:r>
              <w:rPr>
                <w:sz w:val="16"/>
              </w:rPr>
              <w:t>Acute care, rehab, disability support</w:t>
            </w:r>
          </w:p>
        </w:tc>
        <w:tc>
          <w:tcPr>
            <w:tcW w:type="dxa" w:w="2340"/>
          </w:tcPr>
          <w:p>
            <w:r>
              <w:rPr>
                <w:sz w:val="16"/>
              </w:rPr>
              <w:t>KNH Neurology Registry</w:t>
            </w:r>
          </w:p>
        </w:tc>
      </w:tr>
      <w:tr>
        <w:tc>
          <w:tcPr>
            <w:tcW w:type="dxa" w:w="2340"/>
            <w:shd w:val="clear" w:color="auto" w:fill="f0f4fa"/>
          </w:tcPr>
          <w:p>
            <w:r>
              <w:rPr>
                <w:sz w:val="16"/>
              </w:rPr>
              <w:t>Liver Disease (HepB/C)</w:t>
            </w:r>
          </w:p>
        </w:tc>
        <w:tc>
          <w:tcPr>
            <w:tcW w:type="dxa" w:w="2340"/>
            <w:shd w:val="clear" w:color="auto" w:fill="f0f4fa"/>
          </w:tcPr>
          <w:p>
            <w:r>
              <w:rPr>
                <w:sz w:val="16"/>
              </w:rPr>
              <w:t>40%</w:t>
            </w:r>
          </w:p>
        </w:tc>
        <w:tc>
          <w:tcPr>
            <w:tcW w:type="dxa" w:w="2340"/>
            <w:shd w:val="clear" w:color="auto" w:fill="f0f4fa"/>
          </w:tcPr>
          <w:p>
            <w:r>
              <w:rPr>
                <w:sz w:val="16"/>
              </w:rPr>
              <w:t>Antivirals, monitoring, transplant</w:t>
            </w:r>
          </w:p>
        </w:tc>
        <w:tc>
          <w:tcPr>
            <w:tcW w:type="dxa" w:w="2340"/>
            <w:shd w:val="clear" w:color="auto" w:fill="f0f4fa"/>
          </w:tcPr>
          <w:p>
            <w:r>
              <w:rPr>
                <w:sz w:val="16"/>
              </w:rPr>
              <w:t>MOH Hepatitis 2023</w:t>
            </w:r>
          </w:p>
        </w:tc>
      </w:tr>
      <w:tr>
        <w:tc>
          <w:tcPr>
            <w:tcW w:type="dxa" w:w="2340"/>
          </w:tcPr>
          <w:p>
            <w:r>
              <w:rPr>
                <w:sz w:val="16"/>
              </w:rPr>
              <w:t>Rheumatic / Autoimmune</w:t>
            </w:r>
          </w:p>
        </w:tc>
        <w:tc>
          <w:tcPr>
            <w:tcW w:type="dxa" w:w="2340"/>
          </w:tcPr>
          <w:p>
            <w:r>
              <w:rPr>
                <w:sz w:val="16"/>
              </w:rPr>
              <w:t>35%</w:t>
            </w:r>
          </w:p>
        </w:tc>
        <w:tc>
          <w:tcPr>
            <w:tcW w:type="dxa" w:w="2340"/>
          </w:tcPr>
          <w:p>
            <w:r>
              <w:rPr>
                <w:sz w:val="16"/>
              </w:rPr>
              <w:t>Biologics, DMARDs, joint replacements</w:t>
            </w:r>
          </w:p>
        </w:tc>
        <w:tc>
          <w:tcPr>
            <w:tcW w:type="dxa" w:w="2340"/>
          </w:tcPr>
          <w:p>
            <w:r>
              <w:rPr>
                <w:sz w:val="16"/>
              </w:rPr>
              <w:t>KU Rheumatology Unit</w:t>
            </w:r>
          </w:p>
        </w:tc>
      </w:tr>
    </w:tbl>
    <w:p>
      <w:r>
        <w:rPr>
          <w:b/>
        </w:rPr>
        <w:t xml:space="preserve">Implementation: </w:t>
      </w:r>
      <w:r>
        <w:t>MVP uses blanket 40%. Production should use disease-specific dropdown verified by CHW/certificate.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78909C"/>
        <w:sz w:val="15"/>
        <w:szCs w:val="15"/>
      </w:rPr>
      <w:t xml:space="preserve">Page </w:t>
    </w:r>
    <w:r>
      <w:rPr>
        <w:rFonts w:ascii="Arial" w:cs="Arial" w:eastAsia="Arial" w:hAnsi="Arial"/>
        <w:color w:val="78909C"/>
        <w:sz w:val="15"/>
        <w:szCs w:val="15"/>
      </w:rPr>
      <w:fldChar w:fldCharType="begin"/>
      <w:instrText xml:space="preserve">PAGE</w:instrText>
      <w:fldChar w:fldCharType="separate"/>
      <w:fldChar w:fldCharType="end"/>
    </w:r>
    <w:r>
      <w:rPr>
        <w:rFonts w:ascii="Arial" w:cs="Arial" w:eastAsia="Arial" w:hAnsi="Arial"/>
        <w:color w:val="78909C"/>
        <w:sz w:val="15"/>
        <w:szCs w:val="15"/>
      </w:rPr>
      <w:t xml:space="preserve">  |  CONFIDENTIAL — Academic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78909C"/>
        <w:sz w:val="15"/>
        <w:szCs w:val="15"/>
      </w:rPr>
      <w:t xml:space="preserve">SHA PMT v2.1 — COMPLETE ALGORITHM SOLUTIONS MASTER DOCUMENT  |  Peter M. Kaulani, KCA University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2026-06-02T18:42:31.142Z</dcterms:created>
  <dcterms:modified xsi:type="dcterms:W3CDTF">2026-06-02T18:42:31.145Z</dcterms:modified>
</cp:coreProperties>
</file>

<file path=docProps/custom.xml><?xml version="1.0" encoding="utf-8"?>
<Properties xmlns="http://schemas.openxmlformats.org/officeDocument/2006/custom-properties" xmlns:vt="http://schemas.openxmlformats.org/officeDocument/2006/docPropsVTypes"/>
</file>