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DA481" w14:textId="746B68AE" w:rsidR="00021C12" w:rsidRPr="0089552B" w:rsidRDefault="00021C12" w:rsidP="00021C12">
      <w:r w:rsidRPr="0089552B">
        <w:t>Date:</w:t>
      </w:r>
      <w:r w:rsidRPr="0089552B">
        <w:tab/>
      </w:r>
      <w:r w:rsidR="005F204B">
        <w:t>June 6</w:t>
      </w:r>
      <w:r w:rsidRPr="0089552B">
        <w:t>, 2022</w:t>
      </w:r>
    </w:p>
    <w:p w14:paraId="444CCEB1" w14:textId="77777777" w:rsidR="00021C12" w:rsidRPr="0089552B" w:rsidRDefault="00021C12" w:rsidP="00021C12"/>
    <w:p w14:paraId="51A23072" w14:textId="77777777" w:rsidR="00021C12" w:rsidRPr="0089552B" w:rsidRDefault="00021C12" w:rsidP="00021C12">
      <w:r w:rsidRPr="0089552B">
        <w:t>To:</w:t>
      </w:r>
      <w:r w:rsidRPr="0089552B">
        <w:tab/>
        <w:t>Pollard Library Board of Trustees</w:t>
      </w:r>
    </w:p>
    <w:p w14:paraId="56295E94" w14:textId="77777777" w:rsidR="00021C12" w:rsidRPr="0089552B" w:rsidRDefault="00021C12" w:rsidP="00021C12"/>
    <w:p w14:paraId="0C1E3374" w14:textId="77777777" w:rsidR="00021C12" w:rsidRPr="0089552B" w:rsidRDefault="0073604A" w:rsidP="00021C12">
      <w:r>
        <w:t>From:</w:t>
      </w:r>
      <w:r>
        <w:tab/>
        <w:t>Dory Lewis</w:t>
      </w:r>
    </w:p>
    <w:p w14:paraId="7DA89AE4" w14:textId="77777777" w:rsidR="00021C12" w:rsidRPr="0089552B" w:rsidRDefault="00021C12" w:rsidP="00021C12"/>
    <w:p w14:paraId="14E68BB1" w14:textId="1E8BAA58" w:rsidR="001D3E00" w:rsidRPr="0089552B" w:rsidRDefault="00021C12" w:rsidP="00021C12">
      <w:pPr>
        <w:pBdr>
          <w:bottom w:val="single" w:sz="12" w:space="1" w:color="auto"/>
        </w:pBdr>
      </w:pPr>
      <w:r w:rsidRPr="0089552B">
        <w:t>Re:</w:t>
      </w:r>
      <w:r w:rsidRPr="0089552B">
        <w:tab/>
        <w:t xml:space="preserve">Director’s Report </w:t>
      </w:r>
      <w:r w:rsidR="001D3E00">
        <w:t>June 2022</w:t>
      </w:r>
    </w:p>
    <w:p w14:paraId="0266A786" w14:textId="77777777" w:rsidR="00021C12" w:rsidRDefault="00021C12" w:rsidP="00021C12"/>
    <w:p w14:paraId="373565E5" w14:textId="77777777" w:rsidR="00021C12" w:rsidRDefault="00021C12" w:rsidP="00021C12">
      <w:r>
        <w:t>BUILDING ISSUES:</w:t>
      </w:r>
    </w:p>
    <w:p w14:paraId="1692CE19" w14:textId="738F5299" w:rsidR="00021C12" w:rsidRDefault="0073604A" w:rsidP="0073279B">
      <w:pPr>
        <w:pStyle w:val="NoSpacing"/>
        <w:ind w:left="720"/>
      </w:pPr>
      <w:r>
        <w:t xml:space="preserve">The </w:t>
      </w:r>
      <w:r w:rsidR="001D3E00">
        <w:t xml:space="preserve">Elevator is out of Service.  It has gotten stuck numerous times over the past few weeks, and the Fire Department has had to be dispatched twice.  The Control panel in the elevator closet needs to be replaced. We will get a quote from Motion Elevator.  </w:t>
      </w:r>
    </w:p>
    <w:p w14:paraId="18F95FA3" w14:textId="77777777" w:rsidR="00021C12" w:rsidRDefault="00021C12" w:rsidP="00021C12">
      <w:pPr>
        <w:pStyle w:val="NoSpacing"/>
      </w:pPr>
      <w:r>
        <w:t>PERSONNEL:</w:t>
      </w:r>
    </w:p>
    <w:p w14:paraId="31D6BFCA" w14:textId="6EDA9919" w:rsidR="0073604A" w:rsidRDefault="0073604A" w:rsidP="00021C12">
      <w:pPr>
        <w:pStyle w:val="NoSpacing"/>
        <w:numPr>
          <w:ilvl w:val="0"/>
          <w:numId w:val="1"/>
        </w:numPr>
      </w:pPr>
      <w:r>
        <w:t xml:space="preserve">Verbal offers were made for 1 part time Library Aide position, I part time Library assistant </w:t>
      </w:r>
      <w:r w:rsidR="009A6B42">
        <w:t>position and</w:t>
      </w:r>
      <w:r>
        <w:t xml:space="preserve"> </w:t>
      </w:r>
      <w:r w:rsidR="001D3E00">
        <w:t>2</w:t>
      </w:r>
      <w:r>
        <w:t xml:space="preserve"> Library page position.</w:t>
      </w:r>
      <w:r w:rsidR="001D3E00">
        <w:t xml:space="preserve"> One part time Library Aide is supposed to start of June 13</w:t>
      </w:r>
      <w:r w:rsidR="001D3E00" w:rsidRPr="001D3E00">
        <w:rPr>
          <w:vertAlign w:val="superscript"/>
        </w:rPr>
        <w:t>th</w:t>
      </w:r>
      <w:r w:rsidR="001D3E00">
        <w:t>.</w:t>
      </w:r>
    </w:p>
    <w:p w14:paraId="53303DA8" w14:textId="6856B4C2" w:rsidR="001D3E00" w:rsidRDefault="001D3E00" w:rsidP="00021C12">
      <w:pPr>
        <w:pStyle w:val="NoSpacing"/>
        <w:numPr>
          <w:ilvl w:val="0"/>
          <w:numId w:val="1"/>
        </w:numPr>
      </w:pPr>
      <w:r>
        <w:t xml:space="preserve">We have </w:t>
      </w:r>
      <w:r w:rsidR="00350719">
        <w:t>interviewed</w:t>
      </w:r>
      <w:r>
        <w:t xml:space="preserve"> some good </w:t>
      </w:r>
      <w:r w:rsidR="00350719">
        <w:t>candidates</w:t>
      </w:r>
      <w:r>
        <w:t xml:space="preserve"> for the Community </w:t>
      </w:r>
      <w:r w:rsidR="00350719">
        <w:t>Planning Librarian.</w:t>
      </w:r>
    </w:p>
    <w:p w14:paraId="16887E7A" w14:textId="6EB4E5B5" w:rsidR="00021C12" w:rsidRDefault="0073604A" w:rsidP="00021C12">
      <w:pPr>
        <w:pStyle w:val="NoSpacing"/>
        <w:numPr>
          <w:ilvl w:val="0"/>
          <w:numId w:val="1"/>
        </w:numPr>
      </w:pPr>
      <w:r>
        <w:t xml:space="preserve">Vacancies at this time:  </w:t>
      </w:r>
      <w:r w:rsidR="00350719">
        <w:t>2</w:t>
      </w:r>
      <w:r>
        <w:t xml:space="preserve"> Library page</w:t>
      </w:r>
      <w:r w:rsidR="00350719">
        <w:t>s</w:t>
      </w:r>
      <w:r w:rsidR="00021C12">
        <w:t>,</w:t>
      </w:r>
      <w:r w:rsidR="00F9160F">
        <w:t xml:space="preserve"> </w:t>
      </w:r>
      <w:r w:rsidR="009445C0">
        <w:t>Librarian 1</w:t>
      </w:r>
      <w:r w:rsidR="00350719">
        <w:t>-</w:t>
      </w:r>
      <w:r w:rsidR="009A6B42">
        <w:t>Community</w:t>
      </w:r>
      <w:r>
        <w:t xml:space="preserve"> Planning, Library Director</w:t>
      </w:r>
      <w:r w:rsidR="00057554">
        <w:t xml:space="preserve">, </w:t>
      </w:r>
      <w:bookmarkStart w:id="0" w:name="_GoBack"/>
      <w:bookmarkEnd w:id="0"/>
      <w:r w:rsidR="00021C12">
        <w:t>PT Custodian</w:t>
      </w:r>
      <w:r w:rsidR="00350719">
        <w:t>, Library Assistant part time.</w:t>
      </w:r>
    </w:p>
    <w:p w14:paraId="35156DBF" w14:textId="09B1D315" w:rsidR="00350719" w:rsidRDefault="00350719" w:rsidP="00021C12">
      <w:pPr>
        <w:pStyle w:val="NoSpacing"/>
        <w:numPr>
          <w:ilvl w:val="0"/>
          <w:numId w:val="1"/>
        </w:numPr>
      </w:pPr>
      <w:r>
        <w:t>Our Full time Custodian has been out on Medical leave for the past month.</w:t>
      </w:r>
    </w:p>
    <w:p w14:paraId="0D68DCD9" w14:textId="77777777" w:rsidR="00021C12" w:rsidRDefault="00021C12" w:rsidP="00021C12">
      <w:pPr>
        <w:pStyle w:val="NoSpacing"/>
      </w:pPr>
    </w:p>
    <w:p w14:paraId="0AED3219" w14:textId="77777777" w:rsidR="00021C12" w:rsidRDefault="00021C12" w:rsidP="00021C12">
      <w:pPr>
        <w:pStyle w:val="NoSpacing"/>
      </w:pPr>
      <w:r>
        <w:t>STRATEGIC PLAN COMMITTEE UPDATES:</w:t>
      </w:r>
    </w:p>
    <w:p w14:paraId="170D6CE9" w14:textId="3DB9DC7D" w:rsidR="00021C12" w:rsidRPr="0089552B" w:rsidRDefault="00021C12" w:rsidP="00350719">
      <w:pPr>
        <w:pStyle w:val="NoSpacing"/>
        <w:numPr>
          <w:ilvl w:val="0"/>
          <w:numId w:val="6"/>
        </w:numPr>
      </w:pPr>
      <w:r w:rsidRPr="009F3EC3">
        <w:rPr>
          <w:i/>
        </w:rPr>
        <w:t>The Outreach committee</w:t>
      </w:r>
      <w:r w:rsidR="0073279B">
        <w:t xml:space="preserve"> </w:t>
      </w:r>
      <w:r w:rsidR="002A334D">
        <w:rPr>
          <w:color w:val="201F1E"/>
          <w:shd w:val="clear" w:color="auto" w:fill="FFFFFF"/>
        </w:rPr>
        <w:t>– Met in May. This meeting featured a special guest, Bridget Cooley, the Coordinator of Community Planning.  We invited Bridget to come because the Bookmobile falls under her department.  The committee had been doing research on the subject of bookmobiles so I thought it would be a good idea to have Bridget speak to the group about the library's Bookmobile situation.  Bridget gave a mini presentation about the status of the Bookmobile project.  As the Bookmobile falls under her purview, we also wanted her to share her vision and plans for the Bookmobile.  Bridget's presentation was extremely thorough and committee members were very impressed.  Our Bookmobile is in good hands!</w:t>
      </w:r>
    </w:p>
    <w:p w14:paraId="7917EEB9" w14:textId="522257BB" w:rsidR="00021C12" w:rsidRPr="00E86330" w:rsidRDefault="00021C12" w:rsidP="009F3EC3">
      <w:pPr>
        <w:pStyle w:val="ListParagraph"/>
        <w:numPr>
          <w:ilvl w:val="0"/>
          <w:numId w:val="6"/>
        </w:numPr>
        <w:rPr>
          <w:rFonts w:eastAsia="Times New Roman"/>
        </w:rPr>
      </w:pPr>
      <w:r w:rsidRPr="00284E8C">
        <w:rPr>
          <w:rFonts w:eastAsia="Times New Roman"/>
          <w:i/>
        </w:rPr>
        <w:t>The Engage Committee</w:t>
      </w:r>
      <w:r w:rsidRPr="00E86330">
        <w:rPr>
          <w:rFonts w:eastAsia="Times New Roman"/>
        </w:rPr>
        <w:t xml:space="preserve"> </w:t>
      </w:r>
      <w:r w:rsidR="000932EF">
        <w:rPr>
          <w:rFonts w:eastAsia="Times New Roman"/>
        </w:rPr>
        <w:t>– Did not meet in May, but the reference collection was weeded and we have moved all of the new Fiction up to the second floor.  If you search the catalog “new” now comes up as a location.</w:t>
      </w:r>
    </w:p>
    <w:p w14:paraId="262E255F" w14:textId="4192BBF6" w:rsidR="00021C12" w:rsidRPr="00E86330" w:rsidRDefault="000932EF" w:rsidP="000932EF">
      <w:pPr>
        <w:pStyle w:val="ListParagraph"/>
        <w:numPr>
          <w:ilvl w:val="0"/>
          <w:numId w:val="6"/>
        </w:numPr>
        <w:rPr>
          <w:rFonts w:eastAsia="Times New Roman"/>
        </w:rPr>
      </w:pPr>
      <w:r>
        <w:rPr>
          <w:color w:val="000000"/>
          <w:shd w:val="clear" w:color="auto" w:fill="FFFFFF"/>
        </w:rPr>
        <w:t>Culture Committee premiered Staff Shout-outs at the May staff meeting and they are still going strong as of June's staff meeting. The Staff Satisfaction survey is complete and will be going live to staff as of next week. We're looking forward to the results and are encouraging all library staff to participate so their voices are heard. Our next step will be working on a customer service statement for the Library. Committee members have started by looking at what other libraries have already created in a similar vein. Several applicable webinars have also been noted and/or attended by members of the committee with intention of future use for staff training, presentations, etc.</w:t>
      </w:r>
    </w:p>
    <w:p w14:paraId="535C7238" w14:textId="02C831EE" w:rsidR="00021C12" w:rsidRPr="00F9160F" w:rsidRDefault="00021C12" w:rsidP="009F3EC3">
      <w:pPr>
        <w:pStyle w:val="xmsonormal"/>
        <w:numPr>
          <w:ilvl w:val="0"/>
          <w:numId w:val="6"/>
        </w:numPr>
        <w:shd w:val="clear" w:color="auto" w:fill="FFFFFF"/>
        <w:rPr>
          <w:rFonts w:asciiTheme="minorHAnsi" w:hAnsiTheme="minorHAnsi" w:cstheme="minorHAnsi"/>
          <w:sz w:val="22"/>
          <w:szCs w:val="22"/>
        </w:rPr>
      </w:pPr>
      <w:r w:rsidRPr="00F9160F">
        <w:rPr>
          <w:rFonts w:asciiTheme="minorHAnsi" w:hAnsiTheme="minorHAnsi" w:cstheme="minorHAnsi"/>
          <w:i/>
          <w:sz w:val="22"/>
          <w:szCs w:val="22"/>
        </w:rPr>
        <w:t>The </w:t>
      </w:r>
      <w:r w:rsidRPr="00F9160F">
        <w:rPr>
          <w:rStyle w:val="mark2jc58ogi7"/>
          <w:rFonts w:asciiTheme="minorHAnsi" w:hAnsiTheme="minorHAnsi" w:cstheme="minorHAnsi"/>
          <w:i/>
          <w:sz w:val="22"/>
          <w:szCs w:val="22"/>
        </w:rPr>
        <w:t>Welcome</w:t>
      </w:r>
      <w:r w:rsidRPr="00F9160F">
        <w:rPr>
          <w:rFonts w:asciiTheme="minorHAnsi" w:hAnsiTheme="minorHAnsi" w:cstheme="minorHAnsi"/>
          <w:i/>
          <w:sz w:val="22"/>
          <w:szCs w:val="22"/>
        </w:rPr>
        <w:t> </w:t>
      </w:r>
      <w:r w:rsidRPr="00F9160F">
        <w:rPr>
          <w:rStyle w:val="markg4yzj80ih"/>
          <w:rFonts w:asciiTheme="minorHAnsi" w:hAnsiTheme="minorHAnsi" w:cstheme="minorHAnsi"/>
          <w:i/>
          <w:sz w:val="22"/>
          <w:szCs w:val="22"/>
        </w:rPr>
        <w:t>committee</w:t>
      </w:r>
      <w:r w:rsidRPr="00F9160F">
        <w:rPr>
          <w:rFonts w:asciiTheme="minorHAnsi" w:hAnsiTheme="minorHAnsi" w:cstheme="minorHAnsi"/>
          <w:sz w:val="22"/>
          <w:szCs w:val="22"/>
        </w:rPr>
        <w:t> </w:t>
      </w:r>
      <w:r w:rsidR="003114D3" w:rsidRPr="00F9160F">
        <w:rPr>
          <w:rFonts w:ascii="Calibri" w:eastAsia="Times New Roman" w:hAnsi="Calibri" w:cs="Calibri"/>
        </w:rPr>
        <w:t xml:space="preserve">- </w:t>
      </w:r>
      <w:r w:rsidR="000932EF" w:rsidRPr="00F9160F">
        <w:rPr>
          <w:rFonts w:ascii="Calibri" w:hAnsi="Calibri" w:cs="Calibri"/>
          <w:sz w:val="22"/>
          <w:szCs w:val="22"/>
          <w:shd w:val="clear" w:color="auto" w:fill="FFFFFF"/>
        </w:rPr>
        <w:t>Due to chaotic nature of my department for May, the Welcome Committee took the month off, but will be meeting soon.</w:t>
      </w:r>
    </w:p>
    <w:p w14:paraId="1C96BDD7" w14:textId="0FB89DD3" w:rsidR="003114D3" w:rsidRPr="00F9160F" w:rsidRDefault="00F9160F" w:rsidP="003114D3">
      <w:pPr>
        <w:pStyle w:val="ListParagraph"/>
        <w:numPr>
          <w:ilvl w:val="0"/>
          <w:numId w:val="6"/>
        </w:numPr>
        <w:rPr>
          <w:rFonts w:eastAsia="Times New Roman"/>
        </w:rPr>
      </w:pPr>
      <w:r>
        <w:rPr>
          <w:rFonts w:eastAsia="Times New Roman"/>
          <w:b/>
          <w:bCs/>
        </w:rPr>
        <w:t>Advocacy -</w:t>
      </w:r>
      <w:r w:rsidR="000932EF" w:rsidRPr="00F9160F">
        <w:rPr>
          <w:shd w:val="clear" w:color="auto" w:fill="FFFFFF"/>
        </w:rPr>
        <w:t>talked about ways to continuing moving the work we’ve done so far into the future – discussions about an annual reports, outreach activities, the impressions of the community discussions for the ARPA funds, the bookmobile timeline and how to get more support from all levels of leadership to keep the Library front and center.</w:t>
      </w:r>
    </w:p>
    <w:p w14:paraId="5DFD9F5F" w14:textId="77777777" w:rsidR="003114D3" w:rsidRDefault="003114D3" w:rsidP="00021C12">
      <w:pPr>
        <w:rPr>
          <w:rFonts w:eastAsia="Times New Roman"/>
          <w:color w:val="000000"/>
        </w:rPr>
      </w:pPr>
    </w:p>
    <w:p w14:paraId="65D7D72D" w14:textId="77777777" w:rsidR="00021C12" w:rsidRDefault="00021C12" w:rsidP="00021C12">
      <w:pPr>
        <w:rPr>
          <w:rFonts w:asciiTheme="minorHAnsi" w:hAnsiTheme="minorHAnsi" w:cstheme="minorHAnsi"/>
        </w:rPr>
      </w:pPr>
      <w:r>
        <w:rPr>
          <w:rFonts w:asciiTheme="minorHAnsi" w:hAnsiTheme="minorHAnsi" w:cstheme="minorHAnsi"/>
        </w:rPr>
        <w:lastRenderedPageBreak/>
        <w:t>PROGRAMMING HIGHLIGHTS:</w:t>
      </w:r>
    </w:p>
    <w:p w14:paraId="2466C71F" w14:textId="77777777" w:rsidR="00BB266A" w:rsidRPr="00F9160F" w:rsidRDefault="00BB266A" w:rsidP="00BB266A">
      <w:pPr>
        <w:rPr>
          <w:rFonts w:ascii="Times New Roman" w:eastAsia="Times New Roman" w:hAnsi="Times New Roman" w:cs="Times New Roman"/>
        </w:rPr>
      </w:pPr>
    </w:p>
    <w:p w14:paraId="6EE269DB" w14:textId="0B1B8E15" w:rsidR="00BB266A" w:rsidRPr="00F9160F" w:rsidRDefault="003D3E73" w:rsidP="00021C12">
      <w:pPr>
        <w:rPr>
          <w:rFonts w:asciiTheme="minorHAnsi" w:hAnsiTheme="minorHAnsi" w:cstheme="minorHAnsi"/>
        </w:rPr>
      </w:pPr>
      <w:r w:rsidRPr="00F9160F">
        <w:rPr>
          <w:rFonts w:asciiTheme="minorHAnsi" w:hAnsiTheme="minorHAnsi" w:cstheme="minorHAnsi"/>
        </w:rPr>
        <w:t>Adult Programming:</w:t>
      </w:r>
    </w:p>
    <w:p w14:paraId="3B26643E" w14:textId="4AE0633B" w:rsidR="003D3E73" w:rsidRPr="00F9160F" w:rsidRDefault="003D3E73" w:rsidP="00021C12">
      <w:pPr>
        <w:rPr>
          <w:rFonts w:asciiTheme="minorHAnsi" w:hAnsiTheme="minorHAnsi" w:cstheme="minorHAnsi"/>
        </w:rPr>
      </w:pPr>
    </w:p>
    <w:p w14:paraId="3D144924" w14:textId="77777777" w:rsidR="003D3E73" w:rsidRPr="00F9160F" w:rsidRDefault="003D3E73" w:rsidP="003D3E73">
      <w:pPr>
        <w:pStyle w:val="ListParagraph"/>
        <w:numPr>
          <w:ilvl w:val="0"/>
          <w:numId w:val="7"/>
        </w:numPr>
        <w:contextualSpacing w:val="0"/>
      </w:pPr>
      <w:r w:rsidRPr="00F9160F">
        <w:t>Friends hosted their Annual Book Sale and made over $2000</w:t>
      </w:r>
    </w:p>
    <w:p w14:paraId="4E46BC6D" w14:textId="77777777" w:rsidR="003D3E73" w:rsidRPr="00F9160F" w:rsidRDefault="003D3E73" w:rsidP="003D3E73">
      <w:pPr>
        <w:pStyle w:val="ListParagraph"/>
        <w:numPr>
          <w:ilvl w:val="0"/>
          <w:numId w:val="7"/>
        </w:numPr>
        <w:contextualSpacing w:val="0"/>
      </w:pPr>
      <w:r w:rsidRPr="00F9160F">
        <w:t>Meditation Classes ran through the end of the month, we were averaging 15-18 people per session</w:t>
      </w:r>
    </w:p>
    <w:p w14:paraId="0AB783FB" w14:textId="77777777" w:rsidR="003D3E73" w:rsidRPr="00F9160F" w:rsidRDefault="003D3E73" w:rsidP="003D3E73">
      <w:pPr>
        <w:pStyle w:val="ListParagraph"/>
        <w:numPr>
          <w:ilvl w:val="0"/>
          <w:numId w:val="7"/>
        </w:numPr>
        <w:contextualSpacing w:val="0"/>
      </w:pPr>
      <w:r w:rsidRPr="00F9160F">
        <w:t xml:space="preserve">Hosted a virtual author talk with Ocean </w:t>
      </w:r>
      <w:proofErr w:type="spellStart"/>
      <w:r w:rsidRPr="00F9160F">
        <w:t>Vuong</w:t>
      </w:r>
      <w:proofErr w:type="spellEnd"/>
    </w:p>
    <w:p w14:paraId="3D4EFA9E" w14:textId="77777777" w:rsidR="003D3E73" w:rsidRPr="00F9160F" w:rsidRDefault="003D3E73" w:rsidP="003D3E73">
      <w:pPr>
        <w:pStyle w:val="ListParagraph"/>
        <w:numPr>
          <w:ilvl w:val="0"/>
          <w:numId w:val="7"/>
        </w:numPr>
        <w:contextualSpacing w:val="0"/>
      </w:pPr>
      <w:r w:rsidRPr="00F9160F">
        <w:t xml:space="preserve">Had 2 Talking Jack talks about Jack Kerouac and his American experience. Both sessions had about 15 people attend with sales going to </w:t>
      </w:r>
      <w:proofErr w:type="spellStart"/>
      <w:r w:rsidRPr="00F9160F">
        <w:t>lala</w:t>
      </w:r>
      <w:proofErr w:type="spellEnd"/>
      <w:r w:rsidRPr="00F9160F">
        <w:t xml:space="preserve"> Books</w:t>
      </w:r>
    </w:p>
    <w:p w14:paraId="19F14F59" w14:textId="77777777" w:rsidR="003D3E73" w:rsidRPr="00F9160F" w:rsidRDefault="003D3E73" w:rsidP="003D3E73">
      <w:pPr>
        <w:pStyle w:val="ListParagraph"/>
        <w:numPr>
          <w:ilvl w:val="0"/>
          <w:numId w:val="7"/>
        </w:numPr>
        <w:contextualSpacing w:val="0"/>
        <w:rPr>
          <w:rStyle w:val="Emphasis"/>
          <w:i w:val="0"/>
          <w:iCs w:val="0"/>
        </w:rPr>
      </w:pPr>
      <w:r w:rsidRPr="00F9160F">
        <w:t xml:space="preserve">The Historical Society hosted their annual meeting and a special presentation </w:t>
      </w:r>
      <w:r w:rsidRPr="00F9160F">
        <w:rPr>
          <w:rStyle w:val="Emphasis"/>
          <w:shd w:val="clear" w:color="auto" w:fill="FFFFFF"/>
        </w:rPr>
        <w:t>Beyond Ladd &amp; Whitney: The Lowell Casualties of 19 April 1861</w:t>
      </w:r>
      <w:r w:rsidRPr="00F9160F">
        <w:rPr>
          <w:rStyle w:val="Emphasis"/>
          <w:i w:val="0"/>
          <w:iCs w:val="0"/>
          <w:shd w:val="clear" w:color="auto" w:fill="FFFFFF"/>
        </w:rPr>
        <w:t xml:space="preserve"> – this was a hybrid event, so we had 17 in person and about 12 or so online. </w:t>
      </w:r>
    </w:p>
    <w:p w14:paraId="597DDBE7" w14:textId="77777777" w:rsidR="003D3E73" w:rsidRPr="00F9160F" w:rsidRDefault="003D3E73" w:rsidP="003D3E73">
      <w:pPr>
        <w:pStyle w:val="ListParagraph"/>
        <w:numPr>
          <w:ilvl w:val="0"/>
          <w:numId w:val="7"/>
        </w:numPr>
        <w:contextualSpacing w:val="0"/>
        <w:rPr>
          <w:rStyle w:val="Emphasis"/>
          <w:i w:val="0"/>
          <w:iCs w:val="0"/>
        </w:rPr>
      </w:pPr>
      <w:r w:rsidRPr="00F9160F">
        <w:rPr>
          <w:rStyle w:val="Emphasis"/>
          <w:i w:val="0"/>
          <w:iCs w:val="0"/>
          <w:shd w:val="clear" w:color="auto" w:fill="FFFFFF"/>
        </w:rPr>
        <w:t>The Chess Club will start meeting weekly over the summer as part of a pilot program</w:t>
      </w:r>
    </w:p>
    <w:p w14:paraId="1D4BBDEE" w14:textId="4C6A0D33" w:rsidR="003D3E73" w:rsidRPr="00F9160F" w:rsidRDefault="003D3E73" w:rsidP="00021C12">
      <w:pPr>
        <w:rPr>
          <w:rFonts w:asciiTheme="minorHAnsi" w:hAnsiTheme="minorHAnsi" w:cstheme="minorHAnsi"/>
        </w:rPr>
      </w:pPr>
    </w:p>
    <w:p w14:paraId="1B894707" w14:textId="7C76A7CA" w:rsidR="003D3E73" w:rsidRPr="00F9160F" w:rsidRDefault="003D3E73" w:rsidP="00021C12">
      <w:pPr>
        <w:rPr>
          <w:rFonts w:asciiTheme="minorHAnsi" w:hAnsiTheme="minorHAnsi" w:cstheme="minorHAnsi"/>
        </w:rPr>
      </w:pPr>
    </w:p>
    <w:p w14:paraId="6F0FDED3" w14:textId="6176CF19" w:rsidR="003D3E73" w:rsidRPr="00F9160F" w:rsidRDefault="003D3E73" w:rsidP="00021C12">
      <w:pPr>
        <w:rPr>
          <w:rFonts w:asciiTheme="minorHAnsi" w:hAnsiTheme="minorHAnsi" w:cstheme="minorHAnsi"/>
        </w:rPr>
      </w:pPr>
      <w:r w:rsidRPr="00F9160F">
        <w:rPr>
          <w:rFonts w:asciiTheme="minorHAnsi" w:hAnsiTheme="minorHAnsi" w:cstheme="minorHAnsi"/>
        </w:rPr>
        <w:t>Children’s programming</w:t>
      </w:r>
    </w:p>
    <w:p w14:paraId="285D57A7" w14:textId="77777777" w:rsidR="00C224B0" w:rsidRPr="00F9160F" w:rsidRDefault="00C224B0" w:rsidP="00C224B0"/>
    <w:p w14:paraId="1A3CA0B0" w14:textId="62394AE8" w:rsidR="00C224B0" w:rsidRPr="00F9160F" w:rsidRDefault="00F9160F" w:rsidP="00C224B0">
      <w:r>
        <w:t>W</w:t>
      </w:r>
      <w:r w:rsidR="00C224B0" w:rsidRPr="00F9160F">
        <w:t xml:space="preserve">e are back to pre-pandemic numbers as far as tours and outreach visits.  All of our programs and tours are in house.  </w:t>
      </w:r>
    </w:p>
    <w:p w14:paraId="00A39DA4" w14:textId="4AFB9626" w:rsidR="00C224B0" w:rsidRPr="00F9160F" w:rsidRDefault="00C224B0" w:rsidP="00C224B0">
      <w:r w:rsidRPr="00F9160F">
        <w:t>Lori's Book to Art Club is a new program that started this spring and has proven extremely popular.  For this program, elementary aged children read a picture book and then work on art or craft projects related to the book's theme.</w:t>
      </w:r>
    </w:p>
    <w:p w14:paraId="1FE3512E" w14:textId="77777777" w:rsidR="00C224B0" w:rsidRPr="00F9160F" w:rsidRDefault="00C224B0" w:rsidP="00C224B0">
      <w:r w:rsidRPr="00F9160F">
        <w:t>And as always, Virtual Baby Yoga is popular.  I have been receiving emails from parents/caregivers saying how much they like this virtual event.  Because it is virtual, they don't have the added pressure of trying to get a baby out of the house for an activity.  We have attendees from all over the United States participating.  They are all quite happy that we will be offering this program again in the fall.</w:t>
      </w:r>
    </w:p>
    <w:p w14:paraId="2A95B642" w14:textId="77777777" w:rsidR="008940BA" w:rsidRDefault="008940BA" w:rsidP="00021C12">
      <w:pPr>
        <w:rPr>
          <w:rFonts w:asciiTheme="minorHAnsi" w:hAnsiTheme="minorHAnsi" w:cstheme="minorHAnsi"/>
        </w:rPr>
      </w:pPr>
    </w:p>
    <w:p w14:paraId="4C7DD30C" w14:textId="77777777" w:rsidR="008940BA" w:rsidRDefault="008940BA" w:rsidP="00021C12">
      <w:pPr>
        <w:rPr>
          <w:rFonts w:asciiTheme="minorHAnsi" w:hAnsiTheme="minorHAnsi" w:cstheme="minorHAnsi"/>
        </w:rPr>
      </w:pPr>
    </w:p>
    <w:p w14:paraId="121661BB" w14:textId="77777777" w:rsidR="00021C12" w:rsidRPr="007444B3" w:rsidRDefault="00021C12" w:rsidP="00021C12">
      <w:pPr>
        <w:pStyle w:val="NoSpacing"/>
        <w:rPr>
          <w:rFonts w:asciiTheme="minorHAnsi" w:eastAsia="Times New Roman" w:hAnsiTheme="minorHAnsi" w:cstheme="minorHAnsi"/>
          <w:color w:val="000000"/>
        </w:rPr>
      </w:pPr>
      <w:r w:rsidRPr="007444B3">
        <w:rPr>
          <w:rFonts w:asciiTheme="minorHAnsi" w:eastAsia="Times New Roman" w:hAnsiTheme="minorHAnsi" w:cstheme="minorHAnsi"/>
          <w:color w:val="000000"/>
        </w:rPr>
        <w:t xml:space="preserve">BUDGET SNAPSHOT: </w:t>
      </w:r>
    </w:p>
    <w:p w14:paraId="7FB00BC3" w14:textId="77777777" w:rsidR="00021C12" w:rsidRPr="007444B3" w:rsidRDefault="00021C12" w:rsidP="00021C12">
      <w:pPr>
        <w:pStyle w:val="NoSpacing"/>
        <w:rPr>
          <w:rFonts w:asciiTheme="minorHAnsi" w:eastAsia="Times New Roman" w:hAnsiTheme="minorHAnsi" w:cstheme="minorHAnsi"/>
          <w:color w:val="000000"/>
        </w:rPr>
      </w:pPr>
    </w:p>
    <w:tbl>
      <w:tblPr>
        <w:tblStyle w:val="TableGrid"/>
        <w:tblW w:w="0" w:type="auto"/>
        <w:tblLook w:val="04A0" w:firstRow="1" w:lastRow="0" w:firstColumn="1" w:lastColumn="0" w:noHBand="0" w:noVBand="1"/>
      </w:tblPr>
      <w:tblGrid>
        <w:gridCol w:w="2337"/>
        <w:gridCol w:w="2337"/>
        <w:gridCol w:w="2338"/>
        <w:gridCol w:w="2338"/>
      </w:tblGrid>
      <w:tr w:rsidR="00021C12" w:rsidRPr="007444B3" w14:paraId="0DBAFCD4" w14:textId="77777777" w:rsidTr="00013920">
        <w:tc>
          <w:tcPr>
            <w:tcW w:w="2337" w:type="dxa"/>
          </w:tcPr>
          <w:p w14:paraId="1FC026F6"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MUNICIPAL ACCOUNT</w:t>
            </w:r>
          </w:p>
        </w:tc>
        <w:tc>
          <w:tcPr>
            <w:tcW w:w="2337" w:type="dxa"/>
          </w:tcPr>
          <w:p w14:paraId="29A36D3B"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 BUDGETED FY2022</w:t>
            </w:r>
          </w:p>
        </w:tc>
        <w:tc>
          <w:tcPr>
            <w:tcW w:w="2338" w:type="dxa"/>
          </w:tcPr>
          <w:p w14:paraId="7DA23D4E"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 SPENT</w:t>
            </w:r>
          </w:p>
        </w:tc>
        <w:tc>
          <w:tcPr>
            <w:tcW w:w="2338" w:type="dxa"/>
          </w:tcPr>
          <w:p w14:paraId="5416E779"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 OF BUDGET USED</w:t>
            </w:r>
          </w:p>
        </w:tc>
      </w:tr>
      <w:tr w:rsidR="00021C12" w:rsidRPr="007444B3" w14:paraId="2500061A" w14:textId="77777777" w:rsidTr="00013920">
        <w:tc>
          <w:tcPr>
            <w:tcW w:w="2337" w:type="dxa"/>
          </w:tcPr>
          <w:p w14:paraId="59820BC2"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Salaries – Permanent</w:t>
            </w:r>
          </w:p>
        </w:tc>
        <w:tc>
          <w:tcPr>
            <w:tcW w:w="2337" w:type="dxa"/>
          </w:tcPr>
          <w:p w14:paraId="6D09FAE6"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971,982.00*</w:t>
            </w:r>
          </w:p>
        </w:tc>
        <w:tc>
          <w:tcPr>
            <w:tcW w:w="2338" w:type="dxa"/>
          </w:tcPr>
          <w:p w14:paraId="32EB3933" w14:textId="0917EC5E" w:rsidR="00021C12" w:rsidRPr="007444B3" w:rsidRDefault="00C224B0" w:rsidP="00013920">
            <w:pPr>
              <w:pStyle w:val="NoSpacing"/>
              <w:rPr>
                <w:rFonts w:asciiTheme="minorHAnsi" w:hAnsiTheme="minorHAnsi" w:cstheme="minorHAnsi"/>
              </w:rPr>
            </w:pPr>
            <w:r>
              <w:rPr>
                <w:rFonts w:asciiTheme="minorHAnsi" w:hAnsiTheme="minorHAnsi" w:cstheme="minorHAnsi"/>
              </w:rPr>
              <w:t>902,814.91</w:t>
            </w:r>
          </w:p>
        </w:tc>
        <w:tc>
          <w:tcPr>
            <w:tcW w:w="2338" w:type="dxa"/>
          </w:tcPr>
          <w:p w14:paraId="04FE25E2" w14:textId="4EF591FC" w:rsidR="00021C12" w:rsidRPr="007444B3" w:rsidRDefault="00C224B0" w:rsidP="00013920">
            <w:pPr>
              <w:pStyle w:val="NoSpacing"/>
              <w:rPr>
                <w:rFonts w:asciiTheme="minorHAnsi" w:hAnsiTheme="minorHAnsi" w:cstheme="minorHAnsi"/>
              </w:rPr>
            </w:pPr>
            <w:r>
              <w:rPr>
                <w:rFonts w:asciiTheme="minorHAnsi" w:hAnsiTheme="minorHAnsi" w:cstheme="minorHAnsi"/>
              </w:rPr>
              <w:t>92.88</w:t>
            </w:r>
          </w:p>
        </w:tc>
      </w:tr>
      <w:tr w:rsidR="00021C12" w:rsidRPr="007444B3" w14:paraId="3FA4307E" w14:textId="77777777" w:rsidTr="00013920">
        <w:tc>
          <w:tcPr>
            <w:tcW w:w="2337" w:type="dxa"/>
          </w:tcPr>
          <w:p w14:paraId="0CF6D35D"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Salaries – Temporary</w:t>
            </w:r>
          </w:p>
        </w:tc>
        <w:tc>
          <w:tcPr>
            <w:tcW w:w="2337" w:type="dxa"/>
          </w:tcPr>
          <w:p w14:paraId="741747EF"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69,340</w:t>
            </w:r>
          </w:p>
        </w:tc>
        <w:tc>
          <w:tcPr>
            <w:tcW w:w="2338" w:type="dxa"/>
          </w:tcPr>
          <w:p w14:paraId="3C2FA205" w14:textId="2264D4C9" w:rsidR="00021C12" w:rsidRPr="007444B3" w:rsidRDefault="00C224B0" w:rsidP="00013920">
            <w:pPr>
              <w:pStyle w:val="NoSpacing"/>
              <w:rPr>
                <w:rFonts w:asciiTheme="minorHAnsi" w:hAnsiTheme="minorHAnsi" w:cstheme="minorHAnsi"/>
              </w:rPr>
            </w:pPr>
            <w:r>
              <w:rPr>
                <w:rFonts w:asciiTheme="minorHAnsi" w:hAnsiTheme="minorHAnsi" w:cstheme="minorHAnsi"/>
              </w:rPr>
              <w:t>34,021.95</w:t>
            </w:r>
          </w:p>
        </w:tc>
        <w:tc>
          <w:tcPr>
            <w:tcW w:w="2338" w:type="dxa"/>
          </w:tcPr>
          <w:p w14:paraId="0A677FF2" w14:textId="7FD42C24" w:rsidR="00021C12" w:rsidRPr="007444B3" w:rsidRDefault="00C224B0" w:rsidP="00013920">
            <w:pPr>
              <w:pStyle w:val="NoSpacing"/>
              <w:rPr>
                <w:rFonts w:asciiTheme="minorHAnsi" w:hAnsiTheme="minorHAnsi" w:cstheme="minorHAnsi"/>
              </w:rPr>
            </w:pPr>
            <w:r>
              <w:rPr>
                <w:rFonts w:asciiTheme="minorHAnsi" w:hAnsiTheme="minorHAnsi" w:cstheme="minorHAnsi"/>
              </w:rPr>
              <w:t>49.07</w:t>
            </w:r>
          </w:p>
        </w:tc>
      </w:tr>
      <w:tr w:rsidR="00021C12" w:rsidRPr="007444B3" w14:paraId="0D78ECFC" w14:textId="77777777" w:rsidTr="00013920">
        <w:tc>
          <w:tcPr>
            <w:tcW w:w="2337" w:type="dxa"/>
          </w:tcPr>
          <w:p w14:paraId="18E539DA"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Salaries – Shift</w:t>
            </w:r>
          </w:p>
        </w:tc>
        <w:tc>
          <w:tcPr>
            <w:tcW w:w="2337" w:type="dxa"/>
          </w:tcPr>
          <w:p w14:paraId="2CE91F23"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5,632</w:t>
            </w:r>
          </w:p>
        </w:tc>
        <w:tc>
          <w:tcPr>
            <w:tcW w:w="2338" w:type="dxa"/>
          </w:tcPr>
          <w:p w14:paraId="065C4B60" w14:textId="3FCF0A1F" w:rsidR="00021C12" w:rsidRPr="007444B3" w:rsidRDefault="00C224B0" w:rsidP="00013920">
            <w:pPr>
              <w:pStyle w:val="NoSpacing"/>
              <w:rPr>
                <w:rFonts w:asciiTheme="minorHAnsi" w:hAnsiTheme="minorHAnsi" w:cstheme="minorHAnsi"/>
              </w:rPr>
            </w:pPr>
            <w:r>
              <w:rPr>
                <w:rFonts w:asciiTheme="minorHAnsi" w:hAnsiTheme="minorHAnsi" w:cstheme="minorHAnsi"/>
              </w:rPr>
              <w:t>4,835.19</w:t>
            </w:r>
          </w:p>
        </w:tc>
        <w:tc>
          <w:tcPr>
            <w:tcW w:w="2338" w:type="dxa"/>
          </w:tcPr>
          <w:p w14:paraId="1DC44432" w14:textId="235E1D75" w:rsidR="00021C12" w:rsidRPr="007444B3" w:rsidRDefault="00C224B0" w:rsidP="00013920">
            <w:pPr>
              <w:pStyle w:val="NoSpacing"/>
              <w:rPr>
                <w:rFonts w:asciiTheme="minorHAnsi" w:hAnsiTheme="minorHAnsi" w:cstheme="minorHAnsi"/>
              </w:rPr>
            </w:pPr>
            <w:r>
              <w:rPr>
                <w:rFonts w:asciiTheme="minorHAnsi" w:hAnsiTheme="minorHAnsi" w:cstheme="minorHAnsi"/>
              </w:rPr>
              <w:t>85.85</w:t>
            </w:r>
          </w:p>
        </w:tc>
      </w:tr>
      <w:tr w:rsidR="00021C12" w:rsidRPr="007444B3" w14:paraId="7DD3E46C" w14:textId="77777777" w:rsidTr="00013920">
        <w:tc>
          <w:tcPr>
            <w:tcW w:w="2337" w:type="dxa"/>
          </w:tcPr>
          <w:p w14:paraId="73284993"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Electricity</w:t>
            </w:r>
          </w:p>
        </w:tc>
        <w:tc>
          <w:tcPr>
            <w:tcW w:w="2337" w:type="dxa"/>
          </w:tcPr>
          <w:p w14:paraId="6B9B77EC"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76,000</w:t>
            </w:r>
          </w:p>
        </w:tc>
        <w:tc>
          <w:tcPr>
            <w:tcW w:w="2338" w:type="dxa"/>
          </w:tcPr>
          <w:p w14:paraId="46548BC0" w14:textId="0A5FFA9E" w:rsidR="00021C12" w:rsidRPr="007444B3" w:rsidRDefault="00C224B0" w:rsidP="00013920">
            <w:pPr>
              <w:pStyle w:val="NoSpacing"/>
              <w:rPr>
                <w:rFonts w:asciiTheme="minorHAnsi" w:hAnsiTheme="minorHAnsi" w:cstheme="minorHAnsi"/>
              </w:rPr>
            </w:pPr>
            <w:r>
              <w:rPr>
                <w:rFonts w:asciiTheme="minorHAnsi" w:hAnsiTheme="minorHAnsi" w:cstheme="minorHAnsi"/>
              </w:rPr>
              <w:t>56,492.14</w:t>
            </w:r>
          </w:p>
        </w:tc>
        <w:tc>
          <w:tcPr>
            <w:tcW w:w="2338" w:type="dxa"/>
          </w:tcPr>
          <w:p w14:paraId="348217B2" w14:textId="057D9EDA" w:rsidR="00021C12" w:rsidRPr="007444B3" w:rsidRDefault="00C224B0" w:rsidP="00013920">
            <w:pPr>
              <w:pStyle w:val="NoSpacing"/>
              <w:rPr>
                <w:rFonts w:asciiTheme="minorHAnsi" w:hAnsiTheme="minorHAnsi" w:cstheme="minorHAnsi"/>
              </w:rPr>
            </w:pPr>
            <w:r>
              <w:rPr>
                <w:rFonts w:asciiTheme="minorHAnsi" w:hAnsiTheme="minorHAnsi" w:cstheme="minorHAnsi"/>
              </w:rPr>
              <w:t>74.33</w:t>
            </w:r>
          </w:p>
        </w:tc>
      </w:tr>
      <w:tr w:rsidR="00021C12" w:rsidRPr="007444B3" w14:paraId="05ACF6FD" w14:textId="77777777" w:rsidTr="00013920">
        <w:tc>
          <w:tcPr>
            <w:tcW w:w="2337" w:type="dxa"/>
          </w:tcPr>
          <w:p w14:paraId="44EEFE7E"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 xml:space="preserve">Repair &amp; </w:t>
            </w:r>
            <w:proofErr w:type="spellStart"/>
            <w:r w:rsidRPr="007444B3">
              <w:rPr>
                <w:rFonts w:asciiTheme="minorHAnsi" w:hAnsiTheme="minorHAnsi" w:cstheme="minorHAnsi"/>
              </w:rPr>
              <w:t>Maint</w:t>
            </w:r>
            <w:proofErr w:type="spellEnd"/>
            <w:r w:rsidRPr="007444B3">
              <w:rPr>
                <w:rFonts w:asciiTheme="minorHAnsi" w:hAnsiTheme="minorHAnsi" w:cstheme="minorHAnsi"/>
              </w:rPr>
              <w:t>. Equip.</w:t>
            </w:r>
          </w:p>
        </w:tc>
        <w:tc>
          <w:tcPr>
            <w:tcW w:w="2337" w:type="dxa"/>
          </w:tcPr>
          <w:p w14:paraId="1FA5F9F9"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5,550</w:t>
            </w:r>
          </w:p>
        </w:tc>
        <w:tc>
          <w:tcPr>
            <w:tcW w:w="2338" w:type="dxa"/>
          </w:tcPr>
          <w:p w14:paraId="3D7382E6" w14:textId="38C063E8" w:rsidR="00021C12" w:rsidRPr="007444B3" w:rsidRDefault="00C224B0" w:rsidP="00013920">
            <w:pPr>
              <w:pStyle w:val="NoSpacing"/>
              <w:rPr>
                <w:rFonts w:asciiTheme="minorHAnsi" w:hAnsiTheme="minorHAnsi" w:cstheme="minorHAnsi"/>
              </w:rPr>
            </w:pPr>
            <w:r>
              <w:rPr>
                <w:rFonts w:asciiTheme="minorHAnsi" w:hAnsiTheme="minorHAnsi" w:cstheme="minorHAnsi"/>
              </w:rPr>
              <w:t>4,633.53</w:t>
            </w:r>
          </w:p>
        </w:tc>
        <w:tc>
          <w:tcPr>
            <w:tcW w:w="2338" w:type="dxa"/>
          </w:tcPr>
          <w:p w14:paraId="1371894C" w14:textId="77777777" w:rsidR="00021C12" w:rsidRPr="007444B3" w:rsidRDefault="008940BA" w:rsidP="00013920">
            <w:pPr>
              <w:pStyle w:val="NoSpacing"/>
              <w:rPr>
                <w:rFonts w:asciiTheme="minorHAnsi" w:hAnsiTheme="minorHAnsi" w:cstheme="minorHAnsi"/>
              </w:rPr>
            </w:pPr>
            <w:r>
              <w:rPr>
                <w:rFonts w:asciiTheme="minorHAnsi" w:hAnsiTheme="minorHAnsi" w:cstheme="minorHAnsi"/>
              </w:rPr>
              <w:t>87.35</w:t>
            </w:r>
          </w:p>
        </w:tc>
      </w:tr>
      <w:tr w:rsidR="00021C12" w:rsidRPr="007444B3" w14:paraId="445FB0C9" w14:textId="77777777" w:rsidTr="00013920">
        <w:tc>
          <w:tcPr>
            <w:tcW w:w="2337" w:type="dxa"/>
          </w:tcPr>
          <w:p w14:paraId="578BFB3C"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Leasing Equipment</w:t>
            </w:r>
          </w:p>
        </w:tc>
        <w:tc>
          <w:tcPr>
            <w:tcW w:w="2337" w:type="dxa"/>
          </w:tcPr>
          <w:p w14:paraId="303216E6"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45,245.00*</w:t>
            </w:r>
          </w:p>
        </w:tc>
        <w:tc>
          <w:tcPr>
            <w:tcW w:w="2338" w:type="dxa"/>
          </w:tcPr>
          <w:p w14:paraId="0CA530D4"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20,246.76</w:t>
            </w:r>
          </w:p>
        </w:tc>
        <w:tc>
          <w:tcPr>
            <w:tcW w:w="2338" w:type="dxa"/>
          </w:tcPr>
          <w:p w14:paraId="384EDC21"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44.75</w:t>
            </w:r>
          </w:p>
        </w:tc>
      </w:tr>
      <w:tr w:rsidR="00021C12" w:rsidRPr="007444B3" w14:paraId="258A02CF" w14:textId="77777777" w:rsidTr="00013920">
        <w:tc>
          <w:tcPr>
            <w:tcW w:w="2337" w:type="dxa"/>
          </w:tcPr>
          <w:p w14:paraId="260DDDD9"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Consortium Fee</w:t>
            </w:r>
          </w:p>
        </w:tc>
        <w:tc>
          <w:tcPr>
            <w:tcW w:w="2337" w:type="dxa"/>
          </w:tcPr>
          <w:p w14:paraId="7D04849A"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54,598</w:t>
            </w:r>
          </w:p>
        </w:tc>
        <w:tc>
          <w:tcPr>
            <w:tcW w:w="2338" w:type="dxa"/>
          </w:tcPr>
          <w:p w14:paraId="315FFFAF"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54,598</w:t>
            </w:r>
          </w:p>
        </w:tc>
        <w:tc>
          <w:tcPr>
            <w:tcW w:w="2338" w:type="dxa"/>
          </w:tcPr>
          <w:p w14:paraId="4AE09A3D"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100</w:t>
            </w:r>
          </w:p>
        </w:tc>
      </w:tr>
      <w:tr w:rsidR="00021C12" w:rsidRPr="007444B3" w14:paraId="0692BE86" w14:textId="77777777" w:rsidTr="00013920">
        <w:tc>
          <w:tcPr>
            <w:tcW w:w="2337" w:type="dxa"/>
          </w:tcPr>
          <w:p w14:paraId="3A9A8136"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Professional Services</w:t>
            </w:r>
          </w:p>
        </w:tc>
        <w:tc>
          <w:tcPr>
            <w:tcW w:w="2337" w:type="dxa"/>
          </w:tcPr>
          <w:p w14:paraId="545BCF6E"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46,894.00*</w:t>
            </w:r>
          </w:p>
        </w:tc>
        <w:tc>
          <w:tcPr>
            <w:tcW w:w="2338" w:type="dxa"/>
          </w:tcPr>
          <w:p w14:paraId="61318E7E" w14:textId="62934AE7" w:rsidR="00021C12" w:rsidRPr="007444B3" w:rsidRDefault="00E86EDC" w:rsidP="00013920">
            <w:pPr>
              <w:pStyle w:val="NoSpacing"/>
              <w:rPr>
                <w:rFonts w:asciiTheme="minorHAnsi" w:hAnsiTheme="minorHAnsi" w:cstheme="minorHAnsi"/>
              </w:rPr>
            </w:pPr>
            <w:r>
              <w:rPr>
                <w:rFonts w:asciiTheme="minorHAnsi" w:hAnsiTheme="minorHAnsi" w:cstheme="minorHAnsi"/>
              </w:rPr>
              <w:t>39,132.86</w:t>
            </w:r>
          </w:p>
        </w:tc>
        <w:tc>
          <w:tcPr>
            <w:tcW w:w="2338" w:type="dxa"/>
          </w:tcPr>
          <w:p w14:paraId="45346851" w14:textId="3BE60C5D" w:rsidR="00021C12" w:rsidRPr="007444B3" w:rsidRDefault="00450D5D" w:rsidP="00013920">
            <w:pPr>
              <w:pStyle w:val="NoSpacing"/>
              <w:rPr>
                <w:rFonts w:asciiTheme="minorHAnsi" w:hAnsiTheme="minorHAnsi" w:cstheme="minorHAnsi"/>
              </w:rPr>
            </w:pPr>
            <w:r>
              <w:rPr>
                <w:rFonts w:asciiTheme="minorHAnsi" w:hAnsiTheme="minorHAnsi" w:cstheme="minorHAnsi"/>
              </w:rPr>
              <w:t>83.45</w:t>
            </w:r>
          </w:p>
        </w:tc>
      </w:tr>
      <w:tr w:rsidR="00021C12" w:rsidRPr="007444B3" w14:paraId="205EFF61" w14:textId="77777777" w:rsidTr="00013920">
        <w:tc>
          <w:tcPr>
            <w:tcW w:w="2337" w:type="dxa"/>
          </w:tcPr>
          <w:p w14:paraId="46A3DF04"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Library Materials</w:t>
            </w:r>
          </w:p>
        </w:tc>
        <w:tc>
          <w:tcPr>
            <w:tcW w:w="2337" w:type="dxa"/>
          </w:tcPr>
          <w:p w14:paraId="17AF691C"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152,551</w:t>
            </w:r>
          </w:p>
        </w:tc>
        <w:tc>
          <w:tcPr>
            <w:tcW w:w="2338" w:type="dxa"/>
          </w:tcPr>
          <w:p w14:paraId="3F6003AE" w14:textId="5D9907A7" w:rsidR="00021C12" w:rsidRPr="007444B3" w:rsidRDefault="00450D5D" w:rsidP="00013920">
            <w:pPr>
              <w:pStyle w:val="NoSpacing"/>
              <w:rPr>
                <w:rFonts w:asciiTheme="minorHAnsi" w:hAnsiTheme="minorHAnsi" w:cstheme="minorHAnsi"/>
              </w:rPr>
            </w:pPr>
            <w:r>
              <w:rPr>
                <w:rFonts w:asciiTheme="minorHAnsi" w:hAnsiTheme="minorHAnsi" w:cstheme="minorHAnsi"/>
              </w:rPr>
              <w:t>151,504.41</w:t>
            </w:r>
          </w:p>
        </w:tc>
        <w:tc>
          <w:tcPr>
            <w:tcW w:w="2338" w:type="dxa"/>
          </w:tcPr>
          <w:p w14:paraId="617A0001" w14:textId="62A6D4F7" w:rsidR="00021C12" w:rsidRPr="007444B3" w:rsidRDefault="00450D5D" w:rsidP="00013920">
            <w:pPr>
              <w:pStyle w:val="NoSpacing"/>
              <w:rPr>
                <w:rFonts w:asciiTheme="minorHAnsi" w:hAnsiTheme="minorHAnsi" w:cstheme="minorHAnsi"/>
              </w:rPr>
            </w:pPr>
            <w:r>
              <w:rPr>
                <w:rFonts w:asciiTheme="minorHAnsi" w:hAnsiTheme="minorHAnsi" w:cstheme="minorHAnsi"/>
              </w:rPr>
              <w:t>97.41</w:t>
            </w:r>
          </w:p>
        </w:tc>
      </w:tr>
      <w:tr w:rsidR="00021C12" w:rsidRPr="007444B3" w14:paraId="30F548F5" w14:textId="77777777" w:rsidTr="00013920">
        <w:tc>
          <w:tcPr>
            <w:tcW w:w="2337" w:type="dxa"/>
          </w:tcPr>
          <w:p w14:paraId="7777FDFB"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Office Supplies</w:t>
            </w:r>
          </w:p>
        </w:tc>
        <w:tc>
          <w:tcPr>
            <w:tcW w:w="2337" w:type="dxa"/>
          </w:tcPr>
          <w:p w14:paraId="51578CE7"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15,000</w:t>
            </w:r>
          </w:p>
        </w:tc>
        <w:tc>
          <w:tcPr>
            <w:tcW w:w="2338" w:type="dxa"/>
          </w:tcPr>
          <w:p w14:paraId="26C56A89" w14:textId="357F38B1" w:rsidR="00021C12" w:rsidRPr="007444B3" w:rsidRDefault="00450D5D" w:rsidP="00013920">
            <w:pPr>
              <w:pStyle w:val="NoSpacing"/>
              <w:rPr>
                <w:rFonts w:asciiTheme="minorHAnsi" w:hAnsiTheme="minorHAnsi" w:cstheme="minorHAnsi"/>
              </w:rPr>
            </w:pPr>
            <w:r>
              <w:rPr>
                <w:rFonts w:asciiTheme="minorHAnsi" w:hAnsiTheme="minorHAnsi" w:cstheme="minorHAnsi"/>
              </w:rPr>
              <w:t>14,612.24</w:t>
            </w:r>
          </w:p>
        </w:tc>
        <w:tc>
          <w:tcPr>
            <w:tcW w:w="2338" w:type="dxa"/>
          </w:tcPr>
          <w:p w14:paraId="7E94E3D4" w14:textId="793A90CD" w:rsidR="00021C12" w:rsidRPr="007444B3" w:rsidRDefault="00450D5D" w:rsidP="00013920">
            <w:pPr>
              <w:pStyle w:val="NoSpacing"/>
              <w:rPr>
                <w:rFonts w:asciiTheme="minorHAnsi" w:hAnsiTheme="minorHAnsi" w:cstheme="minorHAnsi"/>
              </w:rPr>
            </w:pPr>
            <w:r>
              <w:rPr>
                <w:rFonts w:asciiTheme="minorHAnsi" w:hAnsiTheme="minorHAnsi" w:cstheme="minorHAnsi"/>
              </w:rPr>
              <w:t>97.41</w:t>
            </w:r>
          </w:p>
        </w:tc>
      </w:tr>
      <w:tr w:rsidR="00021C12" w:rsidRPr="007444B3" w14:paraId="09371A51" w14:textId="77777777" w:rsidTr="00013920">
        <w:tc>
          <w:tcPr>
            <w:tcW w:w="2337" w:type="dxa"/>
          </w:tcPr>
          <w:p w14:paraId="4CFCAC1B"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Custodial Supplies</w:t>
            </w:r>
          </w:p>
        </w:tc>
        <w:tc>
          <w:tcPr>
            <w:tcW w:w="2337" w:type="dxa"/>
          </w:tcPr>
          <w:p w14:paraId="14635E21" w14:textId="77777777" w:rsidR="00021C12" w:rsidRPr="007444B3" w:rsidRDefault="00021C12" w:rsidP="00013920">
            <w:pPr>
              <w:pStyle w:val="NoSpacing"/>
              <w:rPr>
                <w:rFonts w:asciiTheme="minorHAnsi" w:hAnsiTheme="minorHAnsi" w:cstheme="minorHAnsi"/>
              </w:rPr>
            </w:pPr>
            <w:r w:rsidRPr="007444B3">
              <w:rPr>
                <w:rFonts w:asciiTheme="minorHAnsi" w:hAnsiTheme="minorHAnsi" w:cstheme="minorHAnsi"/>
              </w:rPr>
              <w:t>5,000</w:t>
            </w:r>
          </w:p>
        </w:tc>
        <w:tc>
          <w:tcPr>
            <w:tcW w:w="2338" w:type="dxa"/>
          </w:tcPr>
          <w:p w14:paraId="431ED50E" w14:textId="283EDD42" w:rsidR="00021C12" w:rsidRPr="007444B3" w:rsidRDefault="00450D5D" w:rsidP="00013920">
            <w:pPr>
              <w:pStyle w:val="NoSpacing"/>
              <w:rPr>
                <w:rFonts w:asciiTheme="minorHAnsi" w:hAnsiTheme="minorHAnsi" w:cstheme="minorHAnsi"/>
              </w:rPr>
            </w:pPr>
            <w:r>
              <w:rPr>
                <w:rFonts w:asciiTheme="minorHAnsi" w:hAnsiTheme="minorHAnsi" w:cstheme="minorHAnsi"/>
              </w:rPr>
              <w:t>4,946.09</w:t>
            </w:r>
          </w:p>
        </w:tc>
        <w:tc>
          <w:tcPr>
            <w:tcW w:w="2338" w:type="dxa"/>
          </w:tcPr>
          <w:p w14:paraId="10E0555A" w14:textId="228FA66D" w:rsidR="00021C12" w:rsidRPr="007444B3" w:rsidRDefault="00450D5D" w:rsidP="00013920">
            <w:pPr>
              <w:pStyle w:val="NoSpacing"/>
              <w:rPr>
                <w:rFonts w:asciiTheme="minorHAnsi" w:hAnsiTheme="minorHAnsi" w:cstheme="minorHAnsi"/>
              </w:rPr>
            </w:pPr>
            <w:r>
              <w:rPr>
                <w:rFonts w:asciiTheme="minorHAnsi" w:hAnsiTheme="minorHAnsi" w:cstheme="minorHAnsi"/>
              </w:rPr>
              <w:t>98.92</w:t>
            </w:r>
          </w:p>
        </w:tc>
      </w:tr>
    </w:tbl>
    <w:p w14:paraId="21F946E1" w14:textId="77777777" w:rsidR="00021C12" w:rsidRDefault="00021C12" w:rsidP="00021C12"/>
    <w:p w14:paraId="7320FB14" w14:textId="77777777" w:rsidR="00021C12" w:rsidRDefault="00021C12" w:rsidP="00021C12">
      <w:r>
        <w:t>Respectfully submitted,</w:t>
      </w:r>
    </w:p>
    <w:p w14:paraId="534D2A32" w14:textId="77777777" w:rsidR="003B4929" w:rsidRDefault="003B4929" w:rsidP="00021C12"/>
    <w:p w14:paraId="5258AAC9" w14:textId="77777777" w:rsidR="003B4929" w:rsidRDefault="003B4929" w:rsidP="00021C12">
      <w:r>
        <w:t>Dory Lewis</w:t>
      </w:r>
    </w:p>
    <w:sectPr w:rsidR="003B4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4CF4"/>
    <w:multiLevelType w:val="hybridMultilevel"/>
    <w:tmpl w:val="FB0A53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884DDB"/>
    <w:multiLevelType w:val="hybridMultilevel"/>
    <w:tmpl w:val="EB26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51356"/>
    <w:multiLevelType w:val="hybridMultilevel"/>
    <w:tmpl w:val="DC7E8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5D2CC0"/>
    <w:multiLevelType w:val="hybridMultilevel"/>
    <w:tmpl w:val="31D4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24581"/>
    <w:multiLevelType w:val="hybridMultilevel"/>
    <w:tmpl w:val="82AE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483A"/>
    <w:multiLevelType w:val="hybridMultilevel"/>
    <w:tmpl w:val="53A8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72F8F"/>
    <w:multiLevelType w:val="hybridMultilevel"/>
    <w:tmpl w:val="8DB0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4"/>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12"/>
    <w:rsid w:val="00021C12"/>
    <w:rsid w:val="00057554"/>
    <w:rsid w:val="000932EF"/>
    <w:rsid w:val="001917C5"/>
    <w:rsid w:val="001D3E00"/>
    <w:rsid w:val="002A334D"/>
    <w:rsid w:val="003114D3"/>
    <w:rsid w:val="00350719"/>
    <w:rsid w:val="00393ABF"/>
    <w:rsid w:val="003B4929"/>
    <w:rsid w:val="003D3E73"/>
    <w:rsid w:val="00450D5D"/>
    <w:rsid w:val="005F204B"/>
    <w:rsid w:val="0073279B"/>
    <w:rsid w:val="0073604A"/>
    <w:rsid w:val="007E3A3D"/>
    <w:rsid w:val="008804A6"/>
    <w:rsid w:val="008940BA"/>
    <w:rsid w:val="009445C0"/>
    <w:rsid w:val="009A6B42"/>
    <w:rsid w:val="009F3EC3"/>
    <w:rsid w:val="00BB266A"/>
    <w:rsid w:val="00C224B0"/>
    <w:rsid w:val="00E86EDC"/>
    <w:rsid w:val="00F9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E32C"/>
  <w15:chartTrackingRefBased/>
  <w15:docId w15:val="{C9551927-A337-4FD2-8130-308662A9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C1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021C12"/>
    <w:rPr>
      <w:rFonts w:ascii="Times New Roman" w:hAnsi="Times New Roman" w:cs="Times New Roman"/>
      <w:sz w:val="24"/>
      <w:szCs w:val="24"/>
    </w:rPr>
  </w:style>
  <w:style w:type="character" w:customStyle="1" w:styleId="mark2jc58ogi7">
    <w:name w:val="mark2jc58ogi7"/>
    <w:basedOn w:val="DefaultParagraphFont"/>
    <w:rsid w:val="00021C12"/>
  </w:style>
  <w:style w:type="character" w:customStyle="1" w:styleId="markg4yzj80ih">
    <w:name w:val="markg4yzj80ih"/>
    <w:basedOn w:val="DefaultParagraphFont"/>
    <w:rsid w:val="00021C12"/>
  </w:style>
  <w:style w:type="paragraph" w:styleId="NoSpacing">
    <w:name w:val="No Spacing"/>
    <w:uiPriority w:val="1"/>
    <w:qFormat/>
    <w:rsid w:val="00021C12"/>
    <w:pPr>
      <w:spacing w:after="0" w:line="240" w:lineRule="auto"/>
    </w:pPr>
    <w:rPr>
      <w:rFonts w:ascii="Calibri" w:hAnsi="Calibri" w:cs="Calibri"/>
    </w:rPr>
  </w:style>
  <w:style w:type="paragraph" w:styleId="ListParagraph">
    <w:name w:val="List Paragraph"/>
    <w:basedOn w:val="Normal"/>
    <w:uiPriority w:val="34"/>
    <w:qFormat/>
    <w:rsid w:val="00021C12"/>
    <w:pPr>
      <w:ind w:left="720"/>
      <w:contextualSpacing/>
    </w:pPr>
  </w:style>
  <w:style w:type="table" w:styleId="TableGrid">
    <w:name w:val="Table Grid"/>
    <w:basedOn w:val="TableNormal"/>
    <w:uiPriority w:val="39"/>
    <w:rsid w:val="00021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B266A"/>
    <w:rPr>
      <w:color w:val="0000FF"/>
      <w:u w:val="single"/>
    </w:rPr>
  </w:style>
  <w:style w:type="character" w:styleId="Emphasis">
    <w:name w:val="Emphasis"/>
    <w:basedOn w:val="DefaultParagraphFont"/>
    <w:uiPriority w:val="20"/>
    <w:qFormat/>
    <w:rsid w:val="003D3E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6310">
      <w:bodyDiv w:val="1"/>
      <w:marLeft w:val="0"/>
      <w:marRight w:val="0"/>
      <w:marTop w:val="0"/>
      <w:marBottom w:val="0"/>
      <w:divBdr>
        <w:top w:val="none" w:sz="0" w:space="0" w:color="auto"/>
        <w:left w:val="none" w:sz="0" w:space="0" w:color="auto"/>
        <w:bottom w:val="none" w:sz="0" w:space="0" w:color="auto"/>
        <w:right w:val="none" w:sz="0" w:space="0" w:color="auto"/>
      </w:divBdr>
    </w:div>
    <w:div w:id="315840678">
      <w:bodyDiv w:val="1"/>
      <w:marLeft w:val="0"/>
      <w:marRight w:val="0"/>
      <w:marTop w:val="0"/>
      <w:marBottom w:val="0"/>
      <w:divBdr>
        <w:top w:val="none" w:sz="0" w:space="0" w:color="auto"/>
        <w:left w:val="none" w:sz="0" w:space="0" w:color="auto"/>
        <w:bottom w:val="none" w:sz="0" w:space="0" w:color="auto"/>
        <w:right w:val="none" w:sz="0" w:space="0" w:color="auto"/>
      </w:divBdr>
    </w:div>
    <w:div w:id="586184389">
      <w:bodyDiv w:val="1"/>
      <w:marLeft w:val="0"/>
      <w:marRight w:val="0"/>
      <w:marTop w:val="0"/>
      <w:marBottom w:val="0"/>
      <w:divBdr>
        <w:top w:val="none" w:sz="0" w:space="0" w:color="auto"/>
        <w:left w:val="none" w:sz="0" w:space="0" w:color="auto"/>
        <w:bottom w:val="none" w:sz="0" w:space="0" w:color="auto"/>
        <w:right w:val="none" w:sz="0" w:space="0" w:color="auto"/>
      </w:divBdr>
    </w:div>
    <w:div w:id="611547148">
      <w:bodyDiv w:val="1"/>
      <w:marLeft w:val="0"/>
      <w:marRight w:val="0"/>
      <w:marTop w:val="0"/>
      <w:marBottom w:val="0"/>
      <w:divBdr>
        <w:top w:val="none" w:sz="0" w:space="0" w:color="auto"/>
        <w:left w:val="none" w:sz="0" w:space="0" w:color="auto"/>
        <w:bottom w:val="none" w:sz="0" w:space="0" w:color="auto"/>
        <w:right w:val="none" w:sz="0" w:space="0" w:color="auto"/>
      </w:divBdr>
    </w:div>
    <w:div w:id="1793087426">
      <w:bodyDiv w:val="1"/>
      <w:marLeft w:val="0"/>
      <w:marRight w:val="0"/>
      <w:marTop w:val="0"/>
      <w:marBottom w:val="0"/>
      <w:divBdr>
        <w:top w:val="none" w:sz="0" w:space="0" w:color="auto"/>
        <w:left w:val="none" w:sz="0" w:space="0" w:color="auto"/>
        <w:bottom w:val="none" w:sz="0" w:space="0" w:color="auto"/>
        <w:right w:val="none" w:sz="0" w:space="0" w:color="auto"/>
      </w:divBdr>
    </w:div>
    <w:div w:id="197355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City of Lowell</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Dory</dc:creator>
  <cp:keywords/>
  <dc:description/>
  <cp:lastModifiedBy>Lewis, Dory</cp:lastModifiedBy>
  <cp:revision>7</cp:revision>
  <dcterms:created xsi:type="dcterms:W3CDTF">2022-06-06T17:16:00Z</dcterms:created>
  <dcterms:modified xsi:type="dcterms:W3CDTF">2022-06-07T16:07:00Z</dcterms:modified>
</cp:coreProperties>
</file>