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Bdr>
          <w:bottom w:val="single" w:color="1F3864" w:sz="8" w:space="4"/>
        </w:pBdr>
        <w:spacing w:after="160" w:before="340"/>
      </w:pPr>
      <w:r>
        <w:rPr>
          <w:rFonts w:ascii="Calibri" w:cs="Calibri" w:eastAsia="Calibri" w:hAnsi="Calibri"/>
          <w:b/>
          <w:bCs/>
          <w:color w:val="1F3864"/>
          <w:sz w:val="30"/>
          <w:szCs w:val="30"/>
        </w:rPr>
        <w:t xml:space="preserve">Immediate Transportation Security Actions</w:t>
      </w:r>
    </w:p>
    <w:p>
      <w:pPr>
        <w:spacing w:after="160" w:before="0" w:line="276"/>
      </w:pPr>
      <w:r>
        <w:rPr>
          <w:rFonts w:ascii="Calibri" w:cs="Calibri" w:eastAsia="Calibri" w:hAnsi="Calibri"/>
          <w:i/>
          <w:iCs/>
          <w:color w:val="525252"/>
          <w:sz w:val="18"/>
          <w:szCs w:val="18"/>
        </w:rPr>
        <w:t xml:space="preserve">One-page annex to "U.S. Transportation Security Implications of the 2026 Water-Sector Cyberattacks" · Cutoff 2 August 2026</w:t>
      </w:r>
    </w:p>
    <w:p>
      <w:pPr>
        <w:spacing w:after="80" w:before="0" w:line="276"/>
      </w:pPr>
      <w:r>
        <w:rPr>
          <w:rFonts w:ascii="Calibri" w:cs="Calibri" w:eastAsia="Calibri" w:hAnsi="Calibri"/>
          <w:sz w:val="17"/>
          <w:szCs w:val="17"/>
        </w:rPr>
        <w:t xml:space="preserve">Situation.</w:t>
      </w:r>
      <w:r>
        <w:rPr>
          <w:rFonts w:ascii="Calibri" w:cs="Calibri" w:eastAsia="Calibri" w:hAnsi="Calibri"/>
          <w:sz w:val="17"/>
          <w:szCs w:val="17"/>
        </w:rPr>
        <w:t xml:space="preserve"> Since 27 July 2026, malicious cyber actors have disrupted water and wastewater operational technology in at least seven states — changing controller addresses and passwords, causing loss of monitoring and control, pressure loss, flooding, boil-water notices, and sustained manual operations. One utility also found modified controller logic across several sites, so the activity is not only the noisy kind. No U.S. transportation facility has been publicly reported as affected, but the targeted devices are general-purpose industrial controllers used throughout transportation. No federal attribution of these incidents exists.</w:t>
      </w:r>
    </w:p>
    <w:p>
      <w:pPr>
        <w:spacing w:after="60" w:before="0" w:line="276"/>
      </w:pPr>
      <w:r>
        <w:rPr>
          <w:rFonts w:ascii="Calibri" w:cs="Calibri" w:eastAsia="Calibri" w:hAnsi="Calibri"/>
          <w:sz w:val="17"/>
          <w:szCs w:val="17"/>
        </w:rPr>
        <w:t xml:space="preserve">Bottom line.</w:t>
      </w:r>
      <w:r>
        <w:rPr>
          <w:rFonts w:ascii="Calibri" w:cs="Calibri" w:eastAsia="Calibri" w:hAnsi="Calibri"/>
          <w:sz w:val="17"/>
          <w:szCs w:val="17"/>
        </w:rPr>
        <w:t xml:space="preserve"> The steps below are identical regardless of who is responsible. Do not wait for attribution.</w:t>
      </w:r>
    </w:p>
    <w:p>
      <w:pPr>
        <w:pStyle w:val="Heading3"/>
        <w:keepNext/>
        <w:spacing w:after="90" w:before="190"/>
      </w:pPr>
      <w:r>
        <w:rPr>
          <w:rFonts w:ascii="Calibri" w:cs="Calibri" w:eastAsia="Calibri" w:hAnsi="Calibri"/>
          <w:b/>
          <w:bCs/>
          <w:color w:val="2F2F2F"/>
          <w:sz w:val="21"/>
          <w:szCs w:val="21"/>
        </w:rPr>
        <w:t xml:space="preserve">Three questions to answer in 72 hours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468"/>
        <w:gridCol w:w="3744"/>
        <w:gridCol w:w="5148"/>
      </w:tblGrid>
      <w:tr>
        <w:trPr>
          <w:tblHeader/>
        </w:trPr>
        <w:tc>
          <w:tcPr>
            <w:tcW w:type="dxa" w:w="468"/>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w:t>
            </w:r>
          </w:p>
        </w:tc>
        <w:tc>
          <w:tcPr>
            <w:tcW w:type="dxa" w:w="3744"/>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Question</w:t>
            </w:r>
          </w:p>
        </w:tc>
        <w:tc>
          <w:tcPr>
            <w:tcW w:type="dxa" w:w="5148"/>
            <w:shd w:fill="1F3864" w:color="auto" w:val="clear"/>
            <w:tcMar>
              <w:top w:type="dxa" w:w="60"/>
              <w:left w:type="dxa" w:w="90"/>
              <w:bottom w:type="dxa" w:w="60"/>
              <w:right w:type="dxa" w:w="90"/>
            </w:tcMar>
            <w:vAlign w:val="top"/>
          </w:tcPr>
          <w:p>
            <w:pPr>
              <w:spacing w:after="0" w:line="240"/>
            </w:pPr>
            <w:r>
              <w:rPr>
                <w:rFonts w:ascii="Calibri" w:cs="Calibri" w:eastAsia="Calibri" w:hAnsi="Calibri"/>
                <w:b/>
                <w:bCs/>
                <w:color w:val="FFFFFF"/>
                <w:sz w:val="15"/>
                <w:szCs w:val="15"/>
              </w:rPr>
              <w:t xml:space="preserve">How to answer it</w:t>
            </w:r>
          </w:p>
        </w:tc>
      </w:tr>
      <w:tr>
        <w:tc>
          <w:tcPr>
            <w:tcW w:type="dxa" w:w="468"/>
            <w:tcMar>
              <w:top w:type="dxa" w:w="60"/>
              <w:left w:type="dxa" w:w="90"/>
              <w:bottom w:type="dxa" w:w="60"/>
              <w:right w:type="dxa" w:w="90"/>
            </w:tcMar>
            <w:vAlign w:val="top"/>
          </w:tcPr>
          <w:p>
            <w:pPr>
              <w:spacing w:after="0" w:line="240"/>
            </w:pPr>
            <w:r>
              <w:rPr>
                <w:rFonts w:ascii="Calibri" w:cs="Calibri" w:eastAsia="Calibri" w:hAnsi="Calibri"/>
                <w:sz w:val="15"/>
                <w:szCs w:val="15"/>
              </w:rPr>
              <w:t xml:space="preserve">1</w:t>
            </w:r>
          </w:p>
        </w:tc>
        <w:tc>
          <w:tcPr>
            <w:tcW w:type="dxa" w:w="3744"/>
            <w:tcMar>
              <w:top w:type="dxa" w:w="60"/>
              <w:left w:type="dxa" w:w="90"/>
              <w:bottom w:type="dxa" w:w="60"/>
              <w:right w:type="dxa" w:w="90"/>
            </w:tcMar>
            <w:vAlign w:val="top"/>
          </w:tcPr>
          <w:p>
            <w:pPr>
              <w:spacing w:after="0" w:line="240"/>
            </w:pPr>
            <w:r>
              <w:rPr>
                <w:rFonts w:ascii="Calibri" w:cs="Calibri" w:eastAsia="Calibri" w:hAnsi="Calibri"/>
                <w:sz w:val="15"/>
                <w:szCs w:val="15"/>
              </w:rPr>
              <w:t xml:space="preserve">Which facilities sit inside the service area of an affected or at-risk water utility?</w:t>
            </w:r>
          </w:p>
        </w:tc>
        <w:tc>
          <w:tcPr>
            <w:tcW w:type="dxa" w:w="5148"/>
            <w:tcMar>
              <w:top w:type="dxa" w:w="60"/>
              <w:left w:type="dxa" w:w="90"/>
              <w:bottom w:type="dxa" w:w="60"/>
              <w:right w:type="dxa" w:w="90"/>
            </w:tcMar>
            <w:vAlign w:val="top"/>
          </w:tcPr>
          <w:p>
            <w:pPr>
              <w:spacing w:after="0" w:line="240"/>
            </w:pPr>
            <w:r>
              <w:rPr>
                <w:rFonts w:ascii="Calibri" w:cs="Calibri" w:eastAsia="Calibri" w:hAnsi="Calibri"/>
                <w:sz w:val="15"/>
                <w:szCs w:val="15"/>
              </w:rPr>
              <w:t xml:space="preserve">Ask the serving utility, state primacy agency, and emergency management. Affected states are not public — do not wait for a federal list.</w:t>
            </w:r>
          </w:p>
        </w:tc>
      </w:tr>
      <w:tr>
        <w:tc>
          <w:tcPr>
            <w:tcW w:type="dxa" w:w="468"/>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2</w:t>
            </w:r>
          </w:p>
        </w:tc>
        <w:tc>
          <w:tcPr>
            <w:tcW w:type="dxa" w:w="3744"/>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Are any controllers or operator interfaces reachable from the internet, including via cellular modems we did not install?</w:t>
            </w:r>
          </w:p>
        </w:tc>
        <w:tc>
          <w:tcPr>
            <w:tcW w:type="dxa" w:w="5148"/>
            <w:shd w:fill="F2F5FA" w:color="auto" w:val="clear"/>
            <w:tcMar>
              <w:top w:type="dxa" w:w="60"/>
              <w:left w:type="dxa" w:w="90"/>
              <w:bottom w:type="dxa" w:w="60"/>
              <w:right w:type="dxa" w:w="90"/>
            </w:tcMar>
            <w:vAlign w:val="top"/>
          </w:tcPr>
          <w:p>
            <w:pPr>
              <w:spacing w:after="0" w:line="240"/>
            </w:pPr>
            <w:r>
              <w:rPr>
                <w:rFonts w:ascii="Calibri" w:cs="Calibri" w:eastAsia="Calibri" w:hAnsi="Calibri"/>
                <w:sz w:val="15"/>
                <w:szCs w:val="15"/>
              </w:rPr>
              <w:t xml:space="preserve">Physical and logical asset survey at field sites. CISA warned that vendor- or integrator-installed modems may be absent from routine attack-surface scans. This is the highest-value finding available to you.</w:t>
            </w:r>
          </w:p>
        </w:tc>
      </w:tr>
      <w:tr>
        <w:tc>
          <w:tcPr>
            <w:tcW w:type="dxa" w:w="468"/>
            <w:tcMar>
              <w:top w:type="dxa" w:w="60"/>
              <w:left w:type="dxa" w:w="90"/>
              <w:bottom w:type="dxa" w:w="60"/>
              <w:right w:type="dxa" w:w="90"/>
            </w:tcMar>
            <w:vAlign w:val="top"/>
          </w:tcPr>
          <w:p>
            <w:pPr>
              <w:spacing w:after="0" w:line="240"/>
            </w:pPr>
            <w:r>
              <w:rPr>
                <w:rFonts w:ascii="Calibri" w:cs="Calibri" w:eastAsia="Calibri" w:hAnsi="Calibri"/>
                <w:sz w:val="15"/>
                <w:szCs w:val="15"/>
              </w:rPr>
              <w:t xml:space="preserve">3</w:t>
            </w:r>
          </w:p>
        </w:tc>
        <w:tc>
          <w:tcPr>
            <w:tcW w:type="dxa" w:w="3744"/>
            <w:tcMar>
              <w:top w:type="dxa" w:w="60"/>
              <w:left w:type="dxa" w:w="90"/>
              <w:bottom w:type="dxa" w:w="60"/>
              <w:right w:type="dxa" w:w="90"/>
            </w:tcMar>
            <w:vAlign w:val="top"/>
          </w:tcPr>
          <w:p>
            <w:pPr>
              <w:spacing w:after="0" w:line="240"/>
            </w:pPr>
            <w:r>
              <w:rPr>
                <w:rFonts w:ascii="Calibri" w:cs="Calibri" w:eastAsia="Calibri" w:hAnsi="Calibri"/>
                <w:sz w:val="15"/>
                <w:szCs w:val="15"/>
              </w:rPr>
              <w:t xml:space="preserve">Does our fire protection draw from the municipal main, or from dedicated storage and independent pumps?</w:t>
            </w:r>
          </w:p>
        </w:tc>
        <w:tc>
          <w:tcPr>
            <w:tcW w:type="dxa" w:w="5148"/>
            <w:tcMar>
              <w:top w:type="dxa" w:w="60"/>
              <w:left w:type="dxa" w:w="90"/>
              <w:bottom w:type="dxa" w:w="60"/>
              <w:right w:type="dxa" w:w="90"/>
            </w:tcMar>
            <w:vAlign w:val="top"/>
          </w:tcPr>
          <w:p>
            <w:pPr>
              <w:spacing w:after="0" w:line="240"/>
            </w:pPr>
            <w:r>
              <w:rPr>
                <w:rFonts w:ascii="Calibri" w:cs="Calibri" w:eastAsia="Calibri" w:hAnsi="Calibri"/>
                <w:sz w:val="15"/>
                <w:szCs w:val="15"/>
              </w:rPr>
              <w:t xml:space="preserve">This sorts you into one of two tiers. On the main: fire flow is a single point of failure that can close you fast. Independently supplied: that risk is decoupled and your exposure is duration instead. Confirm with the fire authority having jurisdiction, who makes the occupancy call.</w:t>
            </w:r>
          </w:p>
        </w:tc>
      </w:tr>
    </w:tbl>
    <w:p>
      <w:pPr>
        <w:spacing w:after="160" w:before="0" w:line="276"/>
      </w:pPr>
      <w:r>
        <w:rPr>
          <w:rFonts w:ascii="Calibri" w:cs="Calibri" w:eastAsia="Calibri" w:hAnsi="Calibri"/>
          <w:sz w:val="21"/>
          <w:szCs w:val="21"/>
        </w:rPr>
        <w:t xml:space="preserve"/>
      </w:r>
    </w:p>
    <w:p>
      <w:pPr>
        <w:pStyle w:val="Heading3"/>
        <w:keepNext/>
        <w:spacing w:after="90" w:before="190"/>
      </w:pPr>
      <w:r>
        <w:rPr>
          <w:rFonts w:ascii="Calibri" w:cs="Calibri" w:eastAsia="Calibri" w:hAnsi="Calibri"/>
          <w:b/>
          <w:bCs/>
          <w:color w:val="2F2F2F"/>
          <w:sz w:val="21"/>
          <w:szCs w:val="21"/>
        </w:rPr>
        <w:t xml:space="preserve">Act now: zero to twenty-four hours</w:t>
      </w:r>
    </w:p>
    <w:p>
      <w:pPr>
        <w:pStyle w:val="ListParagraph"/>
        <w:numPr>
          <w:ilvl w:val="0"/>
          <w:numId w:val="1"/>
        </w:numPr>
        <w:spacing w:after="40" w:line="240"/>
      </w:pPr>
      <w:r>
        <w:rPr>
          <w:rFonts w:ascii="Calibri" w:cs="Calibri" w:eastAsia="Calibri" w:hAnsi="Calibri"/>
          <w:b/>
          <w:bCs/>
          <w:sz w:val="17"/>
          <w:szCs w:val="17"/>
        </w:rPr>
        <w:t xml:space="preserve">Remove controllers from direct internet exposure</w:t>
      </w:r>
      <w:r>
        <w:rPr>
          <w:rFonts w:ascii="Calibri" w:cs="Calibri" w:eastAsia="Calibri" w:hAnsi="Calibri"/>
          <w:sz w:val="17"/>
          <w:szCs w:val="17"/>
        </w:rPr>
        <w:t xml:space="preserve"> via secure gateway and firewall; restrict traffic to authorized devices. This removes the precondition for the entire threat.</w:t>
      </w:r>
    </w:p>
    <w:p>
      <w:pPr>
        <w:pStyle w:val="ListParagraph"/>
        <w:numPr>
          <w:ilvl w:val="0"/>
          <w:numId w:val="1"/>
        </w:numPr>
        <w:spacing w:after="40" w:line="240"/>
      </w:pPr>
      <w:r>
        <w:rPr>
          <w:rFonts w:ascii="Calibri" w:cs="Calibri" w:eastAsia="Calibri" w:hAnsi="Calibri"/>
          <w:b/>
          <w:bCs/>
          <w:sz w:val="17"/>
          <w:szCs w:val="17"/>
        </w:rPr>
        <w:t xml:space="preserve">Find and isolate undocumented remote access,</w:t>
      </w:r>
      <w:r>
        <w:rPr>
          <w:rFonts w:ascii="Calibri" w:cs="Calibri" w:eastAsia="Calibri" w:hAnsi="Calibri"/>
          <w:sz w:val="17"/>
          <w:szCs w:val="17"/>
        </w:rPr>
        <w:t xml:space="preserve"> especially cellular modems at unstaffed sites — pump and lift stations, wayside rail equipment, roadside cabinets, navigation aids, pipeline sites.</w:t>
      </w:r>
    </w:p>
    <w:p>
      <w:pPr>
        <w:pStyle w:val="ListParagraph"/>
        <w:numPr>
          <w:ilvl w:val="0"/>
          <w:numId w:val="1"/>
        </w:numPr>
        <w:spacing w:after="40" w:line="240"/>
      </w:pPr>
      <w:r>
        <w:rPr>
          <w:rFonts w:ascii="Calibri" w:cs="Calibri" w:eastAsia="Calibri" w:hAnsi="Calibri"/>
          <w:b/>
          <w:bCs/>
          <w:sz w:val="17"/>
          <w:szCs w:val="17"/>
        </w:rPr>
        <w:t xml:space="preserve">Place mode-switch controllers in the run position — after validating the loaded project file,</w:t>
      </w:r>
      <w:r>
        <w:rPr>
          <w:rFonts w:ascii="Calibri" w:cs="Calibri" w:eastAsia="Calibri" w:hAnsi="Calibri"/>
          <w:sz w:val="17"/>
          <w:szCs w:val="17"/>
        </w:rPr>
        <w:t xml:space="preserve"> because changing modes locks in whatever program is on the device.</w:t>
      </w:r>
    </w:p>
    <w:p>
      <w:pPr>
        <w:pStyle w:val="ListParagraph"/>
        <w:numPr>
          <w:ilvl w:val="0"/>
          <w:numId w:val="1"/>
        </w:numPr>
        <w:spacing w:after="40" w:line="240"/>
      </w:pPr>
      <w:r>
        <w:rPr>
          <w:rFonts w:ascii="Calibri" w:cs="Calibri" w:eastAsia="Calibri" w:hAnsi="Calibri"/>
          <w:b/>
          <w:bCs/>
          <w:sz w:val="17"/>
          <w:szCs w:val="17"/>
        </w:rPr>
        <w:t xml:space="preserve">Verify controller logic against known-good copies</w:t>
      </w:r>
      <w:r>
        <w:rPr>
          <w:rFonts w:ascii="Calibri" w:cs="Calibri" w:eastAsia="Calibri" w:hAnsi="Calibri"/>
          <w:sz w:val="17"/>
          <w:szCs w:val="17"/>
        </w:rPr>
        <w:t xml:space="preserve"> using vendor integrity tools; check reusable code blocks. Confirm any backup is clean before restoring.</w:t>
      </w:r>
    </w:p>
    <w:p>
      <w:pPr>
        <w:pStyle w:val="ListParagraph"/>
        <w:numPr>
          <w:ilvl w:val="0"/>
          <w:numId w:val="1"/>
        </w:numPr>
        <w:spacing w:after="40" w:line="240"/>
      </w:pPr>
      <w:r>
        <w:rPr>
          <w:rFonts w:ascii="Calibri" w:cs="Calibri" w:eastAsia="Calibri" w:hAnsi="Calibri"/>
          <w:b/>
          <w:bCs/>
          <w:sz w:val="17"/>
          <w:szCs w:val="17"/>
        </w:rPr>
        <w:t xml:space="preserve">Confirm manual operating capability:</w:t>
      </w:r>
      <w:r>
        <w:rPr>
          <w:rFonts w:ascii="Calibri" w:cs="Calibri" w:eastAsia="Calibri" w:hAnsi="Calibri"/>
          <w:sz w:val="17"/>
          <w:szCs w:val="17"/>
        </w:rPr>
        <w:t xml:space="preserve"> does the procedure exist, is it current, and is there staff on shift who has actually performed it? This was the single variable that determined severity at the affected water utilities.</w:t>
      </w:r>
    </w:p>
    <w:p>
      <w:pPr>
        <w:pStyle w:val="ListParagraph"/>
        <w:numPr>
          <w:ilvl w:val="0"/>
          <w:numId w:val="1"/>
        </w:numPr>
        <w:spacing w:after="40" w:line="240"/>
      </w:pPr>
      <w:r>
        <w:rPr>
          <w:rFonts w:ascii="Calibri" w:cs="Calibri" w:eastAsia="Calibri" w:hAnsi="Calibri"/>
          <w:b/>
          <w:bCs/>
          <w:sz w:val="17"/>
          <w:szCs w:val="17"/>
        </w:rPr>
        <w:t xml:space="preserve">Verify water continuity:</w:t>
      </w:r>
      <w:r>
        <w:rPr>
          <w:rFonts w:ascii="Calibri" w:cs="Calibri" w:eastAsia="Calibri" w:hAnsi="Calibri"/>
          <w:sz w:val="17"/>
          <w:szCs w:val="17"/>
        </w:rPr>
        <w:t xml:space="preserve"> storage volume, alternate supply, sanitation contingency, wastewater capacity, and the documented closure threshold. If none is documented, set one now rather than during an event.</w:t>
      </w:r>
    </w:p>
    <w:p>
      <w:pPr>
        <w:pStyle w:val="ListParagraph"/>
        <w:numPr>
          <w:ilvl w:val="0"/>
          <w:numId w:val="1"/>
        </w:numPr>
        <w:spacing w:after="40" w:line="240"/>
      </w:pPr>
      <w:r>
        <w:rPr>
          <w:rFonts w:ascii="Calibri" w:cs="Calibri" w:eastAsia="Calibri" w:hAnsi="Calibri"/>
          <w:b/>
          <w:bCs/>
          <w:sz w:val="17"/>
          <w:szCs w:val="17"/>
        </w:rPr>
        <w:t xml:space="preserve">Open a reporting path to transportation-security leadership.</w:t>
      </w:r>
      <w:r>
        <w:rPr>
          <w:rFonts w:ascii="Calibri" w:cs="Calibri" w:eastAsia="Calibri" w:hAnsi="Calibri"/>
          <w:sz w:val="17"/>
          <w:szCs w:val="17"/>
        </w:rPr>
        <w:t xml:space="preserve"> A utility-caused disruption is otherwise handled as a facilities matter and reaches no one seeing the national picture.</w:t>
      </w:r>
    </w:p>
    <w:p>
      <w:pPr>
        <w:pStyle w:val="Heading3"/>
        <w:keepNext/>
        <w:spacing w:after="90" w:before="190"/>
      </w:pPr>
      <w:r>
        <w:rPr>
          <w:rFonts w:ascii="Calibri" w:cs="Calibri" w:eastAsia="Calibri" w:hAnsi="Calibri"/>
          <w:b/>
          <w:bCs/>
          <w:color w:val="2F2F2F"/>
          <w:sz w:val="21"/>
          <w:szCs w:val="21"/>
        </w:rPr>
        <w:t xml:space="preserve">Watch for — and avoid</w:t>
      </w:r>
    </w:p>
    <w:p>
      <w:pPr>
        <w:pStyle w:val="ListParagraph"/>
        <w:numPr>
          <w:ilvl w:val="0"/>
          <w:numId w:val="1"/>
        </w:numPr>
        <w:spacing w:after="40" w:line="240"/>
      </w:pPr>
      <w:r>
        <w:rPr>
          <w:rFonts w:ascii="Calibri" w:cs="Calibri" w:eastAsia="Calibri" w:hAnsi="Calibri"/>
          <w:b/>
          <w:bCs/>
          <w:sz w:val="17"/>
          <w:szCs w:val="17"/>
        </w:rPr>
        <w:t xml:space="preserve">Watch:</w:t>
      </w:r>
      <w:r>
        <w:rPr>
          <w:rFonts w:ascii="Calibri" w:cs="Calibri" w:eastAsia="Calibri" w:hAnsi="Calibri"/>
          <w:sz w:val="17"/>
          <w:szCs w:val="17"/>
        </w:rPr>
        <w:t xml:space="preserve"> utilities in your corridor going manual or issuing pressure, flooding, or boil-water notices (hours of lead time); controller mode changes, project-file discrepancies, disabled alarms, or anomalous modem traffic in your systems (act immediately); displays that disagree with independent physical observation.</w:t>
      </w:r>
    </w:p>
    <w:p>
      <w:pPr>
        <w:pStyle w:val="ListParagraph"/>
        <w:numPr>
          <w:ilvl w:val="0"/>
          <w:numId w:val="1"/>
        </w:numPr>
        <w:spacing w:after="40" w:line="240"/>
      </w:pPr>
      <w:r>
        <w:rPr>
          <w:rFonts w:ascii="Calibri" w:cs="Calibri" w:eastAsia="Calibri" w:hAnsi="Calibri"/>
          <w:b/>
          <w:bCs/>
          <w:sz w:val="17"/>
          <w:szCs w:val="17"/>
        </w:rPr>
        <w:t xml:space="preserve">Avoid:</w:t>
      </w:r>
      <w:r>
        <w:rPr>
          <w:rFonts w:ascii="Calibri" w:cs="Calibri" w:eastAsia="Calibri" w:hAnsi="Calibri"/>
          <w:sz w:val="17"/>
          <w:szCs w:val="17"/>
        </w:rPr>
        <w:t xml:space="preserve"> treating absence of an alarm — or absence of an obvious lockout — as assurance. Covert logic manipulation is reported alongside the overt lockouts, so a facility that looks untouched has not thereby been cleared — reported tradecraft includes suppressing alarms and manipulating displays, so verify critical readings against something not on the network. Do not treat a threat-actor claim as a warning order. Do not assume the largest facilities are most exposed; single-utility facilities without independent fire water are the priority regardless of size. Do not delay verification pending attribution, and if your mode sits outside TSA security-directive coverage, do not wait to be formally asked — for aviation, transit, maritime, and logistics the fastest route is the operator acting on its own initiative.</w:t>
      </w:r>
    </w:p>
    <w:p>
      <w:pPr>
        <w:spacing w:after="0" w:before="60" w:line="276"/>
      </w:pPr>
      <w:r>
        <w:rPr>
          <w:rFonts w:ascii="Calibri" w:cs="Calibri" w:eastAsia="Calibri" w:hAnsi="Calibri"/>
          <w:color w:val="525252"/>
          <w:sz w:val="14"/>
          <w:szCs w:val="14"/>
        </w:rPr>
        <w:t xml:space="preserve">Independent open-source analysis — not an official U.S. government product;</w:t>
      </w:r>
      <w:r>
        <w:rPr>
          <w:rFonts w:ascii="Calibri" w:cs="Calibri" w:eastAsia="Calibri" w:hAnsi="Calibri"/>
          <w:color w:val="525252"/>
          <w:sz w:val="14"/>
          <w:szCs w:val="14"/>
        </w:rPr>
        <w:t xml:space="preserve"> not produced, reviewed, or approved by TSA, DHS, or any federal agency. Sources: FBI/EPA PSA I-073026-PSA and CISA alert (both 30 Jul 2026); Joint Advisory AA26-097A (7 Apr 2026, upd. 22 Jul 2026); MNIT (28 Jul 2026). Full citations in the parent assessment.</w:t>
      </w:r>
    </w:p>
    <w:sectPr>
      <w:headerReference w:type="default" r:id="rId7"/>
      <w:footerReference w:type="default" r:id="rId8"/>
      <w:pgSz w:w="12240" w:h="15840" w:orient="portrait"/>
      <w:pgMar w:top="700" w:right="700" w:bottom="700" w:left="70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spacing w:before="60"/>
      <w:jc w:val="center"/>
    </w:pPr>
    <w:r>
      <w:rPr>
        <w:rFonts w:ascii="Calibri" w:cs="Calibri" w:eastAsia="Calibri" w:hAnsi="Calibri"/>
        <w:color w:val="595959"/>
        <w:sz w:val="15"/>
        <w:szCs w:val="15"/>
      </w:rPr>
      <w:t xml:space="preserve">OPEN-SOURCE ANALYSIS — NOT AN OFFICIAL U.S. GOVERNMENT PRODUCT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spacing w:after="60"/>
      <w:jc w:val="center"/>
    </w:pPr>
    <w:r>
      <w:rPr>
        <w:rFonts w:ascii="Calibri" w:cs="Calibri" w:eastAsia="Calibri" w:hAnsi="Calibri"/>
        <w:b/>
        <w:bCs/>
        <w:color w:val="8B1A1A"/>
        <w:sz w:val="15"/>
        <w:szCs w:val="15"/>
      </w:rPr>
      <w:t xml:space="preserve">OPEN-SOURCE ANALYSIS — NOT AN OFFICIAL U.S. GOVERNMENT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2026-08-02T20:25:16.505Z</dcterms:created>
  <dcterms:modified xsi:type="dcterms:W3CDTF">2026-08-02T20:25:16.505Z</dcterms:modified>
</cp:coreProperties>
</file>

<file path=docProps/custom.xml><?xml version="1.0" encoding="utf-8"?>
<Properties xmlns="http://schemas.openxmlformats.org/officeDocument/2006/custom-properties" xmlns:vt="http://schemas.openxmlformats.org/officeDocument/2006/docPropsVTypes"/>
</file>