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line="276"/>
      </w:pPr>
      <w:r>
        <w:rPr>
          <w:rFonts w:ascii="Calibri" w:cs="Calibri" w:eastAsia="Calibri" w:hAnsi="Calibri"/>
          <w:sz w:val="21"/>
          <w:szCs w:val="21"/>
        </w:rPr>
        <w:t xml:space="preserve"/>
      </w:r>
    </w:p>
    <w:p>
      <w:pPr>
        <w:shd w:fill="8B1A1A" w:color="auto" w:val="clear"/>
        <w:spacing w:after="200" w:before="120"/>
        <w:jc w:val="center"/>
      </w:pPr>
      <w:r>
        <w:rPr>
          <w:rFonts w:ascii="Calibri" w:cs="Calibri" w:eastAsia="Calibri" w:hAnsi="Calibri"/>
          <w:b/>
          <w:bCs/>
          <w:color w:val="FFFFFF"/>
          <w:sz w:val="19"/>
          <w:szCs w:val="19"/>
        </w:rPr>
        <w:t xml:space="preserve">OPEN-SOURCE ANALYSIS — NOT AN OFFICIAL U.S. GOVERNMENT PRODUCT</w:t>
      </w:r>
    </w:p>
    <w:p>
      <w:pPr>
        <w:spacing w:after="300" w:before="0" w:line="276"/>
      </w:pPr>
      <w:r>
        <w:rPr>
          <w:rFonts w:ascii="Calibri" w:cs="Calibri" w:eastAsia="Calibri" w:hAnsi="Calibri"/>
          <w:sz w:val="21"/>
          <w:szCs w:val="21"/>
        </w:rPr>
        <w:t xml:space="preserve"/>
      </w:r>
    </w:p>
    <w:p>
      <w:pPr>
        <w:spacing w:after="120" w:before="0"/>
        <w:jc w:val="center"/>
      </w:pPr>
      <w:r>
        <w:rPr>
          <w:rFonts w:ascii="Calibri" w:cs="Calibri" w:eastAsia="Calibri" w:hAnsi="Calibri"/>
          <w:b/>
          <w:bCs/>
          <w:color w:val="1F3864"/>
          <w:sz w:val="40"/>
          <w:szCs w:val="40"/>
        </w:rPr>
        <w:t xml:space="preserve">U.S. Transportation Security Implications of the 2026 Water-Sector Cyberattacks</w:t>
      </w:r>
    </w:p>
    <w:p>
      <w:pPr>
        <w:spacing w:after="200"/>
        <w:jc w:val="center"/>
      </w:pPr>
      <w:r>
        <w:rPr>
          <w:rFonts w:ascii="Calibri" w:cs="Calibri" w:eastAsia="Calibri" w:hAnsi="Calibri"/>
          <w:color w:val="404040"/>
          <w:sz w:val="24"/>
          <w:szCs w:val="24"/>
        </w:rPr>
        <w:t xml:space="preserve">A strategic, operational, cross-sector, and risk-management assessment</w:t>
      </w:r>
    </w:p>
    <w:p>
      <w:pPr>
        <w:spacing w:after="300" w:before="0" w:line="276"/>
      </w:pPr>
      <w:r>
        <w:rPr>
          <w:rFonts w:ascii="Calibri" w:cs="Calibri" w:eastAsia="Calibri" w:hAnsi="Calibri"/>
          <w:sz w:val="21"/>
          <w:szCs w:val="21"/>
        </w:rPr>
        <w:t xml:space="preserve"/>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34"/>
        <w:gridCol w:w="6926"/>
      </w:tblGrid>
      <w:tr>
        <w:tc>
          <w:tcPr>
            <w:tcW w:type="dxa" w:w="2434"/>
            <w:tcMar>
              <w:top w:type="dxa" w:w="60"/>
              <w:left w:type="dxa" w:w="90"/>
              <w:bottom w:type="dxa" w:w="60"/>
              <w:right w:type="dxa" w:w="90"/>
            </w:tcMar>
            <w:vAlign w:val="top"/>
          </w:tcPr>
          <w:p>
            <w:pPr>
              <w:spacing w:after="0" w:line="240"/>
            </w:pPr>
            <w:r>
              <w:rPr>
                <w:rFonts w:ascii="Calibri" w:cs="Calibri" w:eastAsia="Calibri" w:hAnsi="Calibri"/>
                <w:sz w:val="18"/>
                <w:szCs w:val="18"/>
              </w:rPr>
              <w:t xml:space="preserve">Product type</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8"/>
                <w:szCs w:val="18"/>
              </w:rPr>
              <w:t xml:space="preserve">Open source assessment. Independent analysis prepared outside official channels.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Date of information</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This assessment reflects information publicly available through 2 August 2026, 6:00 p.m. Eastern Daylight Time. Because the incident is ongoing, the number of affected entities, operational consequences, and attribution judgments may change. New reporting should be evaluated against the confidence and source standards described in the methodology section.</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8"/>
                <w:szCs w:val="18"/>
              </w:rPr>
              <w:t xml:space="preserve">Purpose</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8"/>
                <w:szCs w:val="18"/>
              </w:rPr>
              <w:t xml:space="preserve">Assess how reported cyberattacks against U.S. water and wastewater systems could affect the security, safety, resilience, continuity, and operating posture of the U.S. transportation system.</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Intended readers</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Senior federal transportation-security leadership, modal regulators, state and local partners, and critical-infrastructure owners and operators.</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8"/>
                <w:szCs w:val="18"/>
              </w:rPr>
              <w:t xml:space="preserve">Analytic standards</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8"/>
                <w:szCs w:val="18"/>
              </w:rPr>
              <w:t xml:space="preserve">Intelligence Community Directive (ICD) 203 analytic tradecraft standards, ICD 206 sourcing standards, Office of Management and Budget (OMB) risk-assessment guidance, and Structured Analytic Techniques (SATs) are applied as professional methodology. Their use is not a claim of official standing.</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Handling</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8"/>
                <w:szCs w:val="18"/>
              </w:rPr>
              <w:t xml:space="preserve">All source material is publicly available and unrestricted. No classified, sensitive security information (SSI), or for-official-use-only material was used or is contained in this product.</w:t>
            </w:r>
          </w:p>
        </w:tc>
      </w:tr>
    </w:tbl>
    <w:p>
      <w:pPr>
        <w:spacing w:after="160" w:before="0" w:line="276"/>
      </w:pPr>
      <w:r>
        <w:rPr>
          <w:rFonts w:ascii="Calibri" w:cs="Calibri" w:eastAsia="Calibri" w:hAnsi="Calibri"/>
          <w:sz w:val="21"/>
          <w:szCs w:val="21"/>
        </w:rPr>
        <w:t xml:space="preserve"/>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b/>
          <w:bCs/>
          <w:sz w:val="19"/>
          <w:szCs w:val="19"/>
        </w:rPr>
        <w:t xml:space="preserve">Central analytic caveat. The reported incidents and operational effects are confirmed at varying levels. Attribution to Iran remains an analytic judgment reported by press sources citing unnamed officials, not an established public fact and not a published U.S. government attribution for the July 2026 water-sector incidents. This assessment preserves that distinction throughout. Where this product says "reportedly" or "assessed," the underlying claim has not been confirmed by an authoritative source.</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Executive summary</w:t>
      </w:r>
    </w:p>
    <w:p>
      <w:pPr>
        <w:spacing w:after="140" w:before="0" w:line="276"/>
      </w:pPr>
      <w:r>
        <w:rPr>
          <w:rFonts w:ascii="Calibri" w:cs="Calibri" w:eastAsia="Calibri" w:hAnsi="Calibri"/>
          <w:sz w:val="21"/>
          <w:szCs w:val="21"/>
        </w:rPr>
        <w:t xml:space="preserve">Between 26 and 31 July 2026, malicious cyber actors disrupted operational technology at water and wastewater utilities in at least seven U.S. states. The Federal Bureau of Investigation (FBI) and the Environmental Protection Agency (EPA) issued a public service announcement on 30 July describing remote tampering with internet-facing programmable logic controllers, with reported effects including loss of pressure and flooding.</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The Cybersecurity and Infrastructure Security Agency (CISA) issued a parallel alert the same day reporting a significant increase in this activity, including boil-water notices and sustained manual operations at affected utilities.</w:t>
      </w:r>
      <w:r>
        <w:rPr>
          <w:rFonts w:ascii="Calibri" w:cs="Calibri" w:eastAsia="Calibri" w:hAnsi="Calibri"/>
          <w:sz w:val="21"/>
          <w:szCs w:val="21"/>
          <w:vertAlign w:val="superscript"/>
        </w:rPr>
        <w:t xml:space="preserve">2</w:t>
      </w:r>
      <w:r>
        <w:rPr>
          <w:rFonts w:ascii="Calibri" w:cs="Calibri" w:eastAsia="Calibri" w:hAnsi="Calibri"/>
          <w:sz w:val="21"/>
          <w:szCs w:val="21"/>
        </w:rPr>
        <w:t xml:space="preserve"> Minnesota reported the largest single cluster: more than thirty community water systems targeted on 26 and 27 July.</w:t>
      </w:r>
      <w:r>
        <w:rPr>
          <w:rFonts w:ascii="Calibri" w:cs="Calibri" w:eastAsia="Calibri" w:hAnsi="Calibri"/>
          <w:sz w:val="21"/>
          <w:szCs w:val="21"/>
          <w:vertAlign w:val="superscript"/>
        </w:rPr>
        <w:t xml:space="preserve">6</w:t>
      </w:r>
    </w:p>
    <w:p>
      <w:pPr>
        <w:spacing w:after="140" w:before="0" w:line="276"/>
      </w:pPr>
      <w:r>
        <w:rPr>
          <w:rFonts w:ascii="Calibri" w:cs="Calibri" w:eastAsia="Calibri" w:hAnsi="Calibri"/>
          <w:sz w:val="21"/>
          <w:szCs w:val="21"/>
        </w:rPr>
        <w:t xml:space="preserve">This assessment addresses one question: what does that mean for the U.S. transportation system? The short answer has three parts.</w:t>
      </w:r>
    </w:p>
    <w:p>
      <w:pPr>
        <w:spacing w:after="140" w:before="0" w:line="276"/>
      </w:pPr>
      <w:r>
        <w:rPr>
          <w:rFonts w:ascii="Calibri" w:cs="Calibri" w:eastAsia="Calibri" w:hAnsi="Calibri"/>
          <w:sz w:val="21"/>
          <w:szCs w:val="21"/>
        </w:rPr>
        <w:t xml:space="preserve">No transportation facility has been publicly reported as affected.</w:t>
      </w:r>
      <w:r>
        <w:rPr>
          <w:rFonts w:ascii="Calibri" w:cs="Calibri" w:eastAsia="Calibri" w:hAnsi="Calibri"/>
          <w:sz w:val="21"/>
          <w:szCs w:val="21"/>
        </w:rPr>
        <w:t xml:space="preserve"> As of the information cutoff, no U.S. airport, seaport, rail system, transit agency, pipeline, or logistics facility has been publicly identified as suffering a service disruption arising from these incidents, and no transportation-sector operational technology has been publicly reported as compromised in this campaign. That is a finding, not a gap to be filled with inference. The analysis below describes plausible pathways and their consequences; it does not assert a connection that the evidence does not support.</w:t>
      </w:r>
    </w:p>
    <w:p>
      <w:pPr>
        <w:spacing w:after="140" w:before="0" w:line="276"/>
      </w:pPr>
      <w:r>
        <w:rPr>
          <w:rFonts w:ascii="Calibri" w:cs="Calibri" w:eastAsia="Calibri" w:hAnsi="Calibri"/>
          <w:sz w:val="21"/>
          <w:szCs w:val="21"/>
        </w:rPr>
        <w:t xml:space="preserve">The water-dependency pathway is bounded in short events and unbounded in long ones.</w:t>
      </w:r>
      <w:r>
        <w:rPr>
          <w:rFonts w:ascii="Calibri" w:cs="Calibri" w:eastAsia="Calibri" w:hAnsi="Calibri"/>
          <w:sz w:val="21"/>
          <w:szCs w:val="21"/>
        </w:rPr>
        <w:t xml:space="preserve"> The empirical record of water loss at large transportation facilities is reasonably good for short-duration incidents, and it points consistently in one direction: losing water degrades habitability, sanitation, and concessions long before it degrades the movement of aircraft, trains, ships, or trucks. When London Gatwick Airport lost its water supply across both terminals on 26 July 2026 — the same weekend as the Minnesota incidents, and from an unrelated treatment-plant power failure — nearly every post-security toilet closed and food outlets shut, but flights departed as scheduled.</w:t>
      </w:r>
      <w:r>
        <w:rPr>
          <w:rFonts w:ascii="Calibri" w:cs="Calibri" w:eastAsia="Calibri" w:hAnsi="Calibri"/>
          <w:sz w:val="21"/>
          <w:szCs w:val="21"/>
          <w:vertAlign w:val="superscript"/>
        </w:rPr>
        <w:t xml:space="preserve">21</w:t>
      </w:r>
      <w:r>
        <w:rPr>
          <w:rFonts w:ascii="Calibri" w:cs="Calibri" w:eastAsia="Calibri" w:hAnsi="Calibri"/>
          <w:sz w:val="21"/>
          <w:szCs w:val="21"/>
        </w:rPr>
        <w:t xml:space="preserve"> That record does not extend to multi-day adversarial events, and it should not be read as though it does. Every observed case resolved on a repair timeline; a cyber incident in which manipulated controller logic must be validated before service is trusted can run considerably longer, and sustained loss of worker sanitation or of cooling in high heat engages occupational-health and habitability limits that brief outages never reach. The dependency that binds soonest is fire suppression — but only where a facility draws its fire water from the municipal main. Facilities holding dedicated fire-water storage or independent pumps are decoupled from that mechanism and would fail by the slower route instead. Which of those two tiers a facility occupies is the first thing its operator should establish, and it is knowable today.</w:t>
      </w:r>
    </w:p>
    <w:p>
      <w:pPr>
        <w:spacing w:after="140" w:before="0" w:line="276"/>
      </w:pPr>
      <w:r>
        <w:rPr>
          <w:rFonts w:ascii="Calibri" w:cs="Calibri" w:eastAsia="Calibri" w:hAnsi="Calibri"/>
          <w:sz w:val="21"/>
          <w:szCs w:val="21"/>
        </w:rPr>
        <w:t xml:space="preserve">The shared-technology pathway matters more than the water-dependency pathway.</w:t>
      </w:r>
      <w:r>
        <w:rPr>
          <w:rFonts w:ascii="Calibri" w:cs="Calibri" w:eastAsia="Calibri" w:hAnsi="Calibri"/>
          <w:sz w:val="21"/>
          <w:szCs w:val="21"/>
        </w:rPr>
        <w:t xml:space="preserve"> The controllers being targeted are not water-sector equipment. They are general-purpose industrial controllers used across transportation for tunnel ventilation and drainage pumping, movable-bridge machinery, lock and dam operation, fuel handling, baggage systems, and building services. The joint advisory covering the attributed Iranian campaign describes its own scope as potentially all internet-exposed programmable logic controllers, and names Rockwell Automation, Schneider Electric, and Siemens equipment.</w:t>
      </w:r>
      <w:r>
        <w:rPr>
          <w:rFonts w:ascii="Calibri" w:cs="Calibri" w:eastAsia="Calibri" w:hAnsi="Calibri"/>
          <w:sz w:val="21"/>
          <w:szCs w:val="21"/>
          <w:vertAlign w:val="superscript"/>
        </w:rPr>
        <w:t xml:space="preserve">3</w:t>
      </w:r>
      <w:r>
        <w:rPr>
          <w:rFonts w:ascii="Calibri" w:cs="Calibri" w:eastAsia="Calibri" w:hAnsi="Calibri"/>
          <w:sz w:val="21"/>
          <w:szCs w:val="21"/>
        </w:rPr>
        <w:t xml:space="preserve"> The exposure condition that made water utilities reachable — controllers on the public internet, often through undocumented cellular modems installed by vendors or integrators — is a condition transportation owners and operators can check for in their own environments this week. That is the most actionable finding in this assessment.</w:t>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b/>
          <w:bCs/>
          <w:sz w:val="19"/>
          <w:szCs w:val="19"/>
        </w:rPr>
        <w:t xml:space="preserve">Single most actionable step: find the remote access nobody documented. CISA warned that this targeting includes cellular modems installed by operators, vendors, or system integrators that may not be documented or included in routine attack-surface scans, and that even organizations with mature cybersecurity processes should re-validate their external connections. Transportation field sites depend on exactly that connectivity pattern — remote pump and lift stations, wayside rail equipment, roadside cabinets, navigation aids, unstaffed pipeline facilities. An undocumented modem is a finding regardless of anyone's intent, it can be located by physical and logical survey within days using staff who already exist, and removing it addresses the highest-consequence pathway identified in this assessment. No other action on the list returns as much for as little.</w:t>
      </w:r>
    </w:p>
    <w:p>
      <w:pPr>
        <w:spacing w:after="140" w:before="0" w:line="276"/>
      </w:pPr>
      <w:r>
        <w:rPr>
          <w:rFonts w:ascii="Calibri" w:cs="Calibri" w:eastAsia="Calibri" w:hAnsi="Calibri"/>
          <w:sz w:val="21"/>
          <w:szCs w:val="21"/>
        </w:rPr>
        <w:t xml:space="preserve">Two features of the July activity deserve senior attention because they change what "a cyber incident at a utility" means operationally. First, the 22 July update to joint advisory AA26-097A reports that in at least one case the actors loaded a modified controller program that preserved normal downstream function while overriding the instructions that keep the process within safe operating limits, and that changes disabled shutdown and alarm logic so systems could enter unsafe conditions without alerting operators.</w:t>
      </w:r>
      <w:r>
        <w:rPr>
          <w:rFonts w:ascii="Calibri" w:cs="Calibri" w:eastAsia="Calibri" w:hAnsi="Calibri"/>
          <w:sz w:val="21"/>
          <w:szCs w:val="21"/>
          <w:vertAlign w:val="superscript"/>
        </w:rPr>
        <w:t xml:space="preserve">3</w:t>
      </w:r>
      <w:r>
        <w:rPr>
          <w:rFonts w:ascii="Calibri" w:cs="Calibri" w:eastAsia="Calibri" w:hAnsi="Calibri"/>
          <w:sz w:val="21"/>
          <w:szCs w:val="21"/>
        </w:rPr>
        <w:t xml:space="preserve"> An incident of that kind does not announce itself. Second, CISA specifically warned that even organizations with mature cybersecurity should re-validate external connections, because the targeting includes cellular modems installed by operators, vendors, or integrators that may not appear in routine attack-surface scans.</w:t>
      </w:r>
      <w:r>
        <w:rPr>
          <w:rFonts w:ascii="Calibri" w:cs="Calibri" w:eastAsia="Calibri" w:hAnsi="Calibri"/>
          <w:sz w:val="21"/>
          <w:szCs w:val="21"/>
          <w:vertAlign w:val="superscript"/>
        </w:rPr>
        <w:t xml:space="preserve">2</w:t>
      </w:r>
      <w:r>
        <w:rPr>
          <w:rFonts w:ascii="Calibri" w:cs="Calibri" w:eastAsia="Calibri" w:hAnsi="Calibri"/>
          <w:sz w:val="21"/>
          <w:szCs w:val="21"/>
        </w:rPr>
        <w:t xml:space="preserve"> Both points transfer directly to transportation field equipment.</w:t>
      </w:r>
    </w:p>
    <w:p>
      <w:pPr>
        <w:spacing w:after="140" w:before="0" w:line="276"/>
      </w:pPr>
      <w:r>
        <w:rPr>
          <w:rFonts w:ascii="Calibri" w:cs="Calibri" w:eastAsia="Calibri" w:hAnsi="Calibri"/>
          <w:sz w:val="21"/>
          <w:szCs w:val="21"/>
        </w:rPr>
        <w:t xml:space="preserve">Against a ninety-day horizon ending 31 October 2026, this assessment judges it almost certain (95–99 percent) that attempted targeting of U.S. water-sector operational technology continues, very likely (80–95 percent) that at least one additional utility suffers operational degradation, roughly an even chance (45–55 percent) that some U.S. transportation facility experiences a water or wastewater service disruption traceable to a cyber incident at its serving utility, and unlikely (20–45 percent) that any such disruption produces measurable transportation service impact beyond sanitation and concessions. Actual malicious contamination of a public water supply causing documented public-health harm at a transportation facility is judged to have almost no chance (1–5 percent) in that window. The full set of judgments, with their reasoning and the assumptions that drive them, appears in the risk characterization section.</w:t>
      </w:r>
    </w:p>
    <w:p>
      <w:pPr>
        <w:spacing w:after="140" w:before="0" w:line="276"/>
      </w:pPr>
      <w:r>
        <w:rPr>
          <w:rFonts w:ascii="Calibri" w:cs="Calibri" w:eastAsia="Calibri" w:hAnsi="Calibri"/>
          <w:sz w:val="21"/>
          <w:szCs w:val="21"/>
        </w:rPr>
        <w:t xml:space="preserve">The recommended posture is therefore not alarm. It is a short, specific, and time-bounded verification effort: find out which transportation facilities sit inside affected or at-risk utility service areas, find out whether transportation-sector controllers are internet-reachable, and find out whether fire-suppression water is assured where terminal occupancy depends on it. Those three questions are answerable within seventy-two hours by organizations that already have the authority to ask them.</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Key findings</w:t>
      </w:r>
    </w:p>
    <w:p>
      <w:pPr>
        <w:spacing w:after="140" w:before="0" w:line="276"/>
      </w:pPr>
      <w:r>
        <w:rPr>
          <w:rFonts w:ascii="Calibri" w:cs="Calibri" w:eastAsia="Calibri" w:hAnsi="Calibri"/>
          <w:sz w:val="21"/>
          <w:szCs w:val="21"/>
        </w:rPr>
        <w:t xml:space="preserve">Each finding is stated in one sentence, followed by the reasoning, the primary evidence, and the principal uncertainty or competing explanation. Confidence levels follow Intelligence Community convention and are defined in Appendix B. Confidence describes how much weight the evidence and reasoning can bear; it is not a probability.</w:t>
      </w:r>
    </w:p>
    <w:p>
      <w:pPr>
        <w:keepNext/>
        <w:spacing w:after="60" w:before="200"/>
      </w:pPr>
      <w:r>
        <w:rPr>
          <w:rFonts w:ascii="Calibri" w:cs="Calibri" w:eastAsia="Calibri" w:hAnsi="Calibri"/>
          <w:b/>
          <w:bCs/>
          <w:color w:val="1F3864"/>
          <w:sz w:val="22"/>
          <w:szCs w:val="22"/>
        </w:rPr>
        <w:t xml:space="preserve">1. No Reported Transportation Impact To Date</w:t>
      </w:r>
    </w:p>
    <w:p>
      <w:pPr>
        <w:spacing w:after="60" w:before="0" w:line="276"/>
      </w:pPr>
      <w:r>
        <w:rPr>
          <w:rFonts w:ascii="Calibri" w:cs="Calibri" w:eastAsia="Calibri" w:hAnsi="Calibri"/>
          <w:sz w:val="21"/>
          <w:szCs w:val="21"/>
        </w:rPr>
        <w:t xml:space="preserve">As of 2 August 2026 no U.S. transportation facility has been publicly reported as experiencing a service disruption arising from the 2026 water-sector cyberattacks, and no transportation-sector operational technology has been publicly reported as compromised in this campaign.</w:t>
      </w:r>
    </w:p>
    <w:p>
      <w:pPr>
        <w:spacing w:after="180" w:before="0" w:line="276"/>
      </w:pPr>
      <w:r>
        <w:rPr>
          <w:rFonts w:ascii="Calibri" w:cs="Calibri" w:eastAsia="Calibri" w:hAnsi="Calibri"/>
          <w:color w:val="525252"/>
          <w:sz w:val="18"/>
          <w:szCs w:val="18"/>
        </w:rPr>
        <w:t xml:space="preserve">Confidence: high. Evidence: federal alerts name only the water and wastewater sector; the April and July joint advisory identifies affected sectors as Government Services and Facilities, Water and Wastewater Systems, and Energy, and does not list Transportation Systems.</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vertAlign w:val="superscript"/>
        </w:rPr>
        <w:t xml:space="preserve">2</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Principal uncertainty: absence of public reporting is not absence of effect. Federal authorities have not identified which seven states reported incidents, transportation operators are not required to report water-service degradation at their facilities, and a compromise designed to suppress alarms would by construction be slow to surface.</w:t>
      </w:r>
    </w:p>
    <w:p>
      <w:pPr>
        <w:keepNext/>
        <w:spacing w:after="60" w:before="200"/>
      </w:pPr>
      <w:r>
        <w:rPr>
          <w:rFonts w:ascii="Calibri" w:cs="Calibri" w:eastAsia="Calibri" w:hAnsi="Calibri"/>
          <w:b/>
          <w:bCs/>
          <w:color w:val="1F3864"/>
          <w:sz w:val="22"/>
          <w:szCs w:val="22"/>
        </w:rPr>
        <w:t xml:space="preserve">2. In Short Events, Water Loss Degrades Transportation Facilities Without Stopping Them</w:t>
      </w:r>
    </w:p>
    <w:p>
      <w:pPr>
        <w:spacing w:after="60" w:before="0" w:line="276"/>
      </w:pPr>
      <w:r>
        <w:rPr>
          <w:rFonts w:ascii="Calibri" w:cs="Calibri" w:eastAsia="Calibri" w:hAnsi="Calibri"/>
          <w:sz w:val="21"/>
          <w:szCs w:val="21"/>
        </w:rPr>
        <w:t xml:space="preserve">In short-duration events, loss of potable water and wastewater service degrades sanitation, habitability, food service, and passenger experience without halting the movement of aircraft, trains, vessels, or vehicles; a multi-day loss is a different problem, and the observed record does not bound it.</w:t>
      </w:r>
    </w:p>
    <w:p>
      <w:pPr>
        <w:spacing w:after="180" w:before="0" w:line="276"/>
      </w:pPr>
      <w:r>
        <w:rPr>
          <w:rFonts w:ascii="Calibri" w:cs="Calibri" w:eastAsia="Calibri" w:hAnsi="Calibri"/>
          <w:color w:val="525252"/>
          <w:sz w:val="18"/>
          <w:szCs w:val="18"/>
        </w:rPr>
        <w:t xml:space="preserve">Confidence: high for aviation, moderate for other modes. Evidence: London Gatwick Airport lost water across both terminals on 26 July 2026 after a treatment-works power failure; most post-security toilets and many food outlets closed, bottled water was distributed, and flights operated as scheduled.</w:t>
      </w:r>
      <w:r>
        <w:rPr>
          <w:rFonts w:ascii="Calibri" w:cs="Calibri" w:eastAsia="Calibri" w:hAnsi="Calibri"/>
          <w:color w:val="525252"/>
          <w:sz w:val="18"/>
          <w:szCs w:val="18"/>
          <w:vertAlign w:val="superscript"/>
        </w:rPr>
        <w:t xml:space="preserve">21</w:t>
      </w:r>
      <w:r>
        <w:rPr>
          <w:rFonts w:ascii="Calibri" w:cs="Calibri" w:eastAsia="Calibri" w:hAnsi="Calibri"/>
          <w:color w:val="525252"/>
          <w:sz w:val="18"/>
          <w:szCs w:val="18"/>
        </w:rPr>
        <w:t xml:space="preserve"> Wilmington International Airport operated under a precautionary boil advisory with bottled water and reduced menu service while remaining open.</w:t>
      </w:r>
      <w:r>
        <w:rPr>
          <w:rFonts w:ascii="Calibri" w:cs="Calibri" w:eastAsia="Calibri" w:hAnsi="Calibri"/>
          <w:color w:val="525252"/>
          <w:sz w:val="18"/>
          <w:szCs w:val="18"/>
          <w:vertAlign w:val="superscript"/>
        </w:rPr>
        <w:t xml:space="preserve">22</w:t>
      </w:r>
      <w:r>
        <w:rPr>
          <w:rFonts w:ascii="Calibri" w:cs="Calibri" w:eastAsia="Calibri" w:hAnsi="Calibri"/>
          <w:color w:val="525252"/>
          <w:sz w:val="18"/>
          <w:szCs w:val="18"/>
        </w:rPr>
        <w:t xml:space="preserve"> Orlando International Airport lost restroom and fountain service in two terminals pre-security while gate-area facilities remained available and the third terminal was unaffected.</w:t>
      </w:r>
      <w:r>
        <w:rPr>
          <w:rFonts w:ascii="Calibri" w:cs="Calibri" w:eastAsia="Calibri" w:hAnsi="Calibri"/>
          <w:color w:val="525252"/>
          <w:sz w:val="18"/>
          <w:szCs w:val="18"/>
          <w:vertAlign w:val="superscript"/>
        </w:rPr>
        <w:t xml:space="preserve">24</w:t>
      </w:r>
      <w:r>
        <w:rPr>
          <w:rFonts w:ascii="Calibri" w:cs="Calibri" w:eastAsia="Calibri" w:hAnsi="Calibri"/>
          <w:color w:val="525252"/>
          <w:sz w:val="18"/>
          <w:szCs w:val="18"/>
        </w:rPr>
        <w:t xml:space="preserve"> Principal uncertainty: every observed case was short, single-facility, non-adversarial, and resolved on a repair timeline rather than on the timeline of establishing that manipulated controller logic can be trusted, which the federal record indicates is the slower of the two.</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Three effects accumulate over a longer event and are untested by these cases: sustained loss of worker sanitation, which engages occupational-health requirements attaching to employees rather than passengers and can force a staffing decision independent of whether vehicles can move; loss of cooling where chilled-water systems draw on the same supply, which during high ambient temperature degrades terminal habitability and equipment spaces together; and the cumulative burden of portable substitution, which works initially and scales poorly across successive days at passenger volume. Confidence is therefore high for events resolved within roughly a day and low beyond that, and lower throughout for maritime and rail because comparable public cases are sparser. This finding should not be quoted without its duration qualifier.</w:t>
      </w:r>
    </w:p>
    <w:p>
      <w:pPr>
        <w:keepNext/>
        <w:spacing w:after="60" w:before="200"/>
      </w:pPr>
      <w:r>
        <w:rPr>
          <w:rFonts w:ascii="Calibri" w:cs="Calibri" w:eastAsia="Calibri" w:hAnsi="Calibri"/>
          <w:b/>
          <w:bCs/>
          <w:color w:val="1F3864"/>
          <w:sz w:val="22"/>
          <w:szCs w:val="22"/>
        </w:rPr>
        <w:t xml:space="preserve">3. Fire Suppression Binds Only Where It Is Not Independently Supplied</w:t>
      </w:r>
    </w:p>
    <w:p>
      <w:pPr>
        <w:spacing w:after="60" w:before="0" w:line="276"/>
      </w:pPr>
      <w:r>
        <w:rPr>
          <w:rFonts w:ascii="Calibri" w:cs="Calibri" w:eastAsia="Calibri" w:hAnsi="Calibri"/>
          <w:sz w:val="21"/>
          <w:szCs w:val="21"/>
        </w:rPr>
        <w:t xml:space="preserve">For facilities drawing fire protection from the municipal main, fire flow is the water dependency most likely to force a rapid closure decision; for facilities holding dedicated fire-water storage or independent pumps that mechanism is largely decoupled, and the binding constraint shifts to the slower accumulation of sanitation and cooling loss described in Key Finding 2.</w:t>
      </w:r>
    </w:p>
    <w:p>
      <w:pPr>
        <w:spacing w:after="180" w:before="0" w:line="276"/>
      </w:pPr>
      <w:r>
        <w:rPr>
          <w:rFonts w:ascii="Calibri" w:cs="Calibri" w:eastAsia="Calibri" w:hAnsi="Calibri"/>
          <w:color w:val="525252"/>
          <w:sz w:val="18"/>
          <w:szCs w:val="18"/>
        </w:rPr>
        <w:t xml:space="preserve">Confidence: moderate. Evidence: the FBI and EPA report loss of pressure as a confirmed operational effect of the July activity.</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rPr>
        <w:t xml:space="preserve"> Fire-protection systems in large public assembly and transportation occupancies depend on municipal supply pressure, on-site storage, or fire pumps, and authorities having jurisdiction routinely impose watch requirements, occupancy limits, or shutdown when fire-protection systems are impaired. The practical consequence is that this finding sorts facilities into two tiers rather than applying uniformly across a mode. Facilities without independent fire water face a single point of failure that can close them quickly, and that population skews toward smaller and mid-tier facilities, which are also the ones with the thinnest engineering staff and the least alternate supply. Large hubs that hold dedicated storage or independent pumps are insulated from this specific mechanism; for them the governing constraint is duration rather than pressure. Principal uncertainty: this is an analytic judgment about mechanism rather than an observed outcome in this campaign, and the proportion of transportation facilities holding independent fire water is not publicly known. The tier a given facility occupies is not a research question — its operator can answer it immediately, and doing so is listed among the immediate actions.</w:t>
      </w:r>
    </w:p>
    <w:p>
      <w:pPr>
        <w:keepNext/>
        <w:spacing w:after="60" w:before="200"/>
      </w:pPr>
      <w:r>
        <w:rPr>
          <w:rFonts w:ascii="Calibri" w:cs="Calibri" w:eastAsia="Calibri" w:hAnsi="Calibri"/>
          <w:b/>
          <w:bCs/>
          <w:color w:val="1F3864"/>
          <w:sz w:val="22"/>
          <w:szCs w:val="22"/>
        </w:rPr>
        <w:t xml:space="preserve">4. Shared Controller Technology Is The More Consequential Pathway</w:t>
      </w:r>
    </w:p>
    <w:p>
      <w:pPr>
        <w:spacing w:after="60" w:before="0" w:line="276"/>
      </w:pPr>
      <w:r>
        <w:rPr>
          <w:rFonts w:ascii="Calibri" w:cs="Calibri" w:eastAsia="Calibri" w:hAnsi="Calibri"/>
          <w:sz w:val="21"/>
          <w:szCs w:val="21"/>
        </w:rPr>
        <w:t xml:space="preserve">The direct-compromise pathway — transportation operational technology exposed in the same way as water-sector operational technology — carries greater potential consequence for transportation than the water-dependency pathway, because it can affect functions that are themselves safety-critical rather than functions that are merely supporting.</w:t>
      </w:r>
    </w:p>
    <w:p>
      <w:pPr>
        <w:spacing w:after="180" w:before="0" w:line="276"/>
      </w:pPr>
      <w:r>
        <w:rPr>
          <w:rFonts w:ascii="Calibri" w:cs="Calibri" w:eastAsia="Calibri" w:hAnsi="Calibri"/>
          <w:color w:val="525252"/>
          <w:sz w:val="18"/>
          <w:szCs w:val="18"/>
        </w:rPr>
        <w:t xml:space="preserve">Confidence: moderate. Evidence: the targeted devices are general-purpose industrial controllers, not water-specific equipment; the joint advisory describes affected products as potentially all internet-exposed programmable logic controllers and names Rockwell Automation, Schneider Electric, and Siemens.</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The FBI states that while it observed the July water-sector behavior only on Rockwell MicroLogix 1100 and 1400 devices, similar considerations apply to other branded controllers.</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rPr>
        <w:t xml:space="preserve"> Transportation uses the same device families for tunnel ventilation and drainage, movable-bridge and lock machinery, fueling, and baggage handling. Principal uncertainty: no public data establishes how much transportation-sector controller exposure actually exists, whether transportation integrators overlap with water-sector integrators, or whether these actors have shown any targeting interest in transportation operational technology. The judgment rests on shared technology and shared exposure conditions, not on observed targeting.</w:t>
      </w:r>
    </w:p>
    <w:p>
      <w:pPr>
        <w:keepNext/>
        <w:spacing w:after="60" w:before="200"/>
      </w:pPr>
      <w:r>
        <w:rPr>
          <w:rFonts w:ascii="Calibri" w:cs="Calibri" w:eastAsia="Calibri" w:hAnsi="Calibri"/>
          <w:b/>
          <w:bCs/>
          <w:color w:val="1F3864"/>
          <w:sz w:val="22"/>
          <w:szCs w:val="22"/>
        </w:rPr>
        <w:t xml:space="preserve">5. Device Families Differ; Operational Signature Does Not Discriminate</w:t>
      </w:r>
    </w:p>
    <w:p>
      <w:pPr>
        <w:spacing w:after="60" w:before="0" w:line="276"/>
      </w:pPr>
      <w:r>
        <w:rPr>
          <w:rFonts w:ascii="Calibri" w:cs="Calibri" w:eastAsia="Calibri" w:hAnsi="Calibri"/>
          <w:sz w:val="21"/>
          <w:szCs w:val="21"/>
        </w:rPr>
        <w:t xml:space="preserve">The device families named in the 30 July water-sector announcement differ from those named in the attributed Iranian campaign, but covert project-file manipulation is reported in both, so operational signature cannot be used to separate actor groups.</w:t>
      </w:r>
    </w:p>
    <w:p>
      <w:pPr>
        <w:spacing w:after="180" w:before="0" w:line="276"/>
      </w:pPr>
      <w:r>
        <w:rPr>
          <w:rFonts w:ascii="Calibri" w:cs="Calibri" w:eastAsia="Calibri" w:hAnsi="Calibri"/>
          <w:color w:val="525252"/>
          <w:sz w:val="18"/>
          <w:szCs w:val="18"/>
        </w:rPr>
        <w:t xml:space="preserve">Confidence: moderate on the device-family difference, low on any inference drawn from behavior. Evidence: the 30 July announcement names Rockwell MicroLogix 1100 and 1400 controllers; joint advisory AA26-097A names Rockwell CompactLogix and Micro850, Schneider Electric Modicon M340, and Siemens S7-1200. Those product lines do not overlap.</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The behavioral picture is less clean than the overt effects suggest. The 30 July announcement describes changed addresses and passwords producing immediate, obvious loss of monitoring and control, which invites a contrast with the covert logic and display manipulation described in the advisory. But the same announcement also reports that one organization identified modified controller project files after noticing ladder-logic discrepancies across several sites.</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rPr>
        <w:t xml:space="preserve"> Project-file modification is covert manipulation by definition. Both signatures are therefore present within the July water-sector activity itself. Principal uncertainty and competing explanations: the device-family difference is consistent with one actor using different tooling against different equipment, with a separate opportunistic actor exploiting a different exposed population, or with both, and this assessment does not resolve which. Two cautions follow and matter operationally. Signature must not be used as a discriminator between actor groups, and the absence of an obvious lockout at a given facility is not evidence that the facility is unaffected — the quieter activity is the kind that would not announce itself. Readers should also not treat the device-family difference as evidence against Iranian responsibility.</w:t>
      </w:r>
    </w:p>
    <w:p>
      <w:pPr>
        <w:keepNext/>
        <w:spacing w:after="60" w:before="200"/>
      </w:pPr>
      <w:r>
        <w:rPr>
          <w:rFonts w:ascii="Calibri" w:cs="Calibri" w:eastAsia="Calibri" w:hAnsi="Calibri"/>
          <w:b/>
          <w:bCs/>
          <w:color w:val="1F3864"/>
          <w:sz w:val="22"/>
          <w:szCs w:val="22"/>
        </w:rPr>
        <w:t xml:space="preserve">6. Attribution Remains Unresolved In Public Sources</w:t>
      </w:r>
    </w:p>
    <w:p>
      <w:pPr>
        <w:spacing w:after="60" w:before="0" w:line="276"/>
      </w:pPr>
      <w:r>
        <w:rPr>
          <w:rFonts w:ascii="Calibri" w:cs="Calibri" w:eastAsia="Calibri" w:hAnsi="Calibri"/>
          <w:sz w:val="21"/>
          <w:szCs w:val="21"/>
        </w:rPr>
        <w:t xml:space="preserve">No U.S. government agency has publicly attributed the July 2026 water-sector incidents to Iran or to any other actor, although a published joint advisory does attribute a related and ongoing programmable logic controller campaign to Iranian-affiliated actors.</w:t>
      </w:r>
    </w:p>
    <w:p>
      <w:pPr>
        <w:spacing w:after="180" w:before="0" w:line="276"/>
      </w:pPr>
      <w:r>
        <w:rPr>
          <w:rFonts w:ascii="Calibri" w:cs="Calibri" w:eastAsia="Calibri" w:hAnsi="Calibri"/>
          <w:color w:val="525252"/>
          <w:sz w:val="18"/>
          <w:szCs w:val="18"/>
        </w:rPr>
        <w:t xml:space="preserve">Confidence: high. Evidence: the 30 July FBI and EPA announcement and the 30 July CISA alert both use the neutral term "malicious cyber actors" and make no attribution.</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vertAlign w:val="superscript"/>
        </w:rPr>
        <w:t xml:space="preserve">2</w:t>
      </w:r>
      <w:r>
        <w:rPr>
          <w:rFonts w:ascii="Calibri" w:cs="Calibri" w:eastAsia="Calibri" w:hAnsi="Calibri"/>
          <w:color w:val="525252"/>
          <w:sz w:val="18"/>
          <w:szCs w:val="18"/>
        </w:rPr>
        <w:t xml:space="preserve"> Minnesota IT Services described a coordinated cyberattack and did not name an actor.</w:t>
      </w:r>
      <w:r>
        <w:rPr>
          <w:rFonts w:ascii="Calibri" w:cs="Calibri" w:eastAsia="Calibri" w:hAnsi="Calibri"/>
          <w:color w:val="525252"/>
          <w:sz w:val="18"/>
          <w:szCs w:val="18"/>
          <w:vertAlign w:val="superscript"/>
        </w:rPr>
        <w:t xml:space="preserve">6</w:t>
      </w:r>
      <w:r>
        <w:rPr>
          <w:rFonts w:ascii="Calibri" w:cs="Calibri" w:eastAsia="Calibri" w:hAnsi="Calibri"/>
          <w:color w:val="525252"/>
          <w:sz w:val="18"/>
          <w:szCs w:val="18"/>
        </w:rPr>
        <w:t xml:space="preserve"> Separately, joint advisory AA26-097A, co-authored by seven federal agencies, attributes an ongoing campaign against internet-connected controllers to Iranian-affiliated advanced persistent threat actors.</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Press reporting citing unnamed officials states that intelligence agencies assess Iran was likely responsible for the Minnesota incidents, while also reporting that agencies have not definitively concluded this.</w:t>
      </w:r>
      <w:r>
        <w:rPr>
          <w:rFonts w:ascii="Calibri" w:cs="Calibri" w:eastAsia="Calibri" w:hAnsi="Calibri"/>
          <w:color w:val="525252"/>
          <w:sz w:val="18"/>
          <w:szCs w:val="18"/>
          <w:vertAlign w:val="superscript"/>
        </w:rPr>
        <w:t xml:space="preserve">9</w:t>
      </w:r>
      <w:r>
        <w:rPr>
          <w:rFonts w:ascii="Calibri" w:cs="Calibri" w:eastAsia="Calibri" w:hAnsi="Calibri"/>
          <w:color w:val="525252"/>
          <w:sz w:val="18"/>
          <w:szCs w:val="18"/>
          <w:vertAlign w:val="superscript"/>
        </w:rPr>
        <w:t xml:space="preserve">10</w:t>
      </w:r>
      <w:r>
        <w:rPr>
          <w:rFonts w:ascii="Calibri" w:cs="Calibri" w:eastAsia="Calibri" w:hAnsi="Calibri"/>
          <w:color w:val="525252"/>
          <w:sz w:val="18"/>
          <w:szCs w:val="18"/>
        </w:rPr>
        <w:t xml:space="preserve"> Principal uncertainty: attribution may be resolved publicly at any time, in either direction. Senior officials have publicly disputed the reported intelligence assessment, which is noted here as a fact bearing on risk communication rather than as a political matter.</w:t>
      </w:r>
    </w:p>
    <w:p>
      <w:pPr>
        <w:keepNext/>
        <w:spacing w:after="60" w:before="200"/>
      </w:pPr>
      <w:r>
        <w:rPr>
          <w:rFonts w:ascii="Calibri" w:cs="Calibri" w:eastAsia="Calibri" w:hAnsi="Calibri"/>
          <w:b/>
          <w:bCs/>
          <w:color w:val="1F3864"/>
          <w:sz w:val="22"/>
          <w:szCs w:val="22"/>
        </w:rPr>
        <w:t xml:space="preserve">7. Undocumented Remote Access Is The Highest-Value Inspection Target</w:t>
      </w:r>
    </w:p>
    <w:p>
      <w:pPr>
        <w:spacing w:after="60" w:before="0" w:line="276"/>
      </w:pPr>
      <w:r>
        <w:rPr>
          <w:rFonts w:ascii="Calibri" w:cs="Calibri" w:eastAsia="Calibri" w:hAnsi="Calibri"/>
          <w:sz w:val="21"/>
          <w:szCs w:val="21"/>
        </w:rPr>
        <w:t xml:space="preserve">Cellular modems and other remote-access paths installed by vendors, integrators, or field staff, and absent from asset inventories, are the exposure most likely to exist unrecognized in transportation environments and the fastest to check.</w:t>
      </w:r>
    </w:p>
    <w:p>
      <w:pPr>
        <w:spacing w:after="180" w:before="0" w:line="276"/>
      </w:pPr>
      <w:r>
        <w:rPr>
          <w:rFonts w:ascii="Calibri" w:cs="Calibri" w:eastAsia="Calibri" w:hAnsi="Calibri"/>
          <w:color w:val="525252"/>
          <w:sz w:val="18"/>
          <w:szCs w:val="18"/>
        </w:rPr>
        <w:t xml:space="preserve">Confidence: moderate to high. Evidence: CISA explicitly warned that even organizations with mature cybersecurity processes should validate external connections because this targeting includes cellular modems installed by operators, vendors, or system integrators that may not be documented or included in routine attack-surface scans.</w:t>
      </w:r>
      <w:r>
        <w:rPr>
          <w:rFonts w:ascii="Calibri" w:cs="Calibri" w:eastAsia="Calibri" w:hAnsi="Calibri"/>
          <w:color w:val="525252"/>
          <w:sz w:val="18"/>
          <w:szCs w:val="18"/>
          <w:vertAlign w:val="superscript"/>
        </w:rPr>
        <w:t xml:space="preserve">2</w:t>
      </w:r>
      <w:r>
        <w:rPr>
          <w:rFonts w:ascii="Calibri" w:cs="Calibri" w:eastAsia="Calibri" w:hAnsi="Calibri"/>
          <w:color w:val="525252"/>
          <w:sz w:val="18"/>
          <w:szCs w:val="18"/>
        </w:rPr>
        <w:t xml:space="preserve"> The joint advisory reports actors deploying remote-access software on victim modems to gain access, and recommends isolated cellular architectures.</w:t>
      </w:r>
      <w:r>
        <w:rPr>
          <w:rFonts w:ascii="Calibri" w:cs="Calibri" w:eastAsia="Calibri" w:hAnsi="Calibri"/>
          <w:color w:val="525252"/>
          <w:sz w:val="18"/>
          <w:szCs w:val="18"/>
          <w:vertAlign w:val="superscript"/>
        </w:rPr>
        <w:t xml:space="preserve">3</w:t>
      </w:r>
      <w:r>
        <w:rPr>
          <w:rFonts w:ascii="Calibri" w:cs="Calibri" w:eastAsia="Calibri" w:hAnsi="Calibri"/>
          <w:color w:val="525252"/>
          <w:sz w:val="18"/>
          <w:szCs w:val="18"/>
        </w:rPr>
        <w:t xml:space="preserve"> Transportation field assets — roadside intelligent transportation system cabinets, wayside rail equipment, remote pump and lift stations, navigation aids, and unstaffed pipeline sites — depend on the same connectivity pattern for the same reason: it is often the only practical path. Principal uncertainty: the prevalence of undocumented modems in transportation environments is not publicly measured.</w:t>
      </w:r>
    </w:p>
    <w:p>
      <w:pPr>
        <w:keepNext/>
        <w:spacing w:after="60" w:before="200"/>
      </w:pPr>
      <w:r>
        <w:rPr>
          <w:rFonts w:ascii="Calibri" w:cs="Calibri" w:eastAsia="Calibri" w:hAnsi="Calibri"/>
          <w:b/>
          <w:bCs/>
          <w:color w:val="1F3864"/>
          <w:sz w:val="22"/>
          <w:szCs w:val="22"/>
        </w:rPr>
        <w:t xml:space="preserve">8. Correlated Failure Runs Through Integrators, Not Just Geography</w:t>
      </w:r>
    </w:p>
    <w:p>
      <w:pPr>
        <w:spacing w:after="60" w:before="0" w:line="276"/>
      </w:pPr>
      <w:r>
        <w:rPr>
          <w:rFonts w:ascii="Calibri" w:cs="Calibri" w:eastAsia="Calibri" w:hAnsi="Calibri"/>
          <w:sz w:val="21"/>
          <w:szCs w:val="21"/>
        </w:rPr>
        <w:t xml:space="preserve">The feature of this campaign most likely to turn a set of local incidents into a regional problem is common third-party configuration, because similar network and hardware setups delivered by the same integrator across many customers allow a single working technique to be reused at scale.</w:t>
      </w:r>
    </w:p>
    <w:p>
      <w:pPr>
        <w:spacing w:after="180" w:before="0" w:line="276"/>
      </w:pPr>
      <w:r>
        <w:rPr>
          <w:rFonts w:ascii="Calibri" w:cs="Calibri" w:eastAsia="Calibri" w:hAnsi="Calibri"/>
          <w:color w:val="525252"/>
          <w:sz w:val="18"/>
          <w:szCs w:val="18"/>
        </w:rPr>
        <w:t xml:space="preserve">Confidence: moderate to high. Evidence: the FBI reports that across several victims, similarities in network setup provided by third parties may give actors the opportunity to multiply successes where vulnerable network and hardware configurations exist across customers.</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rPr>
        <w:t xml:space="preserve"> More than thirty Minnesota community water systems were affected within roughly forty-eight hours, a pattern more consistent with a reusable technique against a common configuration than with thirty independent intrusions.</w:t>
      </w:r>
      <w:r>
        <w:rPr>
          <w:rFonts w:ascii="Calibri" w:cs="Calibri" w:eastAsia="Calibri" w:hAnsi="Calibri"/>
          <w:color w:val="525252"/>
          <w:sz w:val="18"/>
          <w:szCs w:val="18"/>
          <w:vertAlign w:val="superscript"/>
        </w:rPr>
        <w:t xml:space="preserve">6</w:t>
      </w:r>
      <w:r>
        <w:rPr>
          <w:rFonts w:ascii="Calibri" w:cs="Calibri" w:eastAsia="Calibri" w:hAnsi="Calibri"/>
          <w:color w:val="525252"/>
          <w:sz w:val="18"/>
          <w:szCs w:val="18"/>
        </w:rPr>
        <w:t xml:space="preserve"> Principal uncertainty: the integrator-concentration hypothesis for Minnesota is inference from timing and scale; no public source confirms a shared integrator. Transportation-sector integrator concentration is likewise unmeasured in public data.</w:t>
      </w:r>
    </w:p>
    <w:p>
      <w:pPr>
        <w:keepNext/>
        <w:spacing w:after="60" w:before="200"/>
      </w:pPr>
      <w:r>
        <w:rPr>
          <w:rFonts w:ascii="Calibri" w:cs="Calibri" w:eastAsia="Calibri" w:hAnsi="Calibri"/>
          <w:b/>
          <w:bCs/>
          <w:color w:val="1F3864"/>
          <w:sz w:val="22"/>
          <w:szCs w:val="22"/>
        </w:rPr>
        <w:t xml:space="preserve">9. Information Effects Currently Exceed Physical Effects</w:t>
      </w:r>
    </w:p>
    <w:p>
      <w:pPr>
        <w:spacing w:after="60" w:before="0" w:line="276"/>
      </w:pPr>
      <w:r>
        <w:rPr>
          <w:rFonts w:ascii="Calibri" w:cs="Calibri" w:eastAsia="Calibri" w:hAnsi="Calibri"/>
          <w:sz w:val="21"/>
          <w:szCs w:val="21"/>
        </w:rPr>
        <w:t xml:space="preserve">In the near term the most probable route from this campaign to transportation disruption runs through public perception, precautionary decisions, and workforce behavior rather than through physical damage.</w:t>
      </w:r>
    </w:p>
    <w:p>
      <w:pPr>
        <w:spacing w:after="180" w:before="0" w:line="276"/>
      </w:pPr>
      <w:r>
        <w:rPr>
          <w:rFonts w:ascii="Calibri" w:cs="Calibri" w:eastAsia="Calibri" w:hAnsi="Calibri"/>
          <w:color w:val="525252"/>
          <w:sz w:val="18"/>
          <w:szCs w:val="18"/>
        </w:rPr>
        <w:t xml:space="preserve">Confidence: moderate. Evidence: no contamination incidents have been reported, and reporting indicates drinking-water safety has not been compromised.</w:t>
      </w:r>
      <w:r>
        <w:rPr>
          <w:rFonts w:ascii="Calibri" w:cs="Calibri" w:eastAsia="Calibri" w:hAnsi="Calibri"/>
          <w:color w:val="525252"/>
          <w:sz w:val="18"/>
          <w:szCs w:val="18"/>
          <w:vertAlign w:val="superscript"/>
        </w:rPr>
        <w:t xml:space="preserve">12</w:t>
      </w:r>
      <w:r>
        <w:rPr>
          <w:rFonts w:ascii="Calibri" w:cs="Calibri" w:eastAsia="Calibri" w:hAnsi="Calibri"/>
          <w:color w:val="525252"/>
          <w:sz w:val="18"/>
          <w:szCs w:val="18"/>
        </w:rPr>
        <w:t xml:space="preserve"> The Minnesota Department of Health reported no requests for residents to change water use.</w:t>
      </w:r>
      <w:r>
        <w:rPr>
          <w:rFonts w:ascii="Calibri" w:cs="Calibri" w:eastAsia="Calibri" w:hAnsi="Calibri"/>
          <w:color w:val="525252"/>
          <w:sz w:val="18"/>
          <w:szCs w:val="18"/>
          <w:vertAlign w:val="superscript"/>
        </w:rPr>
        <w:t xml:space="preserve">6</w:t>
      </w:r>
      <w:r>
        <w:rPr>
          <w:rFonts w:ascii="Calibri" w:cs="Calibri" w:eastAsia="Calibri" w:hAnsi="Calibri"/>
          <w:color w:val="525252"/>
          <w:sz w:val="18"/>
          <w:szCs w:val="18"/>
        </w:rPr>
        <w:t xml:space="preserve"> Boil-water notices reported by CISA are precautionary responses to pressure loss, not confirmations of contamination.</w:t>
      </w:r>
      <w:r>
        <w:rPr>
          <w:rFonts w:ascii="Calibri" w:cs="Calibri" w:eastAsia="Calibri" w:hAnsi="Calibri"/>
          <w:color w:val="525252"/>
          <w:sz w:val="18"/>
          <w:szCs w:val="18"/>
          <w:vertAlign w:val="superscript"/>
        </w:rPr>
        <w:t xml:space="preserve">2</w:t>
      </w:r>
      <w:r>
        <w:rPr>
          <w:rFonts w:ascii="Calibri" w:cs="Calibri" w:eastAsia="Calibri" w:hAnsi="Calibri"/>
          <w:color w:val="525252"/>
          <w:sz w:val="18"/>
          <w:szCs w:val="18"/>
        </w:rPr>
        <w:t xml:space="preserve"> At the same time, an Iran-linked group publicly claimed an operation against a U.S. state government's operational technology on 23 July and stated that water, electricity, and transportation networks would be future targets.</w:t>
      </w:r>
      <w:r>
        <w:rPr>
          <w:rFonts w:ascii="Calibri" w:cs="Calibri" w:eastAsia="Calibri" w:hAnsi="Calibri"/>
          <w:color w:val="525252"/>
          <w:sz w:val="18"/>
          <w:szCs w:val="18"/>
          <w:vertAlign w:val="superscript"/>
        </w:rPr>
        <w:t xml:space="preserve">14</w:t>
      </w:r>
      <w:r>
        <w:rPr>
          <w:rFonts w:ascii="Calibri" w:cs="Calibri" w:eastAsia="Calibri" w:hAnsi="Calibri"/>
          <w:color w:val="525252"/>
          <w:sz w:val="18"/>
          <w:szCs w:val="18"/>
        </w:rPr>
        <w:t xml:space="preserve"> Precautionary closures, conservative testing regimes, absenteeism, and divergent public messaging can each produce operational consequences without any physical effect occurring. Principal uncertainty: threat-actor claims are frequently exaggerated and cannot be treated as capability. The claim above is reported here as an actor statement, not as a validated indication of intent or capability.</w:t>
      </w:r>
    </w:p>
    <w:p>
      <w:pPr>
        <w:keepNext/>
        <w:spacing w:after="60" w:before="200"/>
      </w:pPr>
      <w:r>
        <w:rPr>
          <w:rFonts w:ascii="Calibri" w:cs="Calibri" w:eastAsia="Calibri" w:hAnsi="Calibri"/>
          <w:b/>
          <w:bCs/>
          <w:color w:val="1F3864"/>
          <w:sz w:val="22"/>
          <w:szCs w:val="22"/>
        </w:rPr>
        <w:t xml:space="preserve">10. Reporting Seams Would Slow Recognition Of A Combined Event</w:t>
      </w:r>
    </w:p>
    <w:p>
      <w:pPr>
        <w:spacing w:after="60" w:before="0" w:line="276"/>
      </w:pPr>
      <w:r>
        <w:rPr>
          <w:rFonts w:ascii="Calibri" w:cs="Calibri" w:eastAsia="Calibri" w:hAnsi="Calibri"/>
          <w:sz w:val="21"/>
          <w:szCs w:val="21"/>
        </w:rPr>
        <w:t xml:space="preserve">A water incident affecting a transportation facility would surface through water-sector reporting channels rather than transportation ones, so transportation-security leadership would likely learn of it later than the facility operator does and possibly later than the public does.</w:t>
      </w:r>
    </w:p>
    <w:p>
      <w:pPr>
        <w:spacing w:after="180" w:before="0" w:line="276"/>
      </w:pPr>
      <w:r>
        <w:rPr>
          <w:rFonts w:ascii="Calibri" w:cs="Calibri" w:eastAsia="Calibri" w:hAnsi="Calibri"/>
          <w:color w:val="525252"/>
          <w:sz w:val="18"/>
          <w:szCs w:val="18"/>
        </w:rPr>
        <w:t xml:space="preserve">Confidence: moderate. Evidence: the reporting paths named in the federal alerts run to the FBI, the Internet Crime Complaint Center, CISA, and EPA technical assistance, all of which are water-sector and cyber channels.</w:t>
      </w:r>
      <w:r>
        <w:rPr>
          <w:rFonts w:ascii="Calibri" w:cs="Calibri" w:eastAsia="Calibri" w:hAnsi="Calibri"/>
          <w:color w:val="525252"/>
          <w:sz w:val="18"/>
          <w:szCs w:val="18"/>
          <w:vertAlign w:val="superscript"/>
        </w:rPr>
        <w:t xml:space="preserve">1</w:t>
      </w:r>
      <w:r>
        <w:rPr>
          <w:rFonts w:ascii="Calibri" w:cs="Calibri" w:eastAsia="Calibri" w:hAnsi="Calibri"/>
          <w:color w:val="525252"/>
          <w:sz w:val="18"/>
          <w:szCs w:val="18"/>
          <w:vertAlign w:val="superscript"/>
        </w:rPr>
        <w:t xml:space="preserve">2</w:t>
      </w:r>
      <w:r>
        <w:rPr>
          <w:rFonts w:ascii="Calibri" w:cs="Calibri" w:eastAsia="Calibri" w:hAnsi="Calibri"/>
          <w:color w:val="525252"/>
          <w:sz w:val="18"/>
          <w:szCs w:val="18"/>
        </w:rPr>
        <w:t xml:space="preserve"> Minnesota's response coordinated state information technology, public safety, health, and pollution-control agencies together with CISA, EPA, and the FBI; no transportation agency appears in the published partner list.</w:t>
      </w:r>
      <w:r>
        <w:rPr>
          <w:rFonts w:ascii="Calibri" w:cs="Calibri" w:eastAsia="Calibri" w:hAnsi="Calibri"/>
          <w:color w:val="525252"/>
          <w:sz w:val="18"/>
          <w:szCs w:val="18"/>
          <w:vertAlign w:val="superscript"/>
        </w:rPr>
        <w:t xml:space="preserve">6</w:t>
      </w:r>
      <w:r>
        <w:rPr>
          <w:rFonts w:ascii="Calibri" w:cs="Calibri" w:eastAsia="Calibri" w:hAnsi="Calibri"/>
          <w:color w:val="525252"/>
          <w:sz w:val="18"/>
          <w:szCs w:val="18"/>
        </w:rPr>
        <w:t xml:space="preserve"> Transportation cybersecurity requirements are mode-specific and address the operator's own systems, not the utilities that serve them.</w:t>
      </w:r>
      <w:r>
        <w:rPr>
          <w:rFonts w:ascii="Calibri" w:cs="Calibri" w:eastAsia="Calibri" w:hAnsi="Calibri"/>
          <w:color w:val="525252"/>
          <w:sz w:val="18"/>
          <w:szCs w:val="18"/>
          <w:vertAlign w:val="superscript"/>
        </w:rPr>
        <w:t xml:space="preserve">17</w:t>
      </w:r>
      <w:r>
        <w:rPr>
          <w:rFonts w:ascii="Calibri" w:cs="Calibri" w:eastAsia="Calibri" w:hAnsi="Calibri"/>
          <w:color w:val="525252"/>
          <w:sz w:val="18"/>
          <w:szCs w:val="18"/>
          <w:vertAlign w:val="superscript"/>
        </w:rPr>
        <w:t xml:space="preserve">18</w:t>
      </w:r>
      <w:r>
        <w:rPr>
          <w:rFonts w:ascii="Calibri" w:cs="Calibri" w:eastAsia="Calibri" w:hAnsi="Calibri"/>
          <w:color w:val="525252"/>
          <w:sz w:val="18"/>
          <w:szCs w:val="18"/>
          <w:vertAlign w:val="superscript"/>
        </w:rPr>
        <w:t xml:space="preserve">19</w:t>
      </w:r>
      <w:r>
        <w:rPr>
          <w:rFonts w:ascii="Calibri" w:cs="Calibri" w:eastAsia="Calibri" w:hAnsi="Calibri"/>
          <w:color w:val="525252"/>
          <w:sz w:val="18"/>
          <w:szCs w:val="18"/>
        </w:rPr>
        <w:t xml:space="preserve"> Principal uncertainty: non-public coordination may already exist. State fusion centers and regional CISA offices may bridge the seam in practice, and the Minnesota case may simply reflect that no transportation facility was affected.</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What happened: verified chronology and attribution status</w:t>
      </w:r>
    </w:p>
    <w:p>
      <w:pPr>
        <w:pStyle w:val="Heading2"/>
        <w:keepNext/>
        <w:spacing w:after="110" w:before="260"/>
      </w:pPr>
      <w:r>
        <w:rPr>
          <w:rFonts w:ascii="Calibri" w:cs="Calibri" w:eastAsia="Calibri" w:hAnsi="Calibri"/>
          <w:b/>
          <w:bCs/>
          <w:color w:val="1F3864"/>
          <w:sz w:val="24"/>
          <w:szCs w:val="24"/>
        </w:rPr>
        <w:t xml:space="preserve">Incident baseline</w:t>
      </w:r>
    </w:p>
    <w:p>
      <w:pPr>
        <w:spacing w:after="140" w:before="0" w:line="276"/>
      </w:pPr>
      <w:r>
        <w:rPr>
          <w:rFonts w:ascii="Calibri" w:cs="Calibri" w:eastAsia="Calibri" w:hAnsi="Calibri"/>
          <w:sz w:val="21"/>
          <w:szCs w:val="21"/>
        </w:rPr>
        <w:t xml:space="preserve">The chronology below separates what authoritative sources state from what press sources report. Rows marked as confirmed rest on a published federal, state, or operator document. Rows marked as reported rest on journalism citing officials who are not named and whose assessments have not been published. Rows marked as claimed rest on statements by a threat actor and have not been verified by any independent source.</w:t>
      </w:r>
    </w:p>
    <w:p>
      <w:pPr>
        <w:keepNext/>
        <w:spacing w:after="80" w:before="200" w:line="276"/>
      </w:pPr>
      <w:r>
        <w:rPr>
          <w:rFonts w:ascii="Calibri" w:cs="Calibri" w:eastAsia="Calibri" w:hAnsi="Calibri"/>
          <w:b/>
          <w:bCs/>
          <w:color w:val="1F3864"/>
          <w:sz w:val="18"/>
          <w:szCs w:val="18"/>
        </w:rPr>
        <w:t xml:space="preserve">Table 1. Incident chronology</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30"/>
        <w:gridCol w:w="1404"/>
        <w:gridCol w:w="2059"/>
        <w:gridCol w:w="1872"/>
        <w:gridCol w:w="1498"/>
        <w:gridCol w:w="1498"/>
      </w:tblGrid>
      <w:tr>
        <w:trPr>
          <w:tblHeader/>
        </w:trPr>
        <w:tc>
          <w:tcPr>
            <w:tcW w:type="dxa" w:w="103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Date (2026)</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Location</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Affected function</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Reported effect</w:t>
            </w:r>
          </w:p>
        </w:tc>
        <w:tc>
          <w:tcPr>
            <w:tcW w:type="dxa" w:w="149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Attribution status</w:t>
            </w:r>
          </w:p>
        </w:tc>
        <w:tc>
          <w:tcPr>
            <w:tcW w:type="dxa" w:w="149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Confidence</w:t>
            </w:r>
          </w:p>
        </w:tc>
      </w:tr>
      <w:tr>
        <w:tc>
          <w:tcPr>
            <w:tcW w:type="dxa" w:w="1030"/>
            <w:tcMar>
              <w:top w:type="dxa" w:w="60"/>
              <w:left w:type="dxa" w:w="90"/>
              <w:bottom w:type="dxa" w:w="60"/>
              <w:right w:type="dxa" w:w="90"/>
            </w:tcMar>
            <w:vAlign w:val="top"/>
          </w:tcPr>
          <w:p>
            <w:pPr>
              <w:spacing w:after="0" w:line="240"/>
            </w:pPr>
            <w:r>
              <w:rPr>
                <w:rFonts w:ascii="Calibri" w:cs="Calibri" w:eastAsia="Calibri" w:hAnsi="Calibri"/>
                <w:sz w:val="16"/>
                <w:szCs w:val="16"/>
              </w:rPr>
              <w:t xml:space="preserve">7 Apr</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Multiple U.S. sectors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Internet-connected controllers across government facilities, water, and energy</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Project-file manipulation, operator-display manipulation, operational disruption, financial loss</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Attributed by seven agencies to Iranian-affiliated advanced persistent threat actors</w:t>
            </w:r>
            <w:r>
              <w:rPr>
                <w:rFonts w:ascii="Calibri" w:cs="Calibri" w:eastAsia="Calibri" w:hAnsi="Calibri"/>
                <w:sz w:val="16"/>
                <w:szCs w:val="16"/>
                <w:vertAlign w:val="superscript"/>
              </w:rPr>
              <w:t xml:space="preserve">3</w:t>
            </w:r>
            <w:r>
              <w:rPr>
                <w:rFonts w:ascii="Calibri" w:cs="Calibri" w:eastAsia="Calibri" w:hAnsi="Calibri"/>
                <w:sz w:val="16"/>
                <w:szCs w:val="16"/>
                <w:vertAlign w:val="superscript"/>
              </w:rPr>
              <w:t xml:space="preserve">5</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published joint advisory</w:t>
            </w:r>
          </w:p>
        </w:tc>
      </w:tr>
      <w:tr>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22 Jul</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Multiple U.S. sectors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Scope expanded to Schneider Electric and Siemens controllers; project-file theft documented</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Controller logic modified; shutdown and alarm logic disabled, permitting unsafe conditions without operator notification</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Same attribution; Treasury added as co-author</w:t>
            </w:r>
            <w:r>
              <w:rPr>
                <w:rFonts w:ascii="Calibri" w:cs="Calibri" w:eastAsia="Calibri" w:hAnsi="Calibri"/>
                <w:sz w:val="16"/>
                <w:szCs w:val="16"/>
                <w:vertAlign w:val="superscript"/>
              </w:rPr>
              <w:t xml:space="preserve">3</w:t>
            </w:r>
            <w:r>
              <w:rPr>
                <w:rFonts w:ascii="Calibri" w:cs="Calibri" w:eastAsia="Calibri" w:hAnsi="Calibri"/>
                <w:sz w:val="16"/>
                <w:szCs w:val="16"/>
                <w:vertAlign w:val="superscript"/>
              </w:rPr>
              <w:t xml:space="preserve">4</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published joint advisory</w:t>
            </w:r>
          </w:p>
        </w:tc>
      </w:tr>
      <w:tr>
        <w:tc>
          <w:tcPr>
            <w:tcW w:type="dxa" w:w="1030"/>
            <w:tcMar>
              <w:top w:type="dxa" w:w="60"/>
              <w:left w:type="dxa" w:w="90"/>
              <w:bottom w:type="dxa" w:w="60"/>
              <w:right w:type="dxa" w:w="90"/>
            </w:tcMar>
            <w:vAlign w:val="top"/>
          </w:tcPr>
          <w:p>
            <w:pPr>
              <w:spacing w:after="0" w:line="240"/>
            </w:pPr>
            <w:r>
              <w:rPr>
                <w:rFonts w:ascii="Calibri" w:cs="Calibri" w:eastAsia="Calibri" w:hAnsi="Calibri"/>
                <w:sz w:val="16"/>
                <w:szCs w:val="16"/>
              </w:rPr>
              <w:t xml:space="preserve">23 Jul</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Maryland (claimed)</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State operational technology (claimed)</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None verified</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Claimed by Iran-linked group Handala, which stated water, electricity, and transportation networks would be future targets</w:t>
            </w:r>
            <w:r>
              <w:rPr>
                <w:rFonts w:ascii="Calibri" w:cs="Calibri" w:eastAsia="Calibri" w:hAnsi="Calibri"/>
                <w:sz w:val="16"/>
                <w:szCs w:val="16"/>
                <w:vertAlign w:val="superscript"/>
              </w:rPr>
              <w:t xml:space="preserve">14</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Claimed — unverified actor statement</w:t>
            </w:r>
          </w:p>
        </w:tc>
      </w:tr>
      <w:tr>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26–27 Jul</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Minnesota</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Operational technology at more than 30 community water systems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One plant briefly offline; automated controls affected; four cities disclosed publicly; impacts described by cities as limited or mitigated</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 actor named by state or federal authorities</w:t>
            </w:r>
            <w:r>
              <w:rPr>
                <w:rFonts w:ascii="Calibri" w:cs="Calibri" w:eastAsia="Calibri" w:hAnsi="Calibri"/>
                <w:sz w:val="16"/>
                <w:szCs w:val="16"/>
                <w:vertAlign w:val="superscript"/>
              </w:rPr>
              <w:t xml:space="preserve">6</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state agency statement</w:t>
            </w:r>
          </w:p>
        </w:tc>
      </w:tr>
      <w:tr>
        <w:tc>
          <w:tcPr>
            <w:tcW w:type="dxa" w:w="1030"/>
            <w:tcMar>
              <w:top w:type="dxa" w:w="60"/>
              <w:left w:type="dxa" w:w="90"/>
              <w:bottom w:type="dxa" w:w="60"/>
              <w:right w:type="dxa" w:w="90"/>
            </w:tcMar>
            <w:vAlign w:val="top"/>
          </w:tcPr>
          <w:p>
            <w:pPr>
              <w:spacing w:after="0" w:line="240"/>
            </w:pPr>
            <w:r>
              <w:rPr>
                <w:rFonts w:ascii="Calibri" w:cs="Calibri" w:eastAsia="Calibri" w:hAnsi="Calibri"/>
                <w:sz w:val="16"/>
                <w:szCs w:val="16"/>
              </w:rPr>
              <w:t xml:space="preserve">26 Jul</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London Gatwick Airport (non-cyber)</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Airport potable water and sanitation, both terminals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Post-security toilets and food outlets closed; bottled water distributed; flights operated as scheduled</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Not applicable — treatment-plant power failure, no cyber nexus</w:t>
            </w:r>
            <w:r>
              <w:rPr>
                <w:rFonts w:ascii="Calibri" w:cs="Calibri" w:eastAsia="Calibri" w:hAnsi="Calibri"/>
                <w:sz w:val="16"/>
                <w:szCs w:val="16"/>
                <w:vertAlign w:val="superscript"/>
              </w:rPr>
              <w:t xml:space="preserve">21</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 included only as a consequence analogue</w:t>
            </w:r>
          </w:p>
        </w:tc>
      </w:tr>
      <w:tr>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27 Jul onward</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 least seven states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Internet-facing Rockwell MicroLogix 1100 and 1400 controllers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Changed addresses and passwords; loss of monitoring and control; loss of pressure; flooding; at one organization, modified controller project files identified through ladder-logic discrepancies across several sites</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None — "malicious cyber actors"</w:t>
            </w:r>
            <w:r>
              <w:rPr>
                <w:rFonts w:ascii="Calibri" w:cs="Calibri" w:eastAsia="Calibri" w:hAnsi="Calibri"/>
                <w:sz w:val="16"/>
                <w:szCs w:val="16"/>
                <w:vertAlign w:val="superscript"/>
              </w:rPr>
              <w:t xml:space="preserve">1</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FBI and EPA announcement</w:t>
            </w:r>
          </w:p>
        </w:tc>
      </w:tr>
      <w:tr>
        <w:tc>
          <w:tcPr>
            <w:tcW w:type="dxa" w:w="1030"/>
            <w:tcMar>
              <w:top w:type="dxa" w:w="60"/>
              <w:left w:type="dxa" w:w="90"/>
              <w:bottom w:type="dxa" w:w="60"/>
              <w:right w:type="dxa" w:w="90"/>
            </w:tcMar>
            <w:vAlign w:val="top"/>
          </w:tcPr>
          <w:p>
            <w:pPr>
              <w:spacing w:after="0" w:line="240"/>
            </w:pPr>
            <w:r>
              <w:rPr>
                <w:rFonts w:ascii="Calibri" w:cs="Calibri" w:eastAsia="Calibri" w:hAnsi="Calibri"/>
                <w:sz w:val="16"/>
                <w:szCs w:val="16"/>
              </w:rPr>
              <w:t xml:space="preserve">28 Jul</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Minnesota</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Statewide response activation</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Health department reported no requests to residents to change water use</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None named</w:t>
            </w:r>
            <w:r>
              <w:rPr>
                <w:rFonts w:ascii="Calibri" w:cs="Calibri" w:eastAsia="Calibri" w:hAnsi="Calibri"/>
                <w:sz w:val="16"/>
                <w:szCs w:val="16"/>
                <w:vertAlign w:val="superscript"/>
              </w:rPr>
              <w:t xml:space="preserve">6</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state agency statement</w:t>
            </w:r>
          </w:p>
        </w:tc>
      </w:tr>
      <w:tr>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30 Jul</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National</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and wastewater sector controllers generally</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Boil-water notices and sustained manual operations reported; targeting includes undocumented cellular modems</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None named</w:t>
            </w:r>
            <w:r>
              <w:rPr>
                <w:rFonts w:ascii="Calibri" w:cs="Calibri" w:eastAsia="Calibri" w:hAnsi="Calibri"/>
                <w:sz w:val="16"/>
                <w:szCs w:val="16"/>
                <w:vertAlign w:val="superscript"/>
              </w:rPr>
              <w:t xml:space="preserve">2</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CISA alert</w:t>
            </w:r>
          </w:p>
        </w:tc>
      </w:tr>
      <w:tr>
        <w:tc>
          <w:tcPr>
            <w:tcW w:type="dxa" w:w="1030"/>
            <w:tcMar>
              <w:top w:type="dxa" w:w="60"/>
              <w:left w:type="dxa" w:w="90"/>
              <w:bottom w:type="dxa" w:w="60"/>
              <w:right w:type="dxa" w:w="90"/>
            </w:tcMar>
            <w:vAlign w:val="top"/>
          </w:tcPr>
          <w:p>
            <w:pPr>
              <w:spacing w:after="0" w:line="240"/>
            </w:pPr>
            <w:r>
              <w:rPr>
                <w:rFonts w:ascii="Calibri" w:cs="Calibri" w:eastAsia="Calibri" w:hAnsi="Calibri"/>
                <w:sz w:val="16"/>
                <w:szCs w:val="16"/>
              </w:rPr>
              <w:t xml:space="preserve">30–31 Jul</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Minnesota, Michigan, others unnamed</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and wastewater operations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Operational degradation in some cases; no contamination reported</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Press reports intelligence assessment that Iran was likely responsible for Minnesota, not definitively concluded</w:t>
            </w:r>
            <w:r>
              <w:rPr>
                <w:rFonts w:ascii="Calibri" w:cs="Calibri" w:eastAsia="Calibri" w:hAnsi="Calibri"/>
                <w:sz w:val="16"/>
                <w:szCs w:val="16"/>
                <w:vertAlign w:val="superscript"/>
              </w:rPr>
              <w:t xml:space="preserve">10</w:t>
            </w:r>
            <w:r>
              <w:rPr>
                <w:rFonts w:ascii="Calibri" w:cs="Calibri" w:eastAsia="Calibri" w:hAnsi="Calibri"/>
                <w:sz w:val="16"/>
                <w:szCs w:val="16"/>
                <w:vertAlign w:val="superscript"/>
              </w:rPr>
              <w:t xml:space="preserve">11</w:t>
            </w:r>
            <w:r>
              <w:rPr>
                <w:rFonts w:ascii="Calibri" w:cs="Calibri" w:eastAsia="Calibri" w:hAnsi="Calibri"/>
                <w:sz w:val="16"/>
                <w:szCs w:val="16"/>
                <w:vertAlign w:val="superscript"/>
              </w:rPr>
              <w:t xml:space="preserve">12</w:t>
            </w:r>
          </w:p>
        </w:tc>
        <w:tc>
          <w:tcPr>
            <w:tcW w:type="dxa" w:w="149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 unnamed officials</w:t>
            </w:r>
          </w:p>
        </w:tc>
      </w:tr>
      <w:tr>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1 Aug</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National</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Seven-state scope confirmed publicly</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 indication any water supply is unsafe to drink</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Attribution unresolved in public sources</w:t>
            </w:r>
            <w:r>
              <w:rPr>
                <w:rFonts w:ascii="Calibri" w:cs="Calibri" w:eastAsia="Calibri" w:hAnsi="Calibri"/>
                <w:sz w:val="16"/>
                <w:szCs w:val="16"/>
                <w:vertAlign w:val="superscript"/>
              </w:rPr>
              <w:t xml:space="preserve">9</w:t>
            </w:r>
            <w:r>
              <w:rPr>
                <w:rFonts w:ascii="Calibri" w:cs="Calibri" w:eastAsia="Calibri" w:hAnsi="Calibri"/>
                <w:sz w:val="16"/>
                <w:szCs w:val="16"/>
                <w:vertAlign w:val="superscript"/>
              </w:rPr>
              <w:t xml:space="preserve">13</w:t>
            </w:r>
          </w:p>
        </w:tc>
        <w:tc>
          <w:tcPr>
            <w:tcW w:type="dxa" w:w="149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w:t>
            </w:r>
          </w:p>
        </w:tc>
      </w:tr>
    </w:tbl>
    <w:p>
      <w:pPr>
        <w:spacing w:after="160" w:before="0" w:line="276"/>
      </w:pPr>
      <w:r>
        <w:rPr>
          <w:rFonts w:ascii="Calibri" w:cs="Calibri" w:eastAsia="Calibri" w:hAnsi="Calibri"/>
          <w:sz w:val="21"/>
          <w:szCs w:val="21"/>
        </w:rPr>
        <w:t xml:space="preserve"/>
      </w:r>
    </w:p>
    <w:p>
      <w:pPr>
        <w:spacing w:after="160" w:before="0" w:line="276"/>
      </w:pPr>
      <w:r>
        <w:rPr>
          <w:rFonts w:ascii="Calibri" w:cs="Calibri" w:eastAsia="Calibri" w:hAnsi="Calibri"/>
          <w:i/>
          <w:iCs/>
          <w:color w:val="525252"/>
          <w:sz w:val="18"/>
          <w:szCs w:val="18"/>
        </w:rPr>
        <w:t xml:space="preserve">Table 1 note. "Confirmed" means a published federal, state, or operator document states the fact directly. "Reported" means journalism citing officials whose assessments are not published. "Claimed" means a threat-actor assertion with no independent verification. The Gatwick row has no cyber nexus and is included solely because it provides recent empirical evidence about how a major airport behaves when it loses water.</w:t>
      </w:r>
    </w:p>
    <w:p>
      <w:pPr>
        <w:pStyle w:val="Heading2"/>
        <w:keepNext/>
        <w:spacing w:after="110" w:before="260"/>
      </w:pPr>
      <w:r>
        <w:rPr>
          <w:rFonts w:ascii="Calibri" w:cs="Calibri" w:eastAsia="Calibri" w:hAnsi="Calibri"/>
          <w:b/>
          <w:bCs/>
          <w:color w:val="1F3864"/>
          <w:sz w:val="24"/>
          <w:szCs w:val="24"/>
        </w:rPr>
        <w:t xml:space="preserve">What the federal documents actually say</w:t>
      </w:r>
    </w:p>
    <w:p>
      <w:pPr>
        <w:spacing w:after="140" w:before="0" w:line="276"/>
      </w:pPr>
      <w:r>
        <w:rPr>
          <w:rFonts w:ascii="Calibri" w:cs="Calibri" w:eastAsia="Calibri" w:hAnsi="Calibri"/>
          <w:sz w:val="21"/>
          <w:szCs w:val="21"/>
        </w:rPr>
        <w:t xml:space="preserve">Three federal documents carry the weight of this baseline, and the differences among them matter more than the similarities.</w:t>
      </w:r>
    </w:p>
    <w:p>
      <w:pPr>
        <w:spacing w:after="140" w:before="0" w:line="276"/>
      </w:pPr>
      <w:r>
        <w:rPr>
          <w:rFonts w:ascii="Calibri" w:cs="Calibri" w:eastAsia="Calibri" w:hAnsi="Calibri"/>
          <w:sz w:val="21"/>
          <w:szCs w:val="21"/>
        </w:rPr>
        <w:t xml:space="preserve">The FBI and EPA public service announcement of 30 July 2026 warns that malicious cyber actors are attacking operational technology devices including Rockwell Automation and Allen-Bradley MicroLogix 1100 and 1400 series controllers. It states that since 27 July, utilities in at least seven states reported incidents and some of that activity degraded water operations. After remotely reaching internet-facing devices the actors changed addresses and passwords, producing loss of monitoring and control. Reported operational effects included loss of pressure and flooding, and the announcement notes that pressure loss could allow untreated ground water to seep into pipes. The severity of impact depended on whether the controller was monitoring or controlling equipment, which model it was, what function it supported, and whether the utility could switch to manual operation. One organization reported modified controller project files after noticing ladder-logic discrepancies across several sites. Across several victims, similarities in network setup provided by third parties may allow actors to multiply successes.</w:t>
      </w:r>
      <w:r>
        <w:rPr>
          <w:rFonts w:ascii="Calibri" w:cs="Calibri" w:eastAsia="Calibri" w:hAnsi="Calibri"/>
          <w:sz w:val="21"/>
          <w:szCs w:val="21"/>
          <w:vertAlign w:val="superscript"/>
        </w:rPr>
        <w:t xml:space="preserve">1</w:t>
      </w:r>
    </w:p>
    <w:p>
      <w:pPr>
        <w:spacing w:after="140" w:before="0" w:line="276"/>
      </w:pPr>
      <w:r>
        <w:rPr>
          <w:rFonts w:ascii="Calibri" w:cs="Calibri" w:eastAsia="Calibri" w:hAnsi="Calibri"/>
          <w:sz w:val="21"/>
          <w:szCs w:val="21"/>
        </w:rPr>
        <w:t xml:space="preserve">The CISA alert of the same day adds three things the FBI announcement does not. It characterizes the trend as a significant increase rather than a set of incidents. It reports that the activity has produced boil-water notices and sustained manual operations. And it warns that even organizations with mature cybersecurity processes should validate their external connections, because this targeting includes cellular modems installed by operators, vendors, or system integrators that may not be documented or included in routine attack-surface scans. It states that actors are targeting water entities of all sizes.</w:t>
      </w:r>
      <w:r>
        <w:rPr>
          <w:rFonts w:ascii="Calibri" w:cs="Calibri" w:eastAsia="Calibri" w:hAnsi="Calibri"/>
          <w:sz w:val="21"/>
          <w:szCs w:val="21"/>
          <w:vertAlign w:val="superscript"/>
        </w:rPr>
        <w:t xml:space="preserve">2</w:t>
      </w:r>
    </w:p>
    <w:p>
      <w:pPr>
        <w:spacing w:after="140" w:before="0" w:line="276"/>
      </w:pPr>
      <w:r>
        <w:rPr>
          <w:rFonts w:ascii="Calibri" w:cs="Calibri" w:eastAsia="Calibri" w:hAnsi="Calibri"/>
          <w:sz w:val="21"/>
          <w:szCs w:val="21"/>
        </w:rPr>
        <w:t xml:space="preserve">Joint advisory AA26-097A is the document with the attribution, and it describes different activity. Published 7 April 2026 and substantially updated 22 July 2026, it is co-authored by the FBI, CISA, the National Security Agency, EPA, the Department of Energy, U.S. Cyber Command's Cyber National Mission Force, and — as of the July update — the Department of the Treasury. It states that the authoring agencies assess a group of Iranian-affiliated advanced persistent threat actors is conducting the activity to cause disruptive effects in the United States, across Government Services and Facilities, Water and Wastewater Systems, and Energy sectors, and that this targeting has recently escalated likely in response to hostilities between Iran and the United States and Israel. Initial access is achieved from foreign-based addresses to internet-facing controllers using the manufacturers' own programming software on leased third-party infrastructure. The July update expanded the named device families, documented theft of controller project files using vendor configuration software, and reported that after extracting project files the actors modified and deleted controller logic and manipulated data on operator displays, with changes that disabled critical shutdown and alarm logic and allowed systems to enter unsafe conditions without notifying operators. In at least one case the actors loaded a project file that retained ladder logic for downstream function but added logic overriding the instruction sets responsible for maintaining safe operating parameters.</w:t>
      </w:r>
      <w:r>
        <w:rPr>
          <w:rFonts w:ascii="Calibri" w:cs="Calibri" w:eastAsia="Calibri" w:hAnsi="Calibri"/>
          <w:sz w:val="21"/>
          <w:szCs w:val="21"/>
          <w:vertAlign w:val="superscript"/>
        </w:rPr>
        <w:t xml:space="preserve">3</w:t>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sz w:val="19"/>
          <w:szCs w:val="19"/>
        </w:rPr>
        <w:t xml:space="preserve">The single most operationally significant sentence in the federal record is the report that changes disabled critical shutdown and alarm logic, allowing systems to enter unsafe conditions without notifying operators. This inverts the ordinary assumption that a control-system compromise is visible. It means an operator watching a normal display may be watching a fabricated one, and it means the absence of alarms is no longer evidence that a process is within limits. Applied to transportation, the equivalent conditions would be a tunnel ventilation system reporting normal airflow it is not delivering, a movable-bridge interlock reporting a lock that is not set, or a fuel-handling system reporting a valve state that does not match reality. This is the finding that should drive transportation-sector verification activity, and it comes from the attributed campaign rather than from the July water-sector announcement.</w:t>
      </w:r>
    </w:p>
    <w:p>
      <w:pPr>
        <w:pStyle w:val="Heading2"/>
        <w:keepNext/>
        <w:spacing w:after="110" w:before="260"/>
      </w:pPr>
      <w:r>
        <w:rPr>
          <w:rFonts w:ascii="Calibri" w:cs="Calibri" w:eastAsia="Calibri" w:hAnsi="Calibri"/>
          <w:b/>
          <w:bCs/>
          <w:color w:val="1F3864"/>
          <w:sz w:val="24"/>
          <w:szCs w:val="24"/>
        </w:rPr>
        <w:t xml:space="preserve">Attribution status and how to hold it</w:t>
      </w:r>
    </w:p>
    <w:p>
      <w:pPr>
        <w:spacing w:after="140" w:before="0" w:line="276"/>
      </w:pPr>
      <w:r>
        <w:rPr>
          <w:rFonts w:ascii="Calibri" w:cs="Calibri" w:eastAsia="Calibri" w:hAnsi="Calibri"/>
          <w:sz w:val="21"/>
          <w:szCs w:val="21"/>
        </w:rPr>
        <w:t xml:space="preserve">Four distinct categories of claim are circulating together in public discussion, and treating them as one claim produces error in both directions.</w:t>
      </w:r>
    </w:p>
    <w:p>
      <w:pPr>
        <w:pStyle w:val="ListParagraph"/>
        <w:numPr>
          <w:ilvl w:val="0"/>
          <w:numId w:val="1"/>
        </w:numPr>
        <w:spacing w:after="70" w:line="264"/>
      </w:pPr>
      <w:r>
        <w:rPr>
          <w:rFonts w:ascii="Calibri" w:cs="Calibri" w:eastAsia="Calibri" w:hAnsi="Calibri"/>
          <w:b/>
          <w:bCs/>
          <w:sz w:val="21"/>
          <w:szCs w:val="21"/>
        </w:rPr>
        <w:t xml:space="preserve">Confirmed malicious activity.</w:t>
      </w:r>
      <w:r>
        <w:rPr>
          <w:rFonts w:ascii="Calibri" w:cs="Calibri" w:eastAsia="Calibri" w:hAnsi="Calibri"/>
          <w:sz w:val="21"/>
          <w:szCs w:val="21"/>
        </w:rPr>
        <w:t xml:space="preserve"> Water and wastewater utilities in at least seven states suffered cyber incidents affecting internet-facing controllers, with operational degradation in some cases. This is stated directly by the FBI and EPA and corroborated by CISA and by Minnesota IT Services.</w:t>
      </w:r>
      <w:r>
        <w:rPr>
          <w:rFonts w:ascii="Calibri" w:cs="Calibri" w:eastAsia="Calibri" w:hAnsi="Calibri"/>
          <w:sz w:val="21"/>
          <w:szCs w:val="21"/>
          <w:vertAlign w:val="superscript"/>
        </w:rPr>
        <w:t xml:space="preserve">1</w:t>
      </w:r>
      <w:r>
        <w:rPr>
          <w:rFonts w:ascii="Calibri" w:cs="Calibri" w:eastAsia="Calibri" w:hAnsi="Calibri"/>
          <w:sz w:val="21"/>
          <w:szCs w:val="21"/>
          <w:vertAlign w:val="superscript"/>
        </w:rPr>
        <w:t xml:space="preserve">2</w:t>
      </w:r>
      <w:r>
        <w:rPr>
          <w:rFonts w:ascii="Calibri" w:cs="Calibri" w:eastAsia="Calibri" w:hAnsi="Calibri"/>
          <w:sz w:val="21"/>
          <w:szCs w:val="21"/>
          <w:vertAlign w:val="superscript"/>
        </w:rPr>
        <w:t xml:space="preserve">6</w:t>
      </w:r>
    </w:p>
    <w:p>
      <w:pPr>
        <w:pStyle w:val="ListParagraph"/>
        <w:numPr>
          <w:ilvl w:val="0"/>
          <w:numId w:val="1"/>
        </w:numPr>
        <w:spacing w:after="70" w:line="264"/>
      </w:pPr>
      <w:r>
        <w:rPr>
          <w:rFonts w:ascii="Calibri" w:cs="Calibri" w:eastAsia="Calibri" w:hAnsi="Calibri"/>
          <w:b/>
          <w:bCs/>
          <w:sz w:val="21"/>
          <w:szCs w:val="21"/>
        </w:rPr>
        <w:t xml:space="preserve">Published U.S. government attribution, different campaign.</w:t>
      </w:r>
      <w:r>
        <w:rPr>
          <w:rFonts w:ascii="Calibri" w:cs="Calibri" w:eastAsia="Calibri" w:hAnsi="Calibri"/>
          <w:sz w:val="21"/>
          <w:szCs w:val="21"/>
        </w:rPr>
        <w:t xml:space="preserve"> Seven agencies attribute an ongoing campaign against internet-connected controllers across government facilities, water, and energy to Iranian-affiliated advanced persistent threat actors. That advisory does not state that the Iranian-affiliated actors conducted the July 2026 water-sector incidents.</w:t>
      </w:r>
      <w:r>
        <w:rPr>
          <w:rFonts w:ascii="Calibri" w:cs="Calibri" w:eastAsia="Calibri" w:hAnsi="Calibri"/>
          <w:sz w:val="21"/>
          <w:szCs w:val="21"/>
          <w:vertAlign w:val="superscript"/>
        </w:rPr>
        <w:t xml:space="preserve">3</w:t>
      </w:r>
    </w:p>
    <w:p>
      <w:pPr>
        <w:pStyle w:val="ListParagraph"/>
        <w:numPr>
          <w:ilvl w:val="0"/>
          <w:numId w:val="1"/>
        </w:numPr>
        <w:spacing w:after="70" w:line="264"/>
      </w:pPr>
      <w:r>
        <w:rPr>
          <w:rFonts w:ascii="Calibri" w:cs="Calibri" w:eastAsia="Calibri" w:hAnsi="Calibri"/>
          <w:b/>
          <w:bCs/>
          <w:sz w:val="21"/>
          <w:szCs w:val="21"/>
        </w:rPr>
        <w:t xml:space="preserve">Press reporting of a non-public assessment.</w:t>
      </w:r>
      <w:r>
        <w:rPr>
          <w:rFonts w:ascii="Calibri" w:cs="Calibri" w:eastAsia="Calibri" w:hAnsi="Calibri"/>
          <w:sz w:val="21"/>
          <w:szCs w:val="21"/>
        </w:rPr>
        <w:t xml:space="preserve"> Multiple outlets report that U.S. intelligence agencies assess Iran was likely behind the Minnesota incidents, while also reporting that agencies have not definitively concluded this.</w:t>
      </w:r>
      <w:r>
        <w:rPr>
          <w:rFonts w:ascii="Calibri" w:cs="Calibri" w:eastAsia="Calibri" w:hAnsi="Calibri"/>
          <w:sz w:val="21"/>
          <w:szCs w:val="21"/>
          <w:vertAlign w:val="superscript"/>
        </w:rPr>
        <w:t xml:space="preserve">10</w:t>
      </w:r>
      <w:r>
        <w:rPr>
          <w:rFonts w:ascii="Calibri" w:cs="Calibri" w:eastAsia="Calibri" w:hAnsi="Calibri"/>
          <w:sz w:val="21"/>
          <w:szCs w:val="21"/>
          <w:vertAlign w:val="superscript"/>
        </w:rPr>
        <w:t xml:space="preserve">11</w:t>
      </w:r>
      <w:r>
        <w:rPr>
          <w:rFonts w:ascii="Calibri" w:cs="Calibri" w:eastAsia="Calibri" w:hAnsi="Calibri"/>
          <w:sz w:val="21"/>
          <w:szCs w:val="21"/>
        </w:rPr>
        <w:t xml:space="preserve"> Press reporting of an unpublished assessment is a single class of evidence regardless of how many outlets carry it; outlets repeating the same originating report do not constitute independent corroboration.</w:t>
      </w:r>
    </w:p>
    <w:p>
      <w:pPr>
        <w:pStyle w:val="ListParagraph"/>
        <w:numPr>
          <w:ilvl w:val="0"/>
          <w:numId w:val="1"/>
        </w:numPr>
        <w:spacing w:after="70" w:line="264"/>
      </w:pPr>
      <w:r>
        <w:rPr>
          <w:rFonts w:ascii="Calibri" w:cs="Calibri" w:eastAsia="Calibri" w:hAnsi="Calibri"/>
          <w:b/>
          <w:bCs/>
          <w:sz w:val="21"/>
          <w:szCs w:val="21"/>
        </w:rPr>
        <w:t xml:space="preserve">Threat-actor claims.</w:t>
      </w:r>
      <w:r>
        <w:rPr>
          <w:rFonts w:ascii="Calibri" w:cs="Calibri" w:eastAsia="Calibri" w:hAnsi="Calibri"/>
          <w:sz w:val="21"/>
          <w:szCs w:val="21"/>
        </w:rPr>
        <w:t xml:space="preserve"> An Iran-linked group publicly claimed an operation against a U.S. state government's operational technology on 23 July and said water, electricity, and transportation networks would be front-line targets of future operations.</w:t>
      </w:r>
      <w:r>
        <w:rPr>
          <w:rFonts w:ascii="Calibri" w:cs="Calibri" w:eastAsia="Calibri" w:hAnsi="Calibri"/>
          <w:sz w:val="21"/>
          <w:szCs w:val="21"/>
          <w:vertAlign w:val="superscript"/>
        </w:rPr>
        <w:t xml:space="preserve">14</w:t>
      </w:r>
      <w:r>
        <w:rPr>
          <w:rFonts w:ascii="Calibri" w:cs="Calibri" w:eastAsia="Calibri" w:hAnsi="Calibri"/>
          <w:sz w:val="21"/>
          <w:szCs w:val="21"/>
        </w:rPr>
        <w:t xml:space="preserve"> Non-governmental threat research attributes this persona to Iran's Ministry of Intelligence and Security, but that is commercial and advocacy-affiliated research rather than a U.S. government finding, and it is reported here with that limitation attached.</w:t>
      </w:r>
      <w:r>
        <w:rPr>
          <w:rFonts w:ascii="Calibri" w:cs="Calibri" w:eastAsia="Calibri" w:hAnsi="Calibri"/>
          <w:sz w:val="21"/>
          <w:szCs w:val="21"/>
          <w:vertAlign w:val="superscript"/>
        </w:rPr>
        <w:t xml:space="preserve">15</w:t>
      </w:r>
      <w:r>
        <w:rPr>
          <w:rFonts w:ascii="Calibri" w:cs="Calibri" w:eastAsia="Calibri" w:hAnsi="Calibri"/>
          <w:sz w:val="21"/>
          <w:szCs w:val="21"/>
          <w:vertAlign w:val="superscript"/>
        </w:rPr>
        <w:t xml:space="preserve">16</w:t>
      </w:r>
      <w:r>
        <w:rPr>
          <w:rFonts w:ascii="Calibri" w:cs="Calibri" w:eastAsia="Calibri" w:hAnsi="Calibri"/>
          <w:sz w:val="21"/>
          <w:szCs w:val="21"/>
        </w:rPr>
        <w:t xml:space="preserve"> Groups of this type routinely exaggerate. The claim is evidence of declared intent and of information-operations activity; it is not evidence of capability and not evidence of responsibility for any specific incident.</w:t>
      </w:r>
    </w:p>
    <w:p>
      <w:pPr>
        <w:spacing w:after="140" w:before="0" w:line="276"/>
      </w:pPr>
      <w:r>
        <w:rPr>
          <w:rFonts w:ascii="Calibri" w:cs="Calibri" w:eastAsia="Calibri" w:hAnsi="Calibri"/>
          <w:sz w:val="21"/>
          <w:szCs w:val="21"/>
        </w:rPr>
        <w:t xml:space="preserve">For transportation-security decision-making, attribution matters less than it appears to. The defensive actions indicated by an Iranian state-directed campaign, an opportunistic criminal campaign, and a copycat campaign against the same exposed devices are, at the seventy-two-hour timescale, identical: find internet-reachable controllers, remove them from direct exposure, verify project files, and confirm manual operating capability. Attribution matters for deterrence, diplomacy, and resource allocation over months. It should not gate operational verification this week.</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Threat actor, access, capability, intent, and alternative hypotheses</w:t>
      </w:r>
    </w:p>
    <w:p>
      <w:pPr>
        <w:pStyle w:val="Heading2"/>
        <w:keepNext/>
        <w:spacing w:after="110" w:before="260"/>
      </w:pPr>
      <w:r>
        <w:rPr>
          <w:rFonts w:ascii="Calibri" w:cs="Calibri" w:eastAsia="Calibri" w:hAnsi="Calibri"/>
          <w:b/>
          <w:bCs/>
          <w:color w:val="1F3864"/>
          <w:sz w:val="24"/>
          <w:szCs w:val="24"/>
        </w:rPr>
        <w:t xml:space="preserve">Separating intent, capability, access, and opportunity</w:t>
      </w:r>
    </w:p>
    <w:p>
      <w:pPr>
        <w:spacing w:after="140" w:before="0" w:line="276"/>
      </w:pPr>
      <w:r>
        <w:rPr>
          <w:rFonts w:ascii="Calibri" w:cs="Calibri" w:eastAsia="Calibri" w:hAnsi="Calibri"/>
          <w:sz w:val="21"/>
          <w:szCs w:val="21"/>
        </w:rPr>
        <w:t xml:space="preserve">A defensible threat model keeps four things apart. Intent is what an actor wants to accomplish. Capability is what an actor can technically do. Access is what an actor can currently reach. Opportunity is the set of conditions that make access convertible into effect. Public reporting on this campaign has tended to compress all four into a single question about Iran, which obscures the fact that the binding variable is opportunity, and opportunity is the variable transportation owners and operators control.</w:t>
      </w:r>
    </w:p>
    <w:p>
      <w:pPr>
        <w:spacing w:after="140" w:before="0" w:line="276"/>
      </w:pPr>
      <w:r>
        <w:rPr>
          <w:rFonts w:ascii="Calibri" w:cs="Calibri" w:eastAsia="Calibri" w:hAnsi="Calibri"/>
          <w:sz w:val="21"/>
          <w:szCs w:val="21"/>
        </w:rPr>
        <w:t xml:space="preserve">On capability, the published record is specific and unglamorous. The advisory states plainly that it does not describe a new vulnerability but rather opportunistic targeting, and that the actors connect to misconfigured controllers using the manufacturers' own configuration software.</w:t>
      </w:r>
      <w:r>
        <w:rPr>
          <w:rFonts w:ascii="Calibri" w:cs="Calibri" w:eastAsia="Calibri" w:hAnsi="Calibri"/>
          <w:sz w:val="21"/>
          <w:szCs w:val="21"/>
          <w:vertAlign w:val="superscript"/>
        </w:rPr>
        <w:t xml:space="preserve">3</w:t>
      </w:r>
      <w:r>
        <w:rPr>
          <w:rFonts w:ascii="Calibri" w:cs="Calibri" w:eastAsia="Calibri" w:hAnsi="Calibri"/>
          <w:sz w:val="21"/>
          <w:szCs w:val="21"/>
        </w:rPr>
        <w:t xml:space="preserve"> The technique is the use of legitimate engineering tools against devices that should not have been reachable. That has two implications. It means the capability bar is low, so the population of actors who could do this is large and includes non-state actors and copycats. It also means that patching is not the primary remedy — exposure removal is.</w:t>
      </w:r>
    </w:p>
    <w:p>
      <w:pPr>
        <w:spacing w:after="140" w:before="0" w:line="276"/>
      </w:pPr>
      <w:r>
        <w:rPr>
          <w:rFonts w:ascii="Calibri" w:cs="Calibri" w:eastAsia="Calibri" w:hAnsi="Calibri"/>
          <w:sz w:val="21"/>
          <w:szCs w:val="21"/>
        </w:rPr>
        <w:t xml:space="preserve">On access, the constraint is internet reachability, frequently through cellular connectivity at remote sites. This is why the campaign reaches small utilities: a rural pump station's only practical connectivity is a modem, hardening is often weak, and the device may not appear in any inventory.</w:t>
      </w:r>
      <w:r>
        <w:rPr>
          <w:rFonts w:ascii="Calibri" w:cs="Calibri" w:eastAsia="Calibri" w:hAnsi="Calibri"/>
          <w:sz w:val="21"/>
          <w:szCs w:val="21"/>
          <w:vertAlign w:val="superscript"/>
        </w:rPr>
        <w:t xml:space="preserve">2</w:t>
      </w:r>
      <w:r>
        <w:rPr>
          <w:rFonts w:ascii="Calibri" w:cs="Calibri" w:eastAsia="Calibri" w:hAnsi="Calibri"/>
          <w:sz w:val="21"/>
          <w:szCs w:val="21"/>
        </w:rPr>
        <w:t xml:space="preserve"> The same logic identifies where transportation is most exposed — not at staffed hubs with security operations centers, but at unstaffed field sites.</w:t>
      </w:r>
    </w:p>
    <w:p>
      <w:pPr>
        <w:spacing w:after="140" w:before="0" w:line="276"/>
      </w:pPr>
      <w:r>
        <w:rPr>
          <w:rFonts w:ascii="Calibri" w:cs="Calibri" w:eastAsia="Calibri" w:hAnsi="Calibri"/>
          <w:sz w:val="21"/>
          <w:szCs w:val="21"/>
        </w:rPr>
        <w:t xml:space="preserve">On intent, the published attribution says the assessed purpose is to cause disruptive effects in the United States, and that targeting escalated likely in response to hostilities.</w:t>
      </w:r>
      <w:r>
        <w:rPr>
          <w:rFonts w:ascii="Calibri" w:cs="Calibri" w:eastAsia="Calibri" w:hAnsi="Calibri"/>
          <w:sz w:val="21"/>
          <w:szCs w:val="21"/>
          <w:vertAlign w:val="superscript"/>
        </w:rPr>
        <w:t xml:space="preserve">3</w:t>
      </w:r>
      <w:r>
        <w:rPr>
          <w:rFonts w:ascii="Calibri" w:cs="Calibri" w:eastAsia="Calibri" w:hAnsi="Calibri"/>
          <w:sz w:val="21"/>
          <w:szCs w:val="21"/>
        </w:rPr>
        <w:t xml:space="preserve"> That framing is consistent with coercive signaling: effects that are visible, attributable enough to carry a message, reversible, and calibrated below a threshold that would compel a severe response. The observed effects — lockouts, loss of view, pressure loss, precautionary boil notices, no contamination — fit that pattern. The safety-logic override reported in the July advisory update does not fit it as neatly, because suppressing alarms is a preparation for consequence rather than a demonstration of presence.</w:t>
      </w:r>
    </w:p>
    <w:p>
      <w:pPr>
        <w:pStyle w:val="Heading2"/>
        <w:keepNext/>
        <w:spacing w:after="110" w:before="260"/>
      </w:pPr>
      <w:r>
        <w:rPr>
          <w:rFonts w:ascii="Calibri" w:cs="Calibri" w:eastAsia="Calibri" w:hAnsi="Calibri"/>
          <w:b/>
          <w:bCs/>
          <w:color w:val="1F3864"/>
          <w:sz w:val="24"/>
          <w:szCs w:val="24"/>
        </w:rPr>
        <w:t xml:space="preserve">Analysis of competing hypotheses</w:t>
      </w:r>
    </w:p>
    <w:p>
      <w:pPr>
        <w:spacing w:after="140" w:before="0" w:line="276"/>
      </w:pPr>
      <w:r>
        <w:rPr>
          <w:rFonts w:ascii="Calibri" w:cs="Calibri" w:eastAsia="Calibri" w:hAnsi="Calibri"/>
          <w:sz w:val="21"/>
          <w:szCs w:val="21"/>
        </w:rPr>
        <w:t xml:space="preserve">The following hypotheses are assessed against the observable evidence. Consistent with structured analytic practice, the emphasis is on which hypotheses the evidence tends to disconfirm rather than which it appears to support.</w:t>
      </w:r>
    </w:p>
    <w:p>
      <w:pPr>
        <w:keepNext/>
        <w:spacing w:after="80" w:before="200" w:line="276"/>
      </w:pPr>
      <w:r>
        <w:rPr>
          <w:rFonts w:ascii="Calibri" w:cs="Calibri" w:eastAsia="Calibri" w:hAnsi="Calibri"/>
          <w:b/>
          <w:bCs/>
          <w:color w:val="1F3864"/>
          <w:sz w:val="18"/>
          <w:szCs w:val="18"/>
        </w:rPr>
        <w:t xml:space="preserve">Table 2. Competing hypotheses for the July 2026 water-sector activity</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872"/>
        <w:gridCol w:w="2808"/>
        <w:gridCol w:w="2808"/>
        <w:gridCol w:w="1872"/>
      </w:tblGrid>
      <w:tr>
        <w:trPr>
          <w:tblHeader/>
        </w:trPr>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Hypothesis</w:t>
            </w:r>
          </w:p>
        </w:tc>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Evidence consistent with it</w:t>
            </w:r>
          </w:p>
        </w:tc>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Evidence inconsistent or unexplained</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Assessment</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H1. Same Iranian-affiliated actors as AA26-097A, shifted to overt disruption</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Timing follows the 22 July advisory update by four days; sector overlap; conflict context; press reporting of a non-public assessment; modified project files reported in the July water activity match the tradecraft described in the advisory</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Different device families named; no federal attribution of the July water-sector incidents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Plausible and consistent with most reporting; not established. The shared project-file manipulation strengthens this hypothesis relative to any reading based on overt effects alone.</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H2. Iranian-affiliated actors using different tooling against a different device family</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Explains the sector focus and the device-family difference; the advisory notes opportunistic targeting across manufacturers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 public evidence directly linking the MicroLogix activity to the attributed campaign</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Plausible; the most economical explanation of the device-family difference noted in Key Finding 5.</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H3. Opportunistic actor or copycat exploiting publicly discussed exposure</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Low capability bar; the technique was described in public advisories before the incidents; exposed devices are discoverable at scale; MicroLogix 1100 and 1400 are older devices likely at or near end of life</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Coordination of more than thirty Minnesota systems within roughly 48 hours implies either automation or common configuration rather than casual opportunism</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Cannot be excluded and is under-weighted in public discussion. Automation and a shared integrator configuration would fully explain the scale.</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H4. Multiple unrelated actors converging on the same exposed population</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Both the advisory campaign and the July activity target the same exposure condition; advisories effectively advertise the target class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 public evidence distinguishing separate actor sets; would be difficult to detect from open sources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Cannot be excluded. Would explain why federal alerts avoid attribution.</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H5. Non-malicious or misdiagnosed events contributing to the count</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Utilities under heightened alert may report ambiguous operational anomalies as incidents; some effects reported by cities were limited or mitigated</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FBI states some activity degraded water operations and describes specific configuration tampering; modified project files were identified at one organization</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Very unlikely as an explanation for the core cluster; plausible as a contributor to the seven-state count.</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One methodological point applies across the whole table. Because covert project-file manipulation appears within the July water-sector activity as well as in the attributed campaign, differences in observable effect cannot carry weight in discriminating among these hypotheses, and no row above rests on them. The analytically important conclusion from this table is not which hypothesis wins. It is that hypotheses three and four — opportunistic and multi-actor exploitation of a widely advertised exposure condition — are consistent with essentially all the public evidence and are under-represented in current discussion. If either is correct, then attribution-driven defensive prioritization is misdirected, the threat population is larger and less predictable than a single state actor, and the activity will not subside if the geopolitical situation improves. Planning that assumes a single state actor whose behavior tracks diplomatic developments is fragile against this possibility.</w:t>
      </w:r>
    </w:p>
    <w:p>
      <w:pPr>
        <w:pStyle w:val="Heading2"/>
        <w:keepNext/>
        <w:spacing w:after="110" w:before="260"/>
      </w:pPr>
      <w:r>
        <w:rPr>
          <w:rFonts w:ascii="Calibri" w:cs="Calibri" w:eastAsia="Calibri" w:hAnsi="Calibri"/>
          <w:b/>
          <w:bCs/>
          <w:color w:val="1F3864"/>
          <w:sz w:val="24"/>
          <w:szCs w:val="24"/>
        </w:rPr>
        <w:t xml:space="preserve">Threat pathways to transportation</w:t>
      </w:r>
    </w:p>
    <w:p>
      <w:pPr>
        <w:spacing w:after="140" w:before="0" w:line="276"/>
      </w:pPr>
      <w:r>
        <w:rPr>
          <w:rFonts w:ascii="Calibri" w:cs="Calibri" w:eastAsia="Calibri" w:hAnsi="Calibri"/>
          <w:sz w:val="21"/>
          <w:szCs w:val="21"/>
        </w:rPr>
        <w:t xml:space="preserve">Seven pathways connect this activity to transportation outcomes. Each is described at the level needed for defensive risk analysis. No offensive procedure, exploitation method, credential, or targeting detail is provided.</w:t>
      </w:r>
    </w:p>
    <w:p>
      <w:pPr>
        <w:keepNext/>
        <w:spacing w:after="80" w:before="200" w:line="276"/>
      </w:pPr>
      <w:r>
        <w:rPr>
          <w:rFonts w:ascii="Calibri" w:cs="Calibri" w:eastAsia="Calibri" w:hAnsi="Calibri"/>
          <w:b/>
          <w:bCs/>
          <w:color w:val="1F3864"/>
          <w:sz w:val="18"/>
          <w:szCs w:val="18"/>
        </w:rPr>
        <w:t xml:space="preserve">Table 3. Threat pathways, mechanism, and transportation consequence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91"/>
        <w:gridCol w:w="2995"/>
        <w:gridCol w:w="2808"/>
        <w:gridCol w:w="1966"/>
      </w:tblGrid>
      <w:tr>
        <w:trPr>
          <w:tblHeader/>
        </w:trPr>
        <w:tc>
          <w:tcPr>
            <w:tcW w:type="dxa" w:w="1591"/>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Pathway</w:t>
            </w:r>
          </w:p>
        </w:tc>
        <w:tc>
          <w:tcPr>
            <w:tcW w:type="dxa" w:w="2995"/>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Mechanism</w:t>
            </w:r>
          </w:p>
        </w:tc>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Transportation consequence</w:t>
            </w:r>
          </w:p>
        </w:tc>
        <w:tc>
          <w:tcPr>
            <w:tcW w:type="dxa" w:w="196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Assessed relative likelihood, 90 days</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Water-dependency disruption</w:t>
            </w:r>
          </w:p>
        </w:tc>
        <w:tc>
          <w:tcPr>
            <w:tcW w:type="dxa" w:w="2995"/>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compromised municipal or regional utility degrades service to a transportation facility without any compromise of transportation networks</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Sanitation and habitability loss; concession closure; possible fire-suppression impairment; precautionary restrictions</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Highest likelihood, lowest consequence per event</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Shared-technology exposure</w:t>
            </w:r>
          </w:p>
        </w:tc>
        <w:tc>
          <w:tcPr>
            <w:tcW w:type="dxa" w:w="2995"/>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Transportation facilities operate similarly configured controllers, operator interfaces, remote access, cellular modems, or integrator-delivered architectures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loss of view or control over ventilation, drainage, movable structures, fueling, or baggage systems</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likelihood, high consequence</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Coordinated cross-sector attack</w:t>
            </w:r>
          </w:p>
        </w:tc>
        <w:tc>
          <w:tcPr>
            <w:tcW w:type="dxa" w:w="2995"/>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energy, communications, transportation, and emergency services targeted in a synchronized or sequential campaign</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Simultaneous degradation with mutually reinforcing effects; response capacity saturated</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Low likelihood, highest consequence</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Supply-chain or integrator compromise</w:t>
            </w:r>
          </w:p>
        </w:tc>
        <w:tc>
          <w:tcPr>
            <w:tcW w:type="dxa" w:w="2995"/>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Common vendors, managed-service providers, engineering firms, remote-access tooling, or credential practices create correlated risk across many facilities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Many facilities affected together; sector-wide remediation demand exceeds engineering capacity</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likelihood, high consequence</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Unsafe process manipulation</w:t>
            </w:r>
          </w:p>
        </w:tc>
        <w:tc>
          <w:tcPr>
            <w:tcW w:type="dxa" w:w="2995"/>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Altered logic, fabricated operator displays, suppressed alarms, or sensor manipulation create hidden unsafe conditions</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Safety consequence without warning; loss of trust in instrumentation across a fleet of similar systems</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Low likelihood in transportation, severe consequence</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Information and psychological effects</w:t>
            </w:r>
          </w:p>
        </w:tc>
        <w:tc>
          <w:tcPr>
            <w:tcW w:type="dxa" w:w="2995"/>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False contamination claims, fabricated outage notices, manipulated public alerts, or social amplification</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Self-evacuation, absenteeism, precautionary closures, and loss of public confidence without any physical effect</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 likelihood, moderate consequence</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Recovery inhibition</w:t>
            </w:r>
          </w:p>
        </w:tc>
        <w:tc>
          <w:tcPr>
            <w:tcW w:type="dxa" w:w="2995"/>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Compromised backups, scarce controller replacements, unavailable integrators, thin manual staffing, or repeated re-entry</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Restoration measured in weeks rather than hours; extended degraded operations</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likelihood, compounding effect on all other pathways</w:t>
            </w:r>
          </w:p>
        </w:tc>
      </w:tr>
    </w:tbl>
    <w:p>
      <w:pPr>
        <w:spacing w:after="160" w:before="0" w:line="276"/>
      </w:pPr>
      <w:r>
        <w:rPr>
          <w:rFonts w:ascii="Calibri" w:cs="Calibri" w:eastAsia="Calibri" w:hAnsi="Calibri"/>
          <w:sz w:val="21"/>
          <w:szCs w:val="21"/>
        </w:rPr>
        <w:t xml:space="preserve"/>
      </w:r>
    </w:p>
    <w:p>
      <w:pPr>
        <w:spacing w:after="160" w:before="0" w:line="276"/>
      </w:pPr>
      <w:r>
        <w:rPr>
          <w:rFonts w:ascii="Calibri" w:cs="Calibri" w:eastAsia="Calibri" w:hAnsi="Calibri"/>
          <w:i/>
          <w:iCs/>
          <w:color w:val="525252"/>
          <w:sz w:val="18"/>
          <w:szCs w:val="18"/>
        </w:rPr>
        <w:t xml:space="preserve">Table 3 note. Relative likelihood is an ordinal ranking among the seven pathways over the assessment horizon, not a probability. Ordinal rankings are not averaged or combined arithmetically anywhere in this product. Numeric probability judgments appear only in the risk characterization section, where their time horizon and basis are stated.</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Water-sector vulnerability and operational effects</w:t>
      </w:r>
    </w:p>
    <w:p>
      <w:pPr>
        <w:pStyle w:val="Heading2"/>
        <w:keepNext/>
        <w:spacing w:after="110" w:before="260"/>
      </w:pPr>
      <w:r>
        <w:rPr>
          <w:rFonts w:ascii="Calibri" w:cs="Calibri" w:eastAsia="Calibri" w:hAnsi="Calibri"/>
          <w:b/>
          <w:bCs/>
          <w:color w:val="1F3864"/>
          <w:sz w:val="24"/>
          <w:szCs w:val="24"/>
        </w:rPr>
        <w:t xml:space="preserve">Why this sector, and why now</w:t>
      </w:r>
    </w:p>
    <w:p>
      <w:pPr>
        <w:spacing w:after="140" w:before="0" w:line="276"/>
      </w:pPr>
      <w:r>
        <w:rPr>
          <w:rFonts w:ascii="Calibri" w:cs="Calibri" w:eastAsia="Calibri" w:hAnsi="Calibri"/>
          <w:sz w:val="21"/>
          <w:szCs w:val="21"/>
        </w:rPr>
        <w:t xml:space="preserve">The water and wastewater sector presents a combination of conditions that few other sectors match: a very large number of independently governed operators, most of them small; heavy reliance on remote monitoring of geographically dispersed assets; long equipment life cycles that leave controllers in service past manufacturer support; dependence on third-party integrators for design and maintenance; and thin technical staffing. CISA's observation that actors are targeting water entities of all sizes is significant precisely because it removes the assumption that small operators are too obscure to be found.</w:t>
      </w:r>
      <w:r>
        <w:rPr>
          <w:rFonts w:ascii="Calibri" w:cs="Calibri" w:eastAsia="Calibri" w:hAnsi="Calibri"/>
          <w:sz w:val="21"/>
          <w:szCs w:val="21"/>
          <w:vertAlign w:val="superscript"/>
        </w:rPr>
        <w:t xml:space="preserve">2</w:t>
      </w:r>
    </w:p>
    <w:p>
      <w:pPr>
        <w:spacing w:after="140" w:before="0" w:line="276"/>
      </w:pPr>
      <w:r>
        <w:rPr>
          <w:rFonts w:ascii="Calibri" w:cs="Calibri" w:eastAsia="Calibri" w:hAnsi="Calibri"/>
          <w:sz w:val="21"/>
          <w:szCs w:val="21"/>
        </w:rPr>
        <w:t xml:space="preserve">The controllers named in the July announcement, the MicroLogix 1100 and 1400, are long-serving general-purpose devices. The FBI and EPA give unusual emphasis to end-of-life planning, recommending a rolling twelve-month end-of-life forecast reviewed quarterly, tracking of end-of-life systems by product, owner, location, and retirement date, and replacement or isolation of end-of-life assets with compensating controls and firm decommission dates where replacement is delayed.</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Guidance that specific in a public service announcement indicates that unsupported equipment is understood to be a substantial part of the exposed population. The same logic applies with equal force to transportation, where control equipment installed during a capital program frequently remains in service for the design life of the structure it serves.</w:t>
      </w:r>
    </w:p>
    <w:p>
      <w:pPr>
        <w:pStyle w:val="Heading2"/>
        <w:keepNext/>
        <w:spacing w:after="110" w:before="260"/>
      </w:pPr>
      <w:r>
        <w:rPr>
          <w:rFonts w:ascii="Calibri" w:cs="Calibri" w:eastAsia="Calibri" w:hAnsi="Calibri"/>
          <w:b/>
          <w:bCs/>
          <w:color w:val="1F3864"/>
          <w:sz w:val="24"/>
          <w:szCs w:val="24"/>
        </w:rPr>
        <w:t xml:space="preserve">Observed operational effects and what determines their severity</w:t>
      </w:r>
    </w:p>
    <w:p>
      <w:pPr>
        <w:spacing w:after="140" w:before="0" w:line="276"/>
      </w:pPr>
      <w:r>
        <w:rPr>
          <w:rFonts w:ascii="Calibri" w:cs="Calibri" w:eastAsia="Calibri" w:hAnsi="Calibri"/>
          <w:sz w:val="21"/>
          <w:szCs w:val="21"/>
        </w:rPr>
        <w:t xml:space="preserve">The federal record identifies the variables that determined how badly each utility was affected: whether the controller was monitoring or controlling equipment, which model it was, what function it supported, and whether the operator could switch to manual operation.</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The last of these is the decisive one, and it is the single most transferable lesson for transportation.</w:t>
      </w:r>
    </w:p>
    <w:p>
      <w:pPr>
        <w:spacing w:after="140" w:before="0" w:line="276"/>
      </w:pPr>
      <w:r>
        <w:rPr>
          <w:rFonts w:ascii="Calibri" w:cs="Calibri" w:eastAsia="Calibri" w:hAnsi="Calibri"/>
          <w:sz w:val="21"/>
          <w:szCs w:val="21"/>
        </w:rPr>
        <w:t xml:space="preserve">A facility that can run manually converts a control-system compromise into a staffing and endurance problem. A facility that cannot converts the same compromise into a service outage. This distinction explains why more than thirty Minnesota systems were affected but cities described impacts as limited or mitigated, and why the health department reported no requests for residents to change water use.</w:t>
      </w:r>
      <w:r>
        <w:rPr>
          <w:rFonts w:ascii="Calibri" w:cs="Calibri" w:eastAsia="Calibri" w:hAnsi="Calibri"/>
          <w:sz w:val="21"/>
          <w:szCs w:val="21"/>
          <w:vertAlign w:val="superscript"/>
        </w:rPr>
        <w:t xml:space="preserve">6</w:t>
      </w:r>
      <w:r>
        <w:rPr>
          <w:rFonts w:ascii="Calibri" w:cs="Calibri" w:eastAsia="Calibri" w:hAnsi="Calibri"/>
          <w:sz w:val="21"/>
          <w:szCs w:val="21"/>
        </w:rPr>
        <w:t xml:space="preserve"> Manual fallback worked. It also explains CISA's reference to sustained manual operations as an effect rather than a solution: manual operation is expensive in labor, degrades over days as fatigue accumulates, and cannot be sustained indefinitely by organizations with small staffs.</w:t>
      </w:r>
      <w:r>
        <w:rPr>
          <w:rFonts w:ascii="Calibri" w:cs="Calibri" w:eastAsia="Calibri" w:hAnsi="Calibri"/>
          <w:sz w:val="21"/>
          <w:szCs w:val="21"/>
          <w:vertAlign w:val="superscript"/>
        </w:rPr>
        <w:t xml:space="preserve">2</w:t>
      </w:r>
    </w:p>
    <w:p>
      <w:pPr>
        <w:keepNext/>
        <w:spacing w:after="80" w:before="200" w:line="276"/>
      </w:pPr>
      <w:r>
        <w:rPr>
          <w:rFonts w:ascii="Calibri" w:cs="Calibri" w:eastAsia="Calibri" w:hAnsi="Calibri"/>
          <w:b/>
          <w:bCs/>
          <w:color w:val="1F3864"/>
          <w:sz w:val="18"/>
          <w:szCs w:val="18"/>
        </w:rPr>
        <w:t xml:space="preserve">Table 4. Observed water-sector effects and their transportation-relevant meaning</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46"/>
        <w:gridCol w:w="2808"/>
        <w:gridCol w:w="4306"/>
      </w:tblGrid>
      <w:tr>
        <w:trPr>
          <w:tblHeader/>
        </w:trPr>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Observed effect</w:t>
            </w:r>
          </w:p>
        </w:tc>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Reported basis</w:t>
            </w:r>
          </w:p>
        </w:tc>
        <w:tc>
          <w:tcPr>
            <w:tcW w:type="dxa" w:w="430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What it implies for a served transportation facility</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Loss of monitoring and control</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Changed device addresses and passwords</w:t>
            </w:r>
            <w:r>
              <w:rPr>
                <w:rFonts w:ascii="Calibri" w:cs="Calibri" w:eastAsia="Calibri" w:hAnsi="Calibri"/>
                <w:sz w:val="16"/>
                <w:szCs w:val="16"/>
                <w:vertAlign w:val="superscript"/>
              </w:rPr>
              <w:t xml:space="preserve">1</w:t>
            </w:r>
          </w:p>
        </w:tc>
        <w:tc>
          <w:tcPr>
            <w:tcW w:type="dxa" w:w="4306"/>
            <w:tcMar>
              <w:top w:type="dxa" w:w="60"/>
              <w:left w:type="dxa" w:w="90"/>
              <w:bottom w:type="dxa" w:w="60"/>
              <w:right w:type="dxa" w:w="90"/>
            </w:tcMar>
            <w:vAlign w:val="top"/>
          </w:tcPr>
          <w:p>
            <w:pPr>
              <w:spacing w:after="0" w:line="240"/>
            </w:pPr>
            <w:r>
              <w:rPr>
                <w:rFonts w:ascii="Calibri" w:cs="Calibri" w:eastAsia="Calibri" w:hAnsi="Calibri"/>
                <w:sz w:val="16"/>
                <w:szCs w:val="16"/>
              </w:rPr>
              <w:t xml:space="preserve">Utility loses situational awareness before service degrades. A transportation facility may receive no advance notice; the first indication is often a pressure change at the tap.</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Loss of pressure</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to the FBI as an operational effect</w:t>
            </w:r>
            <w:r>
              <w:rPr>
                <w:rFonts w:ascii="Calibri" w:cs="Calibri" w:eastAsia="Calibri" w:hAnsi="Calibri"/>
                <w:sz w:val="16"/>
                <w:szCs w:val="16"/>
                <w:vertAlign w:val="superscript"/>
              </w:rPr>
              <w:t xml:space="preserve">1</w:t>
            </w:r>
          </w:p>
        </w:tc>
        <w:tc>
          <w:tcPr>
            <w:tcW w:type="dxa" w:w="430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effect with the most direct transportation consequence. Drives fire-suppression impairment, fixture and flush failure, cooling-system effects, and boil-notice triggers.</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Flooding</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to the FBI as an operational effect</w:t>
            </w:r>
            <w:r>
              <w:rPr>
                <w:rFonts w:ascii="Calibri" w:cs="Calibri" w:eastAsia="Calibri" w:hAnsi="Calibri"/>
                <w:sz w:val="16"/>
                <w:szCs w:val="16"/>
                <w:vertAlign w:val="superscript"/>
              </w:rPr>
              <w:t xml:space="preserve">1</w:t>
            </w:r>
          </w:p>
        </w:tc>
        <w:tc>
          <w:tcPr>
            <w:tcW w:type="dxa" w:w="4306"/>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Local physical damage risk. Relevant where a transportation facility shares a drainage basin or adjoins the affected utility asset.</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Boil-water notices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by CISA as a consequence of this activity</w:t>
            </w:r>
            <w:r>
              <w:rPr>
                <w:rFonts w:ascii="Calibri" w:cs="Calibri" w:eastAsia="Calibri" w:hAnsi="Calibri"/>
                <w:sz w:val="16"/>
                <w:szCs w:val="16"/>
                <w:vertAlign w:val="superscript"/>
              </w:rPr>
              <w:t xml:space="preserve">2</w:t>
            </w:r>
          </w:p>
        </w:tc>
        <w:tc>
          <w:tcPr>
            <w:tcW w:type="dxa" w:w="430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Triggers immediate food-service, ice, fountain, and potable-supply restrictions across terminals and stations. Public-health-driven and typically outlives the technical fix.</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Sustained manual operations</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by CISA</w:t>
            </w:r>
            <w:r>
              <w:rPr>
                <w:rFonts w:ascii="Calibri" w:cs="Calibri" w:eastAsia="Calibri" w:hAnsi="Calibri"/>
                <w:sz w:val="16"/>
                <w:szCs w:val="16"/>
                <w:vertAlign w:val="superscript"/>
              </w:rPr>
              <w:t xml:space="preserve">2</w:t>
            </w:r>
          </w:p>
        </w:tc>
        <w:tc>
          <w:tcPr>
            <w:tcW w:type="dxa" w:w="4306"/>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Service continues but with reduced margin. Utility capacity to absorb a second concurrent event — a main break, a heat event, a fire demand — is diminished.</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Modified controller project files</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One organization identified ladder-logic discrepancies across several sites</w:t>
            </w:r>
            <w:r>
              <w:rPr>
                <w:rFonts w:ascii="Calibri" w:cs="Calibri" w:eastAsia="Calibri" w:hAnsi="Calibri"/>
                <w:sz w:val="16"/>
                <w:szCs w:val="16"/>
                <w:vertAlign w:val="superscript"/>
              </w:rPr>
              <w:t xml:space="preserve">1</w:t>
            </w:r>
          </w:p>
        </w:tc>
        <w:tc>
          <w:tcPr>
            <w:tcW w:type="dxa" w:w="430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Recovery is slower and less certain than an outage, because restoring service requires establishing that the logic is trustworthy, not merely that the equipment responds.</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Disabled shutdown and alarm logic</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Reported in the 22 July advisory update</w:t>
            </w:r>
            <w:r>
              <w:rPr>
                <w:rFonts w:ascii="Calibri" w:cs="Calibri" w:eastAsia="Calibri" w:hAnsi="Calibri"/>
                <w:sz w:val="16"/>
                <w:szCs w:val="16"/>
                <w:vertAlign w:val="superscript"/>
              </w:rPr>
              <w:t xml:space="preserve">3</w:t>
            </w:r>
          </w:p>
        </w:tc>
        <w:tc>
          <w:tcPr>
            <w:tcW w:type="dxa" w:w="4306"/>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most severe class. Instrumentation cannot be trusted as evidence of safe operation, and the absence of an alarm ceases to be informative.</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Untreated ground water intrusion risk</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Noted by the FBI and EPA as a potential consequence of pressure loss</w:t>
            </w:r>
            <w:r>
              <w:rPr>
                <w:rFonts w:ascii="Calibri" w:cs="Calibri" w:eastAsia="Calibri" w:hAnsi="Calibri"/>
                <w:sz w:val="16"/>
                <w:szCs w:val="16"/>
                <w:vertAlign w:val="superscript"/>
              </w:rPr>
              <w:t xml:space="preserve">1</w:t>
            </w:r>
          </w:p>
        </w:tc>
        <w:tc>
          <w:tcPr>
            <w:tcW w:type="dxa" w:w="430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This is the actual mechanism by which a pressure incident becomes a public-health event. It is a consequence of low pressure, not of deliberate contamination.</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The last row deserves emphasis because it is routinely conflated in public discussion. No public source reports deliberate contamination of any U.S. water supply in this campaign, and reporting indicates no indication that any water supply is unsafe to drink.</w:t>
      </w:r>
      <w:r>
        <w:rPr>
          <w:rFonts w:ascii="Calibri" w:cs="Calibri" w:eastAsia="Calibri" w:hAnsi="Calibri"/>
          <w:sz w:val="21"/>
          <w:szCs w:val="21"/>
          <w:vertAlign w:val="superscript"/>
        </w:rPr>
        <w:t xml:space="preserve">12</w:t>
      </w:r>
      <w:r>
        <w:rPr>
          <w:rFonts w:ascii="Calibri" w:cs="Calibri" w:eastAsia="Calibri" w:hAnsi="Calibri"/>
          <w:sz w:val="21"/>
          <w:szCs w:val="21"/>
        </w:rPr>
        <w:t xml:space="preserve"> The contamination pathway that federal officials actually describe is indirect and physical: when pressure drops, untreated ground water can seep into pipes.</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The distinction matters operationally. A pressure-driven intrusion risk is managed with boil notices, flushing, and sampling on a known timeline. A deliberate treatment-chemical manipulation would be a different event with different detection, different response, and different consequences. Planning documents and public messaging should not merge them.</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Mode-by-mode transportation implications</w:t>
      </w:r>
    </w:p>
    <w:p>
      <w:pPr>
        <w:spacing w:after="140" w:before="0" w:line="276"/>
      </w:pPr>
      <w:r>
        <w:rPr>
          <w:rFonts w:ascii="Calibri" w:cs="Calibri" w:eastAsia="Calibri" w:hAnsi="Calibri"/>
          <w:sz w:val="21"/>
          <w:szCs w:val="21"/>
        </w:rPr>
        <w:t xml:space="preserve">Each mode is assessed separately and then as part of an interconnected system. Dependence on water is not uniform across modes, and consequence is not proportional to facility size. The analysis below distinguishes three things that are frequently merged: what water does for the facility, what breaks when water is lost, and what would actually cause an operational decision to restrict or stop movement.</w:t>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sz w:val="19"/>
          <w:szCs w:val="19"/>
        </w:rPr>
        <w:t xml:space="preserve">A note on what is evidence and what is judgment in this section. The dependency descriptions are drawn from how these facilities are known to operate and from the observed cases in Table 1. The operational thresholds are analytic judgments by the author. No federal agency has published water-loss closure thresholds for transportation facilities, and no such thresholds should be attributed to one. They are offered as a planning starting point for operators to replace with their own facility-specific values, not as authoritative criteria.</w:t>
      </w:r>
    </w:p>
    <w:p>
      <w:pPr>
        <w:pStyle w:val="Heading2"/>
        <w:keepNext/>
        <w:spacing w:after="110" w:before="260"/>
      </w:pPr>
      <w:r>
        <w:rPr>
          <w:rFonts w:ascii="Calibri" w:cs="Calibri" w:eastAsia="Calibri" w:hAnsi="Calibri"/>
          <w:b/>
          <w:bCs/>
          <w:color w:val="1F3864"/>
          <w:sz w:val="24"/>
          <w:szCs w:val="24"/>
        </w:rPr>
        <w:t xml:space="preserve">Aviation</w:t>
      </w:r>
    </w:p>
    <w:p>
      <w:pPr>
        <w:spacing w:after="140" w:before="0" w:line="276"/>
      </w:pPr>
      <w:r>
        <w:rPr>
          <w:rFonts w:ascii="Calibri" w:cs="Calibri" w:eastAsia="Calibri" w:hAnsi="Calibri"/>
          <w:sz w:val="21"/>
          <w:szCs w:val="21"/>
        </w:rPr>
        <w:t xml:space="preserve">Airports are the mode where the water dependency is most visible and, on the evidence, least likely to stop operations. A commercial service airport uses municipal water for restrooms, food and beverage, aircraft lavatory servicing, potable water uplift, terminal cooling, cleaning, fire suppression, and employee welfare. Wastewater service is the mirror dependency and is often the harder constraint, because a terminal that cannot discharge cannot use fixtures even if supply is intact.</w:t>
      </w:r>
    </w:p>
    <w:p>
      <w:pPr>
        <w:spacing w:after="140" w:before="0" w:line="276"/>
      </w:pPr>
      <w:r>
        <w:rPr>
          <w:rFonts w:ascii="Calibri" w:cs="Calibri" w:eastAsia="Calibri" w:hAnsi="Calibri"/>
          <w:sz w:val="21"/>
          <w:szCs w:val="21"/>
        </w:rPr>
        <w:t xml:space="preserve">The observed record is consistent and worth stating plainly. At Gatwick on 26 July 2026 a treatment-works failure closed nearly every post-security toilet and many food outlets across both terminals during a peak summer weekend; the airport distributed bottled water, and all flights departed as scheduled.</w:t>
      </w:r>
      <w:r>
        <w:rPr>
          <w:rFonts w:ascii="Calibri" w:cs="Calibri" w:eastAsia="Calibri" w:hAnsi="Calibri"/>
          <w:sz w:val="21"/>
          <w:szCs w:val="21"/>
          <w:vertAlign w:val="superscript"/>
        </w:rPr>
        <w:t xml:space="preserve">21</w:t>
      </w:r>
      <w:r>
        <w:rPr>
          <w:rFonts w:ascii="Calibri" w:cs="Calibri" w:eastAsia="Calibri" w:hAnsi="Calibri"/>
          <w:sz w:val="21"/>
          <w:szCs w:val="21"/>
        </w:rPr>
        <w:t xml:space="preserve"> At Wilmington International, a waterline failure left the main terminal without water and the utility placed the terminal under a precautionary boil advisory for at least twenty-four hours, with fountains and some menu items unavailable and bottled water provided; the airport remained open.</w:t>
      </w:r>
      <w:r>
        <w:rPr>
          <w:rFonts w:ascii="Calibri" w:cs="Calibri" w:eastAsia="Calibri" w:hAnsi="Calibri"/>
          <w:sz w:val="21"/>
          <w:szCs w:val="21"/>
          <w:vertAlign w:val="superscript"/>
        </w:rPr>
        <w:t xml:space="preserve">22</w:t>
      </w:r>
      <w:r>
        <w:rPr>
          <w:rFonts w:ascii="Calibri" w:cs="Calibri" w:eastAsia="Calibri" w:hAnsi="Calibri"/>
          <w:sz w:val="21"/>
          <w:szCs w:val="21"/>
        </w:rPr>
        <w:t xml:space="preserve"> At Orlando International, a water system outage removed restroom and fountain service in two terminals pre-security while gate-area restrooms stayed available and a third terminal was unaffected.</w:t>
      </w:r>
      <w:r>
        <w:rPr>
          <w:rFonts w:ascii="Calibri" w:cs="Calibri" w:eastAsia="Calibri" w:hAnsi="Calibri"/>
          <w:sz w:val="21"/>
          <w:szCs w:val="21"/>
          <w:vertAlign w:val="superscript"/>
        </w:rPr>
        <w:t xml:space="preserve">24</w:t>
      </w:r>
      <w:r>
        <w:rPr>
          <w:rFonts w:ascii="Calibri" w:cs="Calibri" w:eastAsia="Calibri" w:hAnsi="Calibri"/>
          <w:sz w:val="21"/>
          <w:szCs w:val="21"/>
        </w:rPr>
        <w:t xml:space="preserve"> At Los Angeles International, a contractor-caused cross-connection between potable and recycled chilled water in one terminal produced an immediate do-not-drink instruction, covered fountains, and hand-sanitizer substitution.</w:t>
      </w:r>
      <w:r>
        <w:rPr>
          <w:rFonts w:ascii="Calibri" w:cs="Calibri" w:eastAsia="Calibri" w:hAnsi="Calibri"/>
          <w:sz w:val="21"/>
          <w:szCs w:val="21"/>
          <w:vertAlign w:val="superscript"/>
        </w:rPr>
        <w:t xml:space="preserve">23</w:t>
      </w:r>
    </w:p>
    <w:p>
      <w:pPr>
        <w:spacing w:after="140" w:before="0" w:line="276"/>
      </w:pPr>
      <w:r>
        <w:rPr>
          <w:rFonts w:ascii="Calibri" w:cs="Calibri" w:eastAsia="Calibri" w:hAnsi="Calibri"/>
          <w:sz w:val="21"/>
          <w:szCs w:val="21"/>
        </w:rPr>
        <w:t xml:space="preserve">Four features of that record are analytically useful. First, aircraft movement is decoupled from terminal water. Second, the binding constraint is passenger-facing sanitation, which degrades quickly and visibly. Third, terminal-level segmentation matters — Orlando lost two terminals and kept one, which is a redundancy that a single-terminal airport does not have. Fourth, the operational response is well-rehearsed: bottled water, portable sanitation, concession restrictions, and public messaging.</w:t>
      </w:r>
    </w:p>
    <w:p>
      <w:pPr>
        <w:spacing w:after="140" w:before="0" w:line="276"/>
      </w:pPr>
      <w:r>
        <w:rPr>
          <w:rFonts w:ascii="Calibri" w:cs="Calibri" w:eastAsia="Calibri" w:hAnsi="Calibri"/>
          <w:sz w:val="21"/>
          <w:szCs w:val="21"/>
        </w:rPr>
        <w:t xml:space="preserve">Those cases bound the short event well and the long one not at all, and the distinction is not academic. Each was resolved on a repair timeline. A cyber incident in which controller logic must be validated before service is trusted runs on a different and slower clock, and duration is what converts this dependency from an inconvenience into a closure question. Three effects accumulate rather than holding steady. Worker sanitation is the first: occupational-health requirements attach to employees rather than to passengers, and a facility that cannot provide sanitation to its workforce faces a staffing decision that is independent of whether aircraft can move. Cooling is the second: where chilled-water systems draw on the same supply, a multi-day loss during high ambient temperature degrades terminal habitability and equipment spaces together, and the passenger-facing symptom appears well before the equipment-room one. Portable substitution is the third: it works initially and then degrades, because servicing, restocking, and waste removal scale poorly at passenger volume across successive days. None of these has been observed in this campaign and none is quantified here. They are named because the observed cases do not test them, and because a continuity plan calibrated only on those cases would be calibrated on the easy half of the problem.</w:t>
      </w:r>
    </w:p>
    <w:p>
      <w:pPr>
        <w:spacing w:after="140" w:before="0" w:line="276"/>
      </w:pPr>
      <w:r>
        <w:rPr>
          <w:rFonts w:ascii="Calibri" w:cs="Calibri" w:eastAsia="Calibri" w:hAnsi="Calibri"/>
          <w:sz w:val="21"/>
          <w:szCs w:val="21"/>
        </w:rPr>
        <w:t xml:space="preserve">The conditions under which an airport moves from degradation to restriction are narrower and specific: impaired fire suppression affecting terminal occupancy; wastewater failure making fixtures unusable across all terminals with no portable substitution at passenger volume; a boil notice combined with high ambient temperature where potable supply for passengers and workers cannot be sustained; or loss of water to aircraft rescue and firefighting capability, which is a certification-relevant function rather than a comfort one. General aviation and air cargo facilities are less passenger-sensitive but not exempt: cargo operations depend on staffed sanitation for workforce continuity, and fuel farms depend on fire protection.</w:t>
      </w:r>
    </w:p>
    <w:p>
      <w:pPr>
        <w:spacing w:after="140" w:before="0" w:line="276"/>
      </w:pPr>
      <w:r>
        <w:rPr>
          <w:rFonts w:ascii="Calibri" w:cs="Calibri" w:eastAsia="Calibri" w:hAnsi="Calibri"/>
          <w:sz w:val="21"/>
          <w:szCs w:val="21"/>
        </w:rPr>
        <w:t xml:space="preserve">Airports embedded in a single municipal utility service area with no alternate supply, no significant on-site storage, and no independent fire-water source represent the concentrated form of this risk. Airports with dedicated fire-water storage, on-site wells, or service from more than one pressure zone are materially better positioned. This is a facility-specific fact that operators know and that is not publicly compiled.</w:t>
      </w:r>
    </w:p>
    <w:p>
      <w:pPr>
        <w:pStyle w:val="Heading2"/>
        <w:keepNext/>
        <w:spacing w:after="110" w:before="260"/>
      </w:pPr>
      <w:r>
        <w:rPr>
          <w:rFonts w:ascii="Calibri" w:cs="Calibri" w:eastAsia="Calibri" w:hAnsi="Calibri"/>
          <w:b/>
          <w:bCs/>
          <w:color w:val="1F3864"/>
          <w:sz w:val="24"/>
          <w:szCs w:val="24"/>
        </w:rPr>
        <w:t xml:space="preserve">Maritime and ports</w:t>
      </w:r>
    </w:p>
    <w:p>
      <w:pPr>
        <w:spacing w:after="140" w:before="0" w:line="276"/>
      </w:pPr>
      <w:r>
        <w:rPr>
          <w:rFonts w:ascii="Calibri" w:cs="Calibri" w:eastAsia="Calibri" w:hAnsi="Calibri"/>
          <w:sz w:val="21"/>
          <w:szCs w:val="21"/>
        </w:rPr>
        <w:t xml:space="preserve">Ports differ from airports in that the water dependency is more operational and less about passenger comfort. Firefighting water is the dominant concern, and it is more consequential at a marine terminal than at an airport terminal because of what is stored and handled: bulk liquids, containerized hazardous materials, fuel, and vessels alongside. Fire-protection impairment at a facility handling hazardous cargo is a direct driver of operational restriction, and the responsible authority may impose cargo-handling limits well before any general closure.</w:t>
      </w:r>
    </w:p>
    <w:p>
      <w:pPr>
        <w:spacing w:after="140" w:before="0" w:line="276"/>
      </w:pPr>
      <w:r>
        <w:rPr>
          <w:rFonts w:ascii="Calibri" w:cs="Calibri" w:eastAsia="Calibri" w:hAnsi="Calibri"/>
          <w:sz w:val="21"/>
          <w:szCs w:val="21"/>
        </w:rPr>
        <w:t xml:space="preserve">Ports also consume water for vessel servicing and potable uplift, terminal cleaning, dust suppression at bulk terminals, cooling, sanitation for a large shift-based workforce, and wastewater handling including vessel discharge reception. Cruise and ferry terminals add passenger sanitation at concentrated peaks. Inland ports, shipyards, and locks introduce further dependencies, and locks introduce a distinct exposure that is not about water supply at all: lock and dam machinery is controlled by industrial controllers of the same general class as those under attack.</w:t>
      </w:r>
    </w:p>
    <w:p>
      <w:pPr>
        <w:spacing w:after="140" w:before="0" w:line="276"/>
      </w:pPr>
      <w:r>
        <w:rPr>
          <w:rFonts w:ascii="Calibri" w:cs="Calibri" w:eastAsia="Calibri" w:hAnsi="Calibri"/>
          <w:sz w:val="21"/>
          <w:szCs w:val="21"/>
        </w:rPr>
        <w:t xml:space="preserve">The maritime consequence set is congestion rather than stoppage. Reduced cargo handling at one marine terminal produces vessel queuing, berth-window slippage, container dwell increases, truck queue growth at gates, and rail-intermodal knock-on effects. These accumulate over days rather than hours and unwind more slowly than they build. This mode also carries a distinctive compounding risk in the current period: Strait of Hormuz disruption and attacks on commercial shipping through mid-2026 have already imposed strain on maritime logistics and insurance, so a domestic port-side degradation would land on a system with less slack than usual.</w:t>
      </w:r>
      <w:r>
        <w:rPr>
          <w:rFonts w:ascii="Calibri" w:cs="Calibri" w:eastAsia="Calibri" w:hAnsi="Calibri"/>
          <w:sz w:val="21"/>
          <w:szCs w:val="21"/>
          <w:vertAlign w:val="superscript"/>
        </w:rPr>
        <w:t xml:space="preserve">7</w:t>
      </w:r>
      <w:r>
        <w:rPr>
          <w:rFonts w:ascii="Calibri" w:cs="Calibri" w:eastAsia="Calibri" w:hAnsi="Calibri"/>
          <w:sz w:val="21"/>
          <w:szCs w:val="21"/>
          <w:vertAlign w:val="superscript"/>
        </w:rPr>
        <w:t xml:space="preserve">8</w:t>
      </w:r>
    </w:p>
    <w:p>
      <w:pPr>
        <w:pStyle w:val="Heading2"/>
        <w:keepNext/>
        <w:spacing w:after="110" w:before="260"/>
      </w:pPr>
      <w:r>
        <w:rPr>
          <w:rFonts w:ascii="Calibri" w:cs="Calibri" w:eastAsia="Calibri" w:hAnsi="Calibri"/>
          <w:b/>
          <w:bCs/>
          <w:color w:val="1F3864"/>
          <w:sz w:val="24"/>
          <w:szCs w:val="24"/>
        </w:rPr>
        <w:t xml:space="preserve">Freight rail, passenger rail, and mass transit</w:t>
      </w:r>
    </w:p>
    <w:p>
      <w:pPr>
        <w:spacing w:after="140" w:before="0" w:line="276"/>
      </w:pPr>
      <w:r>
        <w:rPr>
          <w:rFonts w:ascii="Calibri" w:cs="Calibri" w:eastAsia="Calibri" w:hAnsi="Calibri"/>
          <w:sz w:val="21"/>
          <w:szCs w:val="21"/>
        </w:rPr>
        <w:t xml:space="preserve">Rail and transit contain the transportation function most directly analogous to what was attacked in the water sector: tunnel drainage. Subway and rail tunnels rely on pump systems, controlled by industrial controllers, to remove groundwater and storm inflow continuously. A drainage pumping failure is not a comfort problem. Water accumulation in a tunnel produces speed restrictions, then single-tracking, then suspension, and it threatens signaling and traction power equipment. This is a direct-compromise concern rather than a water-supply concern, and it is the clearest example of why the shared-technology pathway matters more for this mode than the water-dependency pathway.</w:t>
      </w:r>
    </w:p>
    <w:p>
      <w:pPr>
        <w:spacing w:after="140" w:before="0" w:line="276"/>
      </w:pPr>
      <w:r>
        <w:rPr>
          <w:rFonts w:ascii="Calibri" w:cs="Calibri" w:eastAsia="Calibri" w:hAnsi="Calibri"/>
          <w:sz w:val="21"/>
          <w:szCs w:val="21"/>
        </w:rPr>
        <w:t xml:space="preserve">The water-supply dependencies are real but more ordinary: station restrooms and habitability, fire standpipes in tunnels and stations, maintenance and washing facilities, cooling, and emergency response water. Underground stations have a specific heat dependency in summer, and stations that cannot maintain fire standpipe pressure face the same occupancy logic described for airport terminals. Freight rail yards depend on water for locomotive servicing, dust control, and workforce facilities, and hazardous-material routing creates a fire-response dependency along the route rather than at a single facility.</w:t>
      </w:r>
    </w:p>
    <w:p>
      <w:pPr>
        <w:spacing w:after="140" w:before="0" w:line="276"/>
      </w:pPr>
      <w:r>
        <w:rPr>
          <w:rFonts w:ascii="Calibri" w:cs="Calibri" w:eastAsia="Calibri" w:hAnsi="Calibri"/>
          <w:sz w:val="21"/>
          <w:szCs w:val="21"/>
        </w:rPr>
        <w:t xml:space="preserve">Consequences scale differently for transit than for other modes because transit substitutes poorly. A closed station pushes passengers to adjacent stations and to buses that have a fraction of the throughput, producing crowding that is itself a safety and security problem. Freight rail absorbs disruption better through rerouting but pays for it in cycle time and terminal congestion.</w:t>
      </w:r>
    </w:p>
    <w:p>
      <w:pPr>
        <w:pStyle w:val="Heading2"/>
        <w:keepNext/>
        <w:spacing w:after="110" w:before="260"/>
      </w:pPr>
      <w:r>
        <w:rPr>
          <w:rFonts w:ascii="Calibri" w:cs="Calibri" w:eastAsia="Calibri" w:hAnsi="Calibri"/>
          <w:b/>
          <w:bCs/>
          <w:color w:val="1F3864"/>
          <w:sz w:val="24"/>
          <w:szCs w:val="24"/>
        </w:rPr>
        <w:t xml:space="preserve">Highway, motor carrier, and intercity bus</w:t>
      </w:r>
    </w:p>
    <w:p>
      <w:pPr>
        <w:spacing w:after="140" w:before="0" w:line="276"/>
      </w:pPr>
      <w:r>
        <w:rPr>
          <w:rFonts w:ascii="Calibri" w:cs="Calibri" w:eastAsia="Calibri" w:hAnsi="Calibri"/>
          <w:sz w:val="21"/>
          <w:szCs w:val="21"/>
        </w:rPr>
        <w:t xml:space="preserve">The highway mode has the lowest facility-level water dependency and one of the highest exposure profiles for shared technology. Highway tunnels depend on drainage pumping and ventilation control, both controller-driven, and both safety-critical. Movable bridges depend on controller-driven machinery and interlocks. Traffic management centers, tolling systems, and roadside intelligent transportation system cabinets depend on field devices connected over cellular links — precisely the connectivity pattern CISA flagged as commonly undocumented.</w:t>
      </w:r>
      <w:r>
        <w:rPr>
          <w:rFonts w:ascii="Calibri" w:cs="Calibri" w:eastAsia="Calibri" w:hAnsi="Calibri"/>
          <w:sz w:val="21"/>
          <w:szCs w:val="21"/>
          <w:vertAlign w:val="superscript"/>
        </w:rPr>
        <w:t xml:space="preserve">2</w:t>
      </w:r>
    </w:p>
    <w:p>
      <w:pPr>
        <w:spacing w:after="140" w:before="0" w:line="276"/>
      </w:pPr>
      <w:r>
        <w:rPr>
          <w:rFonts w:ascii="Calibri" w:cs="Calibri" w:eastAsia="Calibri" w:hAnsi="Calibri"/>
          <w:sz w:val="21"/>
          <w:szCs w:val="21"/>
        </w:rPr>
        <w:t xml:space="preserve">The water dependencies that do exist concentrate in support facilities: truck stops, rest areas, weigh and inspection stations, bus terminals, and maintenance depots. Loss of sanitation at truck stops and rest areas along a corridor has a real and underappreciated consequence, because commercial drivers operate under hours-of-service rules that assume rest facilities are available. Widespread closure of rest facilities in a corridor displaces parking demand, pushes drivers to unsafe parking, and can affect compliance. Hazardous-material response along highways depends on fire-water availability at the point of incident, which is a municipal dependency wherever the incident occurs.</w:t>
      </w:r>
    </w:p>
    <w:p>
      <w:pPr>
        <w:spacing w:after="140" w:before="0" w:line="276"/>
      </w:pPr>
      <w:r>
        <w:rPr>
          <w:rFonts w:ascii="Calibri" w:cs="Calibri" w:eastAsia="Calibri" w:hAnsi="Calibri"/>
          <w:sz w:val="21"/>
          <w:szCs w:val="21"/>
        </w:rPr>
        <w:t xml:space="preserve">Evacuation routing is the highest-consequence intersection for this mode. A water-sector emergency that prompts population movement, or a concurrent event requiring evacuation while water service is degraded, places demand on highway capacity at the same time that supporting facilities along the route are least able to serve it.</w:t>
      </w:r>
    </w:p>
    <w:p>
      <w:pPr>
        <w:pStyle w:val="Heading2"/>
        <w:keepNext/>
        <w:spacing w:after="110" w:before="260"/>
      </w:pPr>
      <w:r>
        <w:rPr>
          <w:rFonts w:ascii="Calibri" w:cs="Calibri" w:eastAsia="Calibri" w:hAnsi="Calibri"/>
          <w:b/>
          <w:bCs/>
          <w:color w:val="1F3864"/>
          <w:sz w:val="24"/>
          <w:szCs w:val="24"/>
        </w:rPr>
        <w:t xml:space="preserve">Pipeline systems</w:t>
      </w:r>
    </w:p>
    <w:p>
      <w:pPr>
        <w:spacing w:after="140" w:before="0" w:line="276"/>
      </w:pPr>
      <w:r>
        <w:rPr>
          <w:rFonts w:ascii="Calibri" w:cs="Calibri" w:eastAsia="Calibri" w:hAnsi="Calibri"/>
          <w:sz w:val="21"/>
          <w:szCs w:val="21"/>
        </w:rPr>
        <w:t xml:space="preserve">Pipelines have the least water dependency and the most direct technology exposure of any mode considered here. Control centers, compressor and pump stations, terminals, and storage facilities depend on water principally for fire protection, cooling, and workforce facilities. The exposure that matters is the same one described throughout: remote, often unstaffed sites reached over cellular connectivity, running controllers of the same families named in the advisory. The published advisory lists Energy among the sectors already disrupted by the attributed campaign, which makes this the transportation-adjacent mode with the most direct evidence of actual targeting.</w:t>
      </w:r>
      <w:r>
        <w:rPr>
          <w:rFonts w:ascii="Calibri" w:cs="Calibri" w:eastAsia="Calibri" w:hAnsi="Calibri"/>
          <w:sz w:val="21"/>
          <w:szCs w:val="21"/>
          <w:vertAlign w:val="superscript"/>
        </w:rPr>
        <w:t xml:space="preserve">3</w:t>
      </w:r>
    </w:p>
    <w:p>
      <w:pPr>
        <w:spacing w:after="140" w:before="0" w:line="276"/>
      </w:pPr>
      <w:r>
        <w:rPr>
          <w:rFonts w:ascii="Calibri" w:cs="Calibri" w:eastAsia="Calibri" w:hAnsi="Calibri"/>
          <w:sz w:val="21"/>
          <w:szCs w:val="21"/>
        </w:rPr>
        <w:t xml:space="preserve">The transportation consequence of a pipeline disruption is fuel availability, and that is a cross-modal dependency rather than a modal one. Aviation fuel supply to airports, diesel supply for freight and emergency generators, and fuel for emergency response all run through this mode. A pipeline disruption concurrent with a water disruption would be materially worse than either alone, because emergency generators consume fuel, water utilities running on backup power consume fuel, and mutual-aid response consumes fuel.</w:t>
      </w:r>
    </w:p>
    <w:p>
      <w:pPr>
        <w:spacing w:after="140" w:before="0" w:line="276"/>
      </w:pPr>
      <w:r>
        <w:rPr>
          <w:rFonts w:ascii="Calibri" w:cs="Calibri" w:eastAsia="Calibri" w:hAnsi="Calibri"/>
          <w:sz w:val="21"/>
          <w:szCs w:val="21"/>
        </w:rPr>
        <w:t xml:space="preserve">Pipelines also differ from other modes in regulatory posture. The Transportation Security Administration has issued cybersecurity security directives for critical pipeline owners and operators requiring, among other things, designated cybersecurity coordinators, incident reporting to CISA, vulnerability assessment, and testing of implementation plans, with parallel directives for freight and passenger rail.</w:t>
      </w:r>
      <w:r>
        <w:rPr>
          <w:rFonts w:ascii="Calibri" w:cs="Calibri" w:eastAsia="Calibri" w:hAnsi="Calibri"/>
          <w:sz w:val="21"/>
          <w:szCs w:val="21"/>
          <w:vertAlign w:val="superscript"/>
        </w:rPr>
        <w:t xml:space="preserve">17</w:t>
      </w:r>
      <w:r>
        <w:rPr>
          <w:rFonts w:ascii="Calibri" w:cs="Calibri" w:eastAsia="Calibri" w:hAnsi="Calibri"/>
          <w:sz w:val="21"/>
          <w:szCs w:val="21"/>
          <w:vertAlign w:val="superscript"/>
        </w:rPr>
        <w:t xml:space="preserve">18</w:t>
      </w:r>
      <w:r>
        <w:rPr>
          <w:rFonts w:ascii="Calibri" w:cs="Calibri" w:eastAsia="Calibri" w:hAnsi="Calibri"/>
          <w:sz w:val="21"/>
          <w:szCs w:val="21"/>
          <w:vertAlign w:val="superscript"/>
        </w:rPr>
        <w:t xml:space="preserve">19</w:t>
      </w:r>
      <w:r>
        <w:rPr>
          <w:rFonts w:ascii="Calibri" w:cs="Calibri" w:eastAsia="Calibri" w:hAnsi="Calibri"/>
          <w:sz w:val="21"/>
          <w:szCs w:val="21"/>
        </w:rPr>
        <w:t xml:space="preserve"> That regime provides an existing channel for rapid tasking in these modes that does not have an equivalent for airports or for the municipal water utilities that serve any of them.</w:t>
      </w:r>
    </w:p>
    <w:p>
      <w:pPr>
        <w:pStyle w:val="Heading2"/>
        <w:keepNext/>
        <w:spacing w:after="110" w:before="260"/>
      </w:pPr>
      <w:r>
        <w:rPr>
          <w:rFonts w:ascii="Calibri" w:cs="Calibri" w:eastAsia="Calibri" w:hAnsi="Calibri"/>
          <w:b/>
          <w:bCs/>
          <w:color w:val="1F3864"/>
          <w:sz w:val="24"/>
          <w:szCs w:val="24"/>
        </w:rPr>
        <w:t xml:space="preserve">Intermodal, postal, warehousing, and logistics</w:t>
      </w:r>
    </w:p>
    <w:p>
      <w:pPr>
        <w:spacing w:after="140" w:before="0" w:line="276"/>
      </w:pPr>
      <w:r>
        <w:rPr>
          <w:rFonts w:ascii="Calibri" w:cs="Calibri" w:eastAsia="Calibri" w:hAnsi="Calibri"/>
          <w:sz w:val="21"/>
          <w:szCs w:val="21"/>
        </w:rPr>
        <w:t xml:space="preserve">This category is the most workforce-dependent and therefore the most sanitation-sensitive. Distribution centers, fulfillment facilities, postal and parcel operations, customs and inspection facilities, and cold-chain operations run on large shift-based workforces in fixed facilities. Loss of potable water and sanitation at those facilities is an occupational-health and regulatory matter that can force a shift reduction or closure faster than at a passenger terminal, because the affected population is workers with enforceable protections rather than passengers passing through.</w:t>
      </w:r>
    </w:p>
    <w:p>
      <w:pPr>
        <w:spacing w:after="140" w:before="0" w:line="276"/>
      </w:pPr>
      <w:r>
        <w:rPr>
          <w:rFonts w:ascii="Calibri" w:cs="Calibri" w:eastAsia="Calibri" w:hAnsi="Calibri"/>
          <w:sz w:val="21"/>
          <w:szCs w:val="21"/>
        </w:rPr>
        <w:t xml:space="preserve">Food distribution and cold chain add a product-integrity dimension. A boil notice affecting a food-handling facility triggers sanitation protocols that can halt processing regardless of whether the facility has water pressure. Contamination concern, even unfounded, produces conservative disposition decisions with real cost and real supply consequences.</w:t>
      </w:r>
    </w:p>
    <w:p>
      <w:pPr>
        <w:keepNext/>
        <w:spacing w:after="80" w:before="200" w:line="276"/>
      </w:pPr>
      <w:r>
        <w:rPr>
          <w:rFonts w:ascii="Calibri" w:cs="Calibri" w:eastAsia="Calibri" w:hAnsi="Calibri"/>
          <w:b/>
          <w:bCs/>
          <w:color w:val="1F3864"/>
          <w:sz w:val="18"/>
          <w:szCs w:val="18"/>
        </w:rPr>
        <w:t xml:space="preserve">Table 5. Mode-by-mode dependency and consequence matrix</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217"/>
        <w:gridCol w:w="1404"/>
        <w:gridCol w:w="1404"/>
        <w:gridCol w:w="1685"/>
        <w:gridCol w:w="1872"/>
        <w:gridCol w:w="1778"/>
      </w:tblGrid>
      <w:tr>
        <w:trPr>
          <w:tblHeader/>
        </w:trPr>
        <w:tc>
          <w:tcPr>
            <w:tcW w:type="dxa" w:w="121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Mode</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Potable and sanitation dependence</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Fire-suppression dependence</w:t>
            </w:r>
          </w:p>
        </w:tc>
        <w:tc>
          <w:tcPr>
            <w:tcW w:type="dxa" w:w="1685"/>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Direct controller exposure</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Most likely operational effect</w:t>
            </w:r>
          </w:p>
        </w:tc>
        <w:tc>
          <w:tcPr>
            <w:tcW w:type="dxa" w:w="177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Threshold that would force restriction</w:t>
            </w:r>
          </w:p>
        </w:tc>
      </w:tr>
      <w:tr>
        <w:tc>
          <w:tcPr>
            <w:tcW w:type="dxa" w:w="1217"/>
            <w:tcMar>
              <w:top w:type="dxa" w:w="60"/>
              <w:left w:type="dxa" w:w="90"/>
              <w:bottom w:type="dxa" w:w="60"/>
              <w:right w:type="dxa" w:w="90"/>
            </w:tcMar>
            <w:vAlign w:val="top"/>
          </w:tcPr>
          <w:p>
            <w:pPr>
              <w:spacing w:after="0" w:line="240"/>
            </w:pPr>
            <w:r>
              <w:rPr>
                <w:rFonts w:ascii="Calibri" w:cs="Calibri" w:eastAsia="Calibri" w:hAnsi="Calibri"/>
                <w:sz w:val="15"/>
                <w:szCs w:val="15"/>
              </w:rPr>
              <w:t xml:space="preserve">Aviation</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passenger and worker facing</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terminal occupancy and rescue firefighting</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building systems, fueling, baggage</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Restroom and concession closure; bottled-water contingency; flights continue</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Fire-protection impairment, or wastewater failure across all terminals with no portable substitution</w:t>
            </w:r>
          </w:p>
        </w:tc>
      </w:tr>
      <w:tr>
        <w:tc>
          <w:tcPr>
            <w:tcW w:type="dxa" w:w="121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Maritime and ports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large shift workforce</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Very high — hazardous cargo and vessels alongside</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terminal equipment, locks, cranes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Cargo-handling restriction; berth and gate congestion</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Fire-flow inadequacy at a facility handling hazardous or bulk liquid cargo</w:t>
            </w:r>
          </w:p>
        </w:tc>
      </w:tr>
      <w:tr>
        <w:tc>
          <w:tcPr>
            <w:tcW w:type="dxa" w:w="1217"/>
            <w:tcMar>
              <w:top w:type="dxa" w:w="60"/>
              <w:left w:type="dxa" w:w="90"/>
              <w:bottom w:type="dxa" w:w="60"/>
              <w:right w:type="dxa" w:w="90"/>
            </w:tcMar>
            <w:vAlign w:val="top"/>
          </w:tcPr>
          <w:p>
            <w:pPr>
              <w:spacing w:after="0" w:line="240"/>
            </w:pPr>
            <w:r>
              <w:rPr>
                <w:rFonts w:ascii="Calibri" w:cs="Calibri" w:eastAsia="Calibri" w:hAnsi="Calibri"/>
                <w:sz w:val="15"/>
                <w:szCs w:val="15"/>
              </w:rPr>
              <w:t xml:space="preserve">Rail and transit</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stations and yards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tunnel standpipes and stations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Very high — drainage pumping, ventilation, signaling-adjacent systems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Station closures; tunnel speed restrictions if drainage degrades</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Tunnel water accumulation, or standpipe pressure loss in an underground station</w:t>
            </w:r>
          </w:p>
        </w:tc>
      </w:tr>
      <w:tr>
        <w:tc>
          <w:tcPr>
            <w:tcW w:type="dxa" w:w="121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Highway and motor carrier</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 at roadway, high at support facilities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tunnels and incident response</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tunnel systems, movable bridges, roadside field devices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Rest-area and truck-stop sanitation loss; parking displacement</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Tunnel ventilation or drainage failure; loss of fire flow for incident response</w:t>
            </w:r>
          </w:p>
        </w:tc>
      </w:tr>
      <w:tr>
        <w:tc>
          <w:tcPr>
            <w:tcW w:type="dxa" w:w="1217"/>
            <w:tcMar>
              <w:top w:type="dxa" w:w="60"/>
              <w:left w:type="dxa" w:w="90"/>
              <w:bottom w:type="dxa" w:w="60"/>
              <w:right w:type="dxa" w:w="90"/>
            </w:tcMar>
            <w:vAlign w:val="top"/>
          </w:tcPr>
          <w:p>
            <w:pPr>
              <w:spacing w:after="0" w:line="240"/>
            </w:pPr>
            <w:r>
              <w:rPr>
                <w:rFonts w:ascii="Calibri" w:cs="Calibri" w:eastAsia="Calibri" w:hAnsi="Calibri"/>
                <w:sz w:val="15"/>
                <w:szCs w:val="15"/>
              </w:rPr>
              <w:t xml:space="preserve">Pipeline</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stations and terminals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Very high — remote unstaffed sites on cellular links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Reduced throughput or precautionary shutdown</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Fire-protection impairment at a station or terminal; loss of confidence in control data</w:t>
            </w:r>
          </w:p>
        </w:tc>
      </w:tr>
      <w:tr>
        <w:tc>
          <w:tcPr>
            <w:tcW w:type="dxa" w:w="121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Intermodal and logistics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Very high — worker facilities and food handling</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material handling and building systems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Shift reduction or facility closure; cold-chain disposition decisions</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Occupational sanitation requirements unmet; food-handling boil protocol</w:t>
            </w:r>
          </w:p>
        </w:tc>
      </w:tr>
    </w:tbl>
    <w:p>
      <w:pPr>
        <w:spacing w:after="160" w:before="0" w:line="276"/>
      </w:pPr>
      <w:r>
        <w:rPr>
          <w:rFonts w:ascii="Calibri" w:cs="Calibri" w:eastAsia="Calibri" w:hAnsi="Calibri"/>
          <w:sz w:val="21"/>
          <w:szCs w:val="21"/>
        </w:rPr>
        <w:t xml:space="preserve"/>
      </w:r>
    </w:p>
    <w:p>
      <w:pPr>
        <w:spacing w:after="160" w:before="0" w:line="276"/>
      </w:pPr>
      <w:r>
        <w:rPr>
          <w:rFonts w:ascii="Calibri" w:cs="Calibri" w:eastAsia="Calibri" w:hAnsi="Calibri"/>
          <w:i/>
          <w:iCs/>
          <w:color w:val="525252"/>
          <w:sz w:val="18"/>
          <w:szCs w:val="18"/>
        </w:rPr>
        <w:t xml:space="preserve">Table 5 note. Dependence and exposure ratings are ordinal analyst judgments describing typical facilities in each mode. They are not measurements, are not derived from a survey, and are not averaged or combined into any composite score. Individual facilities vary widely, and a facility with dedicated fire-water storage or an on-site well may fall entirely outside the profile shown for its mode. The fire-suppression column in particular sorts facilities into two tiers rather than describing a mode uniformly: it applies to facilities drawing fire water from the municipal main and largely does not apply to those holding dedicated storage or independent pumps. Establish which tier a facility occupies before applying its mode profile. The threshold column likewise assumes a sustained loss; a brief interruption rarely reaches it.</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Cross-sector dependencies and cascading consequences</w:t>
      </w:r>
    </w:p>
    <w:p>
      <w:pPr>
        <w:pStyle w:val="Heading2"/>
        <w:keepNext/>
        <w:spacing w:after="110" w:before="260"/>
      </w:pPr>
      <w:r>
        <w:rPr>
          <w:rFonts w:ascii="Calibri" w:cs="Calibri" w:eastAsia="Calibri" w:hAnsi="Calibri"/>
          <w:b/>
          <w:bCs/>
          <w:color w:val="1F3864"/>
          <w:sz w:val="24"/>
          <w:szCs w:val="24"/>
        </w:rPr>
        <w:t xml:space="preserve">Distinguishing dependency, interdependency, and correlation</w:t>
      </w:r>
    </w:p>
    <w:p>
      <w:pPr>
        <w:spacing w:after="140" w:before="0" w:line="276"/>
      </w:pPr>
      <w:r>
        <w:rPr>
          <w:rFonts w:ascii="Calibri" w:cs="Calibri" w:eastAsia="Calibri" w:hAnsi="Calibri"/>
          <w:sz w:val="21"/>
          <w:szCs w:val="21"/>
        </w:rPr>
        <w:t xml:space="preserve">These three relationships are routinely treated as one and they behave differently under stress. A dependency is one-directional: a transportation facility needs water; the water utility does not need that facility. An interdependency is reciprocal: the water utility needs electricity, and the power system needs water for cooling at some generation facilities, so each can impair the other. A correlation is neither — two facilities fail together not because either affects the other but because both depend on a third thing, or share a vendor, a configuration, or a service territory.</w:t>
      </w:r>
    </w:p>
    <w:p>
      <w:pPr>
        <w:spacing w:after="140" w:before="0" w:line="276"/>
      </w:pPr>
      <w:r>
        <w:rPr>
          <w:rFonts w:ascii="Calibri" w:cs="Calibri" w:eastAsia="Calibri" w:hAnsi="Calibri"/>
          <w:sz w:val="21"/>
          <w:szCs w:val="21"/>
        </w:rPr>
        <w:t xml:space="preserve">The distinction drives mitigation. Dependencies are mitigated by substitution — storage, alternate supply, portable assets. Interdependencies are mitigated by breaking the loop, usually with independent backup on one side. Correlations are mitigated only by diversity, and they are the reason a facility can do everything right and still fail alongside its neighbors. The Minnesota cluster is best understood as correlation: more than thirty independently governed systems affected within roughly forty-eight hours, which the FBI's observation about common third-party network setups makes intelligible.</w:t>
      </w:r>
      <w:r>
        <w:rPr>
          <w:rFonts w:ascii="Calibri" w:cs="Calibri" w:eastAsia="Calibri" w:hAnsi="Calibri"/>
          <w:sz w:val="21"/>
          <w:szCs w:val="21"/>
          <w:vertAlign w:val="superscript"/>
        </w:rPr>
        <w:t xml:space="preserve">1</w:t>
      </w:r>
      <w:r>
        <w:rPr>
          <w:rFonts w:ascii="Calibri" w:cs="Calibri" w:eastAsia="Calibri" w:hAnsi="Calibri"/>
          <w:sz w:val="21"/>
          <w:szCs w:val="21"/>
          <w:vertAlign w:val="superscript"/>
        </w:rPr>
        <w:t xml:space="preserve">6</w:t>
      </w:r>
    </w:p>
    <w:p>
      <w:pPr>
        <w:pStyle w:val="Heading2"/>
        <w:keepNext/>
        <w:spacing w:after="110" w:before="260"/>
      </w:pPr>
      <w:r>
        <w:rPr>
          <w:rFonts w:ascii="Calibri" w:cs="Calibri" w:eastAsia="Calibri" w:hAnsi="Calibri"/>
          <w:b/>
          <w:bCs/>
          <w:color w:val="1F3864"/>
          <w:sz w:val="24"/>
          <w:szCs w:val="24"/>
        </w:rPr>
        <w:t xml:space="preserve">Cascading-effects map</w:t>
      </w:r>
    </w:p>
    <w:p>
      <w:pPr>
        <w:spacing w:after="140" w:before="0" w:line="276"/>
      </w:pPr>
      <w:r>
        <w:rPr>
          <w:rFonts w:ascii="Calibri" w:cs="Calibri" w:eastAsia="Calibri" w:hAnsi="Calibri"/>
          <w:sz w:val="21"/>
          <w:szCs w:val="21"/>
        </w:rPr>
        <w:t xml:space="preserve">The chain below traces effects outward from a water-sector compromise. First-order effects follow directly. Second-order effects follow from the first-order effects. Third-order effects follow from the response to the first two, and are where most of the compounding occurs.</w:t>
      </w:r>
    </w:p>
    <w:p>
      <w:pPr>
        <w:keepNext/>
        <w:spacing w:after="80" w:before="200" w:line="276"/>
      </w:pPr>
      <w:r>
        <w:rPr>
          <w:rFonts w:ascii="Calibri" w:cs="Calibri" w:eastAsia="Calibri" w:hAnsi="Calibri"/>
          <w:b/>
          <w:bCs/>
          <w:color w:val="1F3864"/>
          <w:sz w:val="18"/>
          <w:szCs w:val="18"/>
        </w:rPr>
        <w:t xml:space="preserve">Table 6. Cascading-effects map</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872"/>
        <w:gridCol w:w="2434"/>
        <w:gridCol w:w="2527"/>
        <w:gridCol w:w="2527"/>
      </w:tblGrid>
      <w:tr>
        <w:trPr>
          <w:tblHeader/>
        </w:trPr>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Chain</w:t>
            </w:r>
          </w:p>
        </w:tc>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First order</w:t>
            </w:r>
          </w:p>
        </w:tc>
        <w:tc>
          <w:tcPr>
            <w:tcW w:type="dxa" w:w="252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Second order</w:t>
            </w:r>
          </w:p>
        </w:tc>
        <w:tc>
          <w:tcPr>
            <w:tcW w:type="dxa" w:w="252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Third order</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to transportation</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Pressure loss or boil notice at a serving utility</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Terminal sanitation and concession closure; fire-protection watch; portable asset demand</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Passenger dwell and crowding; staff absenteeism; reduced facility throughput; reputational and messaging load</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to public health</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Untreated intrusion risk from low pressure</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Precautionary boil notices, sampling, flushing</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Food-handling restrictions across terminals, stations, and distribution facilities; conservative product disposition</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 to emergency services</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Reduced fire flow across a service area</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Fire-response capability degraded for all occupancies in the area, including transportation facilities</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Occupancy restrictions imposed by authorities having jurisdiction; event cancellations; staged apparatus and tender shuttle demand</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Energy to water to transportation</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Power disruption at treatment or pumping assets</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Utility runs on generation; fuel consumption rises</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Fuel competition among utilities, hospitals, transportation, and responders; pipeline and trucking demand spike</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Communications to water and transportation</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Cellular or network degradation</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Remote monitoring lost at both water and transportation field sites</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Manual inspection demand at dispersed sites; slower detection of any concurrent problem</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Transportation back to water (feedback)</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Transportation degradation or congestion</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Delayed delivery of treatment chemicals, replacement controllers, fuel, and technicians</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Water-sector recovery extended; mutual-aid resources slower to arrive; the initiating incident lasts longer</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Workforce</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Sanitation loss and public concern</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Absenteeism at utilities, terminals, and distribution facilities</w:t>
            </w:r>
          </w:p>
        </w:tc>
        <w:tc>
          <w:tcPr>
            <w:tcW w:type="dxa" w:w="2527"/>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Manual operations become unsustainable precisely when they are most needed</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Supply chain</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Simultaneous demand for controllers, modems, pumps, portable water, and sanitation assets</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Procurement lead times extend; integrator engineering capacity saturates</w:t>
            </w:r>
          </w:p>
        </w:tc>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Facilities queue for the same scarce specialists; remediation across sectors serializes</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The feedback row is the one most often omitted from dependency analysis and the one with the most operational significance here. Water-sector recovery is not a purely cyber activity. It requires treatment chemicals delivered by truck, replacement controllers delivered by freight, technicians who travel, and fuel for generators. Every one of those runs through transportation. A scenario in which transportation degradation and water degradation coincide is therefore not simply additive — each slows the other's recovery, and the combined event lasts longer than the sum of its parts would suggest.</w:t>
      </w:r>
    </w:p>
    <w:p>
      <w:pPr>
        <w:pStyle w:val="Heading2"/>
        <w:keepNext/>
        <w:spacing w:after="110" w:before="260"/>
      </w:pPr>
      <w:r>
        <w:rPr>
          <w:rFonts w:ascii="Calibri" w:cs="Calibri" w:eastAsia="Calibri" w:hAnsi="Calibri"/>
          <w:b/>
          <w:bCs/>
          <w:color w:val="1F3864"/>
          <w:sz w:val="24"/>
          <w:szCs w:val="24"/>
        </w:rPr>
        <w:t xml:space="preserve">Whether mitigations actually reduce risk</w:t>
      </w:r>
    </w:p>
    <w:p>
      <w:pPr>
        <w:spacing w:after="140" w:before="0" w:line="276"/>
      </w:pPr>
      <w:r>
        <w:rPr>
          <w:rFonts w:ascii="Calibri" w:cs="Calibri" w:eastAsia="Calibri" w:hAnsi="Calibri"/>
          <w:sz w:val="21"/>
          <w:szCs w:val="21"/>
        </w:rPr>
        <w:t xml:space="preserve">Several commonly cited mitigations are less effective than their prominence implies, and saying so is more useful than listing them.</w:t>
      </w:r>
    </w:p>
    <w:p>
      <w:pPr>
        <w:pStyle w:val="ListParagraph"/>
        <w:numPr>
          <w:ilvl w:val="0"/>
          <w:numId w:val="1"/>
        </w:numPr>
        <w:spacing w:after="70" w:line="264"/>
      </w:pPr>
      <w:r>
        <w:rPr>
          <w:rFonts w:ascii="Calibri" w:cs="Calibri" w:eastAsia="Calibri" w:hAnsi="Calibri"/>
          <w:b/>
          <w:bCs/>
          <w:sz w:val="21"/>
          <w:szCs w:val="21"/>
        </w:rPr>
        <w:t xml:space="preserve">On-site storage</w:t>
      </w:r>
      <w:r>
        <w:rPr>
          <w:rFonts w:ascii="Calibri" w:cs="Calibri" w:eastAsia="Calibri" w:hAnsi="Calibri"/>
          <w:sz w:val="21"/>
          <w:szCs w:val="21"/>
        </w:rPr>
        <w:t xml:space="preserve"> is genuinely effective and is the single best mitigation for short-duration events, because it converts an outage into a countdown. Its value is bounded by capacity, and most facilities size storage for operational buffering rather than for multi-day supply interruption.</w:t>
      </w:r>
    </w:p>
    <w:p>
      <w:pPr>
        <w:pStyle w:val="ListParagraph"/>
        <w:numPr>
          <w:ilvl w:val="0"/>
          <w:numId w:val="1"/>
        </w:numPr>
        <w:spacing w:after="70" w:line="264"/>
      </w:pPr>
      <w:r>
        <w:rPr>
          <w:rFonts w:ascii="Calibri" w:cs="Calibri" w:eastAsia="Calibri" w:hAnsi="Calibri"/>
          <w:b/>
          <w:bCs/>
          <w:sz w:val="21"/>
          <w:szCs w:val="21"/>
        </w:rPr>
        <w:t xml:space="preserve">Tanker and bottled-water supply</w:t>
      </w:r>
      <w:r>
        <w:rPr>
          <w:rFonts w:ascii="Calibri" w:cs="Calibri" w:eastAsia="Calibri" w:hAnsi="Calibri"/>
          <w:sz w:val="21"/>
          <w:szCs w:val="21"/>
        </w:rPr>
        <w:t xml:space="preserve"> works well for drinking water and poorly for everything else. It does not restore flush volume at passenger scale, does not restore cooling, and does not restore fire flow. The observed cases confirm this: bottled water kept facilities open, but toilets still closed.</w:t>
      </w:r>
      <w:r>
        <w:rPr>
          <w:rFonts w:ascii="Calibri" w:cs="Calibri" w:eastAsia="Calibri" w:hAnsi="Calibri"/>
          <w:sz w:val="21"/>
          <w:szCs w:val="21"/>
          <w:vertAlign w:val="superscript"/>
        </w:rPr>
        <w:t xml:space="preserve">21</w:t>
      </w:r>
      <w:r>
        <w:rPr>
          <w:rFonts w:ascii="Calibri" w:cs="Calibri" w:eastAsia="Calibri" w:hAnsi="Calibri"/>
          <w:sz w:val="21"/>
          <w:szCs w:val="21"/>
          <w:vertAlign w:val="superscript"/>
        </w:rPr>
        <w:t xml:space="preserve">22</w:t>
      </w:r>
    </w:p>
    <w:p>
      <w:pPr>
        <w:pStyle w:val="ListParagraph"/>
        <w:numPr>
          <w:ilvl w:val="0"/>
          <w:numId w:val="1"/>
        </w:numPr>
        <w:spacing w:after="70" w:line="264"/>
      </w:pPr>
      <w:r>
        <w:rPr>
          <w:rFonts w:ascii="Calibri" w:cs="Calibri" w:eastAsia="Calibri" w:hAnsi="Calibri"/>
          <w:b/>
          <w:bCs/>
          <w:sz w:val="21"/>
          <w:szCs w:val="21"/>
        </w:rPr>
        <w:t xml:space="preserve">Portable sanitation</w:t>
      </w:r>
      <w:r>
        <w:rPr>
          <w:rFonts w:ascii="Calibri" w:cs="Calibri" w:eastAsia="Calibri" w:hAnsi="Calibri"/>
          <w:sz w:val="21"/>
          <w:szCs w:val="21"/>
        </w:rPr>
        <w:t xml:space="preserve"> is effective at facility scale and constrained by lead time and inventory. In a regional event, many facilities compete for the same regional inventory, and the facility that ordered second waits.</w:t>
      </w:r>
    </w:p>
    <w:p>
      <w:pPr>
        <w:pStyle w:val="ListParagraph"/>
        <w:numPr>
          <w:ilvl w:val="0"/>
          <w:numId w:val="1"/>
        </w:numPr>
        <w:spacing w:after="70" w:line="264"/>
      </w:pPr>
      <w:r>
        <w:rPr>
          <w:rFonts w:ascii="Calibri" w:cs="Calibri" w:eastAsia="Calibri" w:hAnsi="Calibri"/>
          <w:b/>
          <w:bCs/>
          <w:sz w:val="21"/>
          <w:szCs w:val="21"/>
        </w:rPr>
        <w:t xml:space="preserve">Mutual aid</w:t>
      </w:r>
      <w:r>
        <w:rPr>
          <w:rFonts w:ascii="Calibri" w:cs="Calibri" w:eastAsia="Calibri" w:hAnsi="Calibri"/>
          <w:sz w:val="21"/>
          <w:szCs w:val="21"/>
        </w:rPr>
        <w:t xml:space="preserve"> is designed for localized events and thins out precisely in the correlated regional events that this campaign makes more likely. Its value should not be double-counted across facilities in the same region.</w:t>
      </w:r>
    </w:p>
    <w:p>
      <w:pPr>
        <w:pStyle w:val="ListParagraph"/>
        <w:numPr>
          <w:ilvl w:val="0"/>
          <w:numId w:val="1"/>
        </w:numPr>
        <w:spacing w:after="70" w:line="264"/>
      </w:pPr>
      <w:r>
        <w:rPr>
          <w:rFonts w:ascii="Calibri" w:cs="Calibri" w:eastAsia="Calibri" w:hAnsi="Calibri"/>
          <w:b/>
          <w:bCs/>
          <w:sz w:val="21"/>
          <w:szCs w:val="21"/>
        </w:rPr>
        <w:t xml:space="preserve">Manual operation</w:t>
      </w:r>
      <w:r>
        <w:rPr>
          <w:rFonts w:ascii="Calibri" w:cs="Calibri" w:eastAsia="Calibri" w:hAnsi="Calibri"/>
          <w:sz w:val="21"/>
          <w:szCs w:val="21"/>
        </w:rPr>
        <w:t xml:space="preserve"> is the highest-value mitigation for the direct-compromise pathway and the one most frequently assumed rather than tested. The FBI and EPA recommend practicing and maintaining the ability to operate systems manually and routinely testing those procedures.</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For transportation, the honest question is not whether manual procedures exist but when they were last exercised, whether the staff who would perform them are still employed, and whether the equipment still has the physical controls the procedure assumes.</w:t>
      </w:r>
    </w:p>
    <w:p>
      <w:pPr>
        <w:pStyle w:val="ListParagraph"/>
        <w:numPr>
          <w:ilvl w:val="0"/>
          <w:numId w:val="1"/>
        </w:numPr>
        <w:spacing w:after="70" w:line="264"/>
      </w:pPr>
      <w:r>
        <w:rPr>
          <w:rFonts w:ascii="Calibri" w:cs="Calibri" w:eastAsia="Calibri" w:hAnsi="Calibri"/>
          <w:b/>
          <w:bCs/>
          <w:sz w:val="21"/>
          <w:szCs w:val="21"/>
        </w:rPr>
        <w:t xml:space="preserve">Wells and alternate supply</w:t>
      </w:r>
      <w:r>
        <w:rPr>
          <w:rFonts w:ascii="Calibri" w:cs="Calibri" w:eastAsia="Calibri" w:hAnsi="Calibri"/>
          <w:sz w:val="21"/>
          <w:szCs w:val="21"/>
        </w:rPr>
        <w:t xml:space="preserve"> are the strongest structural mitigation and the least commonly available. Where they exist they should be verified as currently functional and permitted rather than assumed from a facility record.</w:t>
      </w:r>
    </w:p>
    <w:p>
      <w:pPr>
        <w:spacing w:after="140" w:before="0" w:line="276"/>
      </w:pPr>
      <w:r>
        <w:rPr>
          <w:rFonts w:ascii="Calibri" w:cs="Calibri" w:eastAsia="Calibri" w:hAnsi="Calibri"/>
          <w:sz w:val="21"/>
          <w:szCs w:val="21"/>
        </w:rPr>
        <w:t xml:space="preserve">The general point is that substitution works for drinking water, partially for sanitation, and hardly at all for fire suppression and cooling. Continuity planning that treats water as a single commodity to be replaced will over-estimate its own resilience, because the uses that are hardest to substitute are the ones that drive operational restriction.</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Scenario analysis</w:t>
      </w:r>
    </w:p>
    <w:p>
      <w:pPr>
        <w:spacing w:after="140" w:before="0" w:line="276"/>
      </w:pPr>
      <w:r>
        <w:rPr>
          <w:rFonts w:ascii="Calibri" w:cs="Calibri" w:eastAsia="Calibri" w:hAnsi="Calibri"/>
          <w:sz w:val="21"/>
          <w:szCs w:val="21"/>
        </w:rPr>
        <w:t xml:space="preserve">Six scenarios span the plausible range from a brief single-node event to a blended multi-sector campaign. They are ordered by increasing scope, and the set deliberately includes intermediate cases rather than only best and worst. Each scenario states its own assumptions and what distinguishes it from its neighbors, so that no scenario depends on a label to be understood.</w:t>
      </w:r>
    </w:p>
    <w:p>
      <w:pPr>
        <w:spacing w:after="140" w:before="0" w:line="276"/>
      </w:pPr>
      <w:r>
        <w:rPr>
          <w:rFonts w:ascii="Calibri" w:cs="Calibri" w:eastAsia="Calibri" w:hAnsi="Calibri"/>
          <w:sz w:val="21"/>
          <w:szCs w:val="21"/>
        </w:rPr>
        <w:t xml:space="preserve">Consequence estimates are given as low, base, and high bands rather than single values. Low means the favorable end of plausible outcomes — good manual fallback, adequate storage, quick recovery. Base means the outcome consistent with the observed record. High means the unfavorable end — thin staffing, no alternate supply, concurrent stressors. These bands are analyst judgments calibrated against the cases in Table 1, not model outputs, and no simulation was run to produce them.</w:t>
      </w:r>
    </w:p>
    <w:p>
      <w:pPr>
        <w:pStyle w:val="Heading2"/>
        <w:keepNext/>
        <w:spacing w:after="110" w:before="260"/>
      </w:pPr>
      <w:r>
        <w:rPr>
          <w:rFonts w:ascii="Calibri" w:cs="Calibri" w:eastAsia="Calibri" w:hAnsi="Calibri"/>
          <w:b/>
          <w:bCs/>
          <w:color w:val="1F3864"/>
          <w:sz w:val="24"/>
          <w:szCs w:val="24"/>
        </w:rPr>
        <w:t xml:space="preserve">Scenario 1. Localized utility disruption near one transportation node, under twelve hours</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A single community water system serving the area around one transportation facility suffers a controller compromise producing loss of monitoring and a partial pressure reduction. The utility detects the anomaly, isolates the affected devices, and shifts to manual operation. This is the scenario most closely matching what Minnesota cities described.</w:t>
      </w:r>
    </w:p>
    <w:p>
      <w:pPr>
        <w:spacing w:after="140" w:before="0" w:line="276"/>
      </w:pPr>
      <w:r>
        <w:rPr>
          <w:rFonts w:ascii="Calibri" w:cs="Calibri" w:eastAsia="Calibri" w:hAnsi="Calibri"/>
          <w:sz w:val="21"/>
          <w:szCs w:val="21"/>
        </w:rPr>
        <w:t xml:space="preserve">What distinguishes it.</w:t>
      </w:r>
      <w:r>
        <w:rPr>
          <w:rFonts w:ascii="Calibri" w:cs="Calibri" w:eastAsia="Calibri" w:hAnsi="Calibri"/>
          <w:sz w:val="21"/>
          <w:szCs w:val="21"/>
        </w:rPr>
        <w:t xml:space="preserve"> Single utility, single facility, short duration, manual fallback available, no contamination question raised.</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six hours: pressure fluctuation noticed at the facility; restrooms remain usable; facility staff contact the utility. Six to twenty-four hours: if a precautionary boil notice issues, fountains and ice service stop, food outlets restrict menus, bottled water is distributed; movement of aircraft, trains, or vehicles is unaffected. Twenty-four to seventy-two hours: service normalizes; sampling continues; the notice is lifted on the utility's public-health timeline rather than its technical one. Three to fourteen days: no residual operational effect; incident reporting and after-action review. Fifteen to ninety days: the facility discovers, usually for the first time, that it does not know its own alternate-supply position.</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no measurable effect beyond concessions. Base: one to two days of degraded passenger amenities at one facility. High: a boil notice extending several days with concession revenue loss and localized reputational effect. Security implications are minimal; public-health effects are precautionary only. Indicators: utility public notice, pressure anomaly reports from facility engineering. Confidence: high — this scenario is directly observed. Key uncertainty: none material.</w:t>
      </w:r>
    </w:p>
    <w:p>
      <w:pPr>
        <w:pStyle w:val="Heading2"/>
        <w:keepNext/>
        <w:spacing w:after="110" w:before="260"/>
      </w:pPr>
      <w:r>
        <w:rPr>
          <w:rFonts w:ascii="Calibri" w:cs="Calibri" w:eastAsia="Calibri" w:hAnsi="Calibri"/>
          <w:b/>
          <w:bCs/>
          <w:color w:val="1F3864"/>
          <w:sz w:val="24"/>
          <w:szCs w:val="24"/>
        </w:rPr>
        <w:t xml:space="preserve">Scenario 2. Regional multi-utility disruption affecting several transportation facilities, twenty-four to seventy-two hours</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Several utilities across a metropolitan region are affected in the same window, consistent with a common integrator configuration or an automated technique. Multiple transportation facilities — an airport, several transit stations, a distribution cluster — sit inside the affected service areas.</w:t>
      </w:r>
    </w:p>
    <w:p>
      <w:pPr>
        <w:spacing w:after="140" w:before="0" w:line="276"/>
      </w:pPr>
      <w:r>
        <w:rPr>
          <w:rFonts w:ascii="Calibri" w:cs="Calibri" w:eastAsia="Calibri" w:hAnsi="Calibri"/>
          <w:sz w:val="21"/>
          <w:szCs w:val="21"/>
        </w:rPr>
        <w:t xml:space="preserve">What distinguishes it from Scenario 1.</w:t>
      </w:r>
      <w:r>
        <w:rPr>
          <w:rFonts w:ascii="Calibri" w:cs="Calibri" w:eastAsia="Calibri" w:hAnsi="Calibri"/>
          <w:sz w:val="21"/>
          <w:szCs w:val="21"/>
        </w:rPr>
        <w:t xml:space="preserve"> Correlation. Mutual aid and portable-asset inventories are shared across the affected facilities rather than available to each, and the region's spare capacity is consumed rather than drawn upon.</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six hours: multiple facilities report pressure anomalies; the regional picture is not yet assembled because reports arrive through separate channels. Six to twenty-four hours: boil notices across several jurisdictions; concession and sanitation degradation at several facilities simultaneously; portable sanitation orders compete. Twenty-four to seventy-two hours: absenteeism begins to register; manual operations at utilities enter a second and third shift with fatigue; a transit station or terminal concourse may close for sanitation reasons. Three to fourteen days: staged recovery, with the last utilities restored slowest because engineering support is queued; concession supply chains reset. Fifteen to ninety days: regional after-action activity; procurement of portable assets and storage.</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parallel Scenario 1 events with no interaction. Base: two to three days of degraded amenities across several facilities, one localized closure of a concourse or station, no effect on movement. High: a fire-protection impairment at one facility forcing occupancy restriction, plus measurable absenteeism affecting a distribution cluster. Economic effect is concentrated in concessions, overtime, and portable-asset procurement. Confidence: moderate. Key uncertainty: whether portable sanitation and tanker inventories in a given region can serve several large facilities at once — this is not publicly known and is the variable that separates the base and high bands.</w:t>
      </w:r>
    </w:p>
    <w:p>
      <w:pPr>
        <w:pStyle w:val="Heading2"/>
        <w:keepNext/>
        <w:spacing w:after="110" w:before="260"/>
      </w:pPr>
      <w:r>
        <w:rPr>
          <w:rFonts w:ascii="Calibri" w:cs="Calibri" w:eastAsia="Calibri" w:hAnsi="Calibri"/>
          <w:b/>
          <w:bCs/>
          <w:color w:val="1F3864"/>
          <w:sz w:val="24"/>
          <w:szCs w:val="24"/>
        </w:rPr>
        <w:t xml:space="preserve">Scenario 3. Coordinated campaign against water and transportation operational technology in one metropolitan area</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An actor with established access to exposed controllers in a metropolitan area acts against both water utilities and transportation operational technology in the same window. Transportation targets are field systems with the same exposure profile: tunnel drainage and ventilation, movable-bridge machinery, roadside field devices.</w:t>
      </w:r>
    </w:p>
    <w:p>
      <w:pPr>
        <w:spacing w:after="140" w:before="0" w:line="276"/>
      </w:pPr>
      <w:r>
        <w:rPr>
          <w:rFonts w:ascii="Calibri" w:cs="Calibri" w:eastAsia="Calibri" w:hAnsi="Calibri"/>
          <w:sz w:val="21"/>
          <w:szCs w:val="21"/>
        </w:rPr>
        <w:t xml:space="preserve">What distinguishes it from Scenario 2.</w:t>
      </w:r>
      <w:r>
        <w:rPr>
          <w:rFonts w:ascii="Calibri" w:cs="Calibri" w:eastAsia="Calibri" w:hAnsi="Calibri"/>
          <w:sz w:val="21"/>
          <w:szCs w:val="21"/>
        </w:rPr>
        <w:t xml:space="preserve"> Transportation is a target rather than a bystander, so the effects reach functions that are safety-critical rather than supporting. Response must proceed without trusting instrumentation.</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six hours: anomalous readings and control failures at dispersed transportation field sites; the immediate operational question is whether displays can be trusted, and the conservative answer drives immediate restrictions. Tunnel speed restrictions or closures, movable-bridge lockouts in the safe position, and manual traffic control follow quickly. Six to twenty-four hours: severe congestion as tunnel and bridge capacity is removed; transit crowding; freight rerouting; concurrent water degradation loads the same responders. Twenty-four to seventy-two hours: physical verification of controller logic at each affected site, which is slow because it requires qualified engineers travelling to dispersed locations through degraded traffic. Three to fourteen days: staged restoration as sites are individually validated; sustained capacity reduction. Fifteen to ninety days: fleet-wide controller replacement and architecture changes; extended capital demand.</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brief precautionary restrictions with rapid validation. Base: one to two weeks of reduced capacity at specific chokepoints with substantial regional congestion cost. High: extended closure of a major tunnel or movable crossing pending logic validation, with metropolitan-scale economic effect. Security implications are significant: this scenario would drive posture elevation, changed patrol patterns, and heavy public-messaging demand. Confidence: low to moderate — no observed instance of transportation operational technology being targeted in this campaign. Key uncertainty: the actual extent of transportation controller exposure, which is the assumption this scenario rests on entirely.</w:t>
      </w:r>
    </w:p>
    <w:p>
      <w:pPr>
        <w:pStyle w:val="Heading2"/>
        <w:keepNext/>
        <w:spacing w:after="110" w:before="260"/>
      </w:pPr>
      <w:r>
        <w:rPr>
          <w:rFonts w:ascii="Calibri" w:cs="Calibri" w:eastAsia="Calibri" w:hAnsi="Calibri"/>
          <w:b/>
          <w:bCs/>
          <w:color w:val="1F3864"/>
          <w:sz w:val="24"/>
          <w:szCs w:val="24"/>
        </w:rPr>
        <w:t xml:space="preserve">Scenario 4. Suspected or actual contamination requiring conservative shutdown and testing</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Manipulation of treatment control or of the data displayed to operators creates a credible question about water quality, whether or not any contamination occurred. Because alarm and shutdown logic can be suppressed, operators cannot resolve the question from instrumentation and must sample and wait.</w:t>
      </w:r>
    </w:p>
    <w:p>
      <w:pPr>
        <w:spacing w:after="140" w:before="0" w:line="276"/>
      </w:pPr>
      <w:r>
        <w:rPr>
          <w:rFonts w:ascii="Calibri" w:cs="Calibri" w:eastAsia="Calibri" w:hAnsi="Calibri"/>
          <w:sz w:val="21"/>
          <w:szCs w:val="21"/>
        </w:rPr>
        <w:t xml:space="preserve">What distinguishes it.</w:t>
      </w:r>
      <w:r>
        <w:rPr>
          <w:rFonts w:ascii="Calibri" w:cs="Calibri" w:eastAsia="Calibri" w:hAnsi="Calibri"/>
          <w:sz w:val="21"/>
          <w:szCs w:val="21"/>
        </w:rPr>
        <w:t xml:space="preserve"> The controlling variable is uncertainty, not damage. The response is driven by what cannot be ruled out, and it proceeds on laboratory timelines that are measured in days and are insensitive to how quickly the cyber problem is fixed.</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six hours: do-not-drink or do-not-use guidance issued conservatively; all food service, ice, and fountain operations stop at every affected transportation facility. Six to twenty-four hours: bottled-water logistics at passenger scale; public concern materially exceeds the physical situation; media and social amplification. Twenty-four to seventy-two hours: sampling results begin returning; if negative, guidance narrows; if ambiguous, it extends. Three to fourteen days: flushing, sequential clearance, and staged lifting of guidance; food-handling facilities complete disposition decisions. Fifteen to ninety days: durable public-confidence effects; elevated bottled-water demand; litigation and oversight attention.</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guidance lifted within seventy-two hours with no confirmed contamination. Base: five to seven days of do-not-drink guidance affecting food service across a metropolitan area, no confirmed public-health harm. High: confirmed contamination with public-health cases, extended guidance, and durable confidence effects. Confidence: moderate on the mechanism and low on the likelihood of the high band, because no contamination has been reported in this campaign or in the prior U.S. cases.</w:t>
      </w:r>
      <w:r>
        <w:rPr>
          <w:rFonts w:ascii="Calibri" w:cs="Calibri" w:eastAsia="Calibri" w:hAnsi="Calibri"/>
          <w:sz w:val="21"/>
          <w:szCs w:val="21"/>
          <w:vertAlign w:val="superscript"/>
        </w:rPr>
        <w:t xml:space="preserve">12</w:t>
      </w:r>
      <w:r>
        <w:rPr>
          <w:rFonts w:ascii="Calibri" w:cs="Calibri" w:eastAsia="Calibri" w:hAnsi="Calibri"/>
          <w:sz w:val="21"/>
          <w:szCs w:val="21"/>
        </w:rPr>
        <w:t xml:space="preserve"> Key uncertainty: whether treatment-process manipulation could defeat both automated monitoring and routine sampling — a question this assessment cannot resolve from open sources and which should be posed to water-sector technical authorities.</w:t>
      </w:r>
    </w:p>
    <w:p>
      <w:pPr>
        <w:pStyle w:val="Heading2"/>
        <w:keepNext/>
        <w:spacing w:after="110" w:before="260"/>
      </w:pPr>
      <w:r>
        <w:rPr>
          <w:rFonts w:ascii="Calibri" w:cs="Calibri" w:eastAsia="Calibri" w:hAnsi="Calibri"/>
          <w:b/>
          <w:bCs/>
          <w:color w:val="1F3864"/>
          <w:sz w:val="24"/>
          <w:szCs w:val="24"/>
        </w:rPr>
        <w:t xml:space="preserve">Scenario 5. Nationally distributed opportunistic attacks against common exposed configurations</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Following extensive public discussion of the technique, multiple unrelated actors act against the same discoverable population of exposed controllers across many states. Individual incidents are small; the aggregate is large and persistent.</w:t>
      </w:r>
    </w:p>
    <w:p>
      <w:pPr>
        <w:spacing w:after="140" w:before="0" w:line="276"/>
      </w:pPr>
      <w:r>
        <w:rPr>
          <w:rFonts w:ascii="Calibri" w:cs="Calibri" w:eastAsia="Calibri" w:hAnsi="Calibri"/>
          <w:sz w:val="21"/>
          <w:szCs w:val="21"/>
        </w:rPr>
        <w:t xml:space="preserve">What distinguishes it from Scenario 2.</w:t>
      </w:r>
      <w:r>
        <w:rPr>
          <w:rFonts w:ascii="Calibri" w:cs="Calibri" w:eastAsia="Calibri" w:hAnsi="Calibri"/>
          <w:sz w:val="21"/>
          <w:szCs w:val="21"/>
        </w:rPr>
        <w:t xml:space="preserve"> Geographic dispersion without regional concentration. No single area is severely affected, but the national reporting and response burden is continuous, and the pattern does not respond to geopolitical developments because there is no single actor whose calculus can change.</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twenty-four hours per incident: effects resemble Scenario 1 locally. Twenty-four to seventy-two hours: federal and state response capacity is consumed by volume rather than severity; triage becomes the dominant problem. Three to fourteen days: engineering and integrator capacity saturates nationally; replacement controllers and secure gateway hardware go on allocation. Fifteen to ninety days: a persistent elevated baseline of incidents; sustained response cost; risk of alert fatigue causing a serious incident to be triaged as routine.</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incident rate declines as exposure is remediated. Base: a sustained elevated incident rate for one to three months with cumulative response cost and no single severe event. High: a serious incident is missed inside the volume and is recognized late. Transportation effect is diffuse and small per event, with scattered short sanitation disruptions. Confidence: moderate. This scenario is under-weighted in current public discussion and follows directly from competing hypotheses three and four. Key uncertainty: the size of the remaining exposed population and the rate at which it is being reduced.</w:t>
      </w:r>
    </w:p>
    <w:p>
      <w:pPr>
        <w:pStyle w:val="Heading2"/>
        <w:keepNext/>
        <w:spacing w:after="110" w:before="260"/>
      </w:pPr>
      <w:r>
        <w:rPr>
          <w:rFonts w:ascii="Calibri" w:cs="Calibri" w:eastAsia="Calibri" w:hAnsi="Calibri"/>
          <w:b/>
          <w:bCs/>
          <w:color w:val="1F3864"/>
          <w:sz w:val="24"/>
          <w:szCs w:val="24"/>
        </w:rPr>
        <w:t xml:space="preserve">Scenario 6. Blended campaign during a geopolitical crisis</w:t>
      </w:r>
    </w:p>
    <w:p>
      <w:pPr>
        <w:spacing w:after="140" w:before="0" w:line="276"/>
      </w:pPr>
      <w:r>
        <w:rPr>
          <w:rFonts w:ascii="Calibri" w:cs="Calibri" w:eastAsia="Calibri" w:hAnsi="Calibri"/>
          <w:sz w:val="21"/>
          <w:szCs w:val="21"/>
        </w:rPr>
        <w:t xml:space="preserve">Initiating conditions.</w:t>
      </w:r>
      <w:r>
        <w:rPr>
          <w:rFonts w:ascii="Calibri" w:cs="Calibri" w:eastAsia="Calibri" w:hAnsi="Calibri"/>
          <w:sz w:val="21"/>
          <w:szCs w:val="21"/>
        </w:rPr>
        <w:t xml:space="preserve"> Renewed escalation in the ongoing conflict is accompanied by simultaneous water disruption, power or communications degradation, an active disinformation effort, and explicit threats against transportation assets. The threat-actor statement of 23 July naming transportation as a future target is the kind of signaling that would precede this.</w:t>
      </w:r>
      <w:r>
        <w:rPr>
          <w:rFonts w:ascii="Calibri" w:cs="Calibri" w:eastAsia="Calibri" w:hAnsi="Calibri"/>
          <w:sz w:val="21"/>
          <w:szCs w:val="21"/>
          <w:vertAlign w:val="superscript"/>
        </w:rPr>
        <w:t xml:space="preserve">14</w:t>
      </w:r>
    </w:p>
    <w:p>
      <w:pPr>
        <w:spacing w:after="140" w:before="0" w:line="276"/>
      </w:pPr>
      <w:r>
        <w:rPr>
          <w:rFonts w:ascii="Calibri" w:cs="Calibri" w:eastAsia="Calibri" w:hAnsi="Calibri"/>
          <w:sz w:val="21"/>
          <w:szCs w:val="21"/>
        </w:rPr>
        <w:t xml:space="preserve">What distinguishes it from Scenario 3.</w:t>
      </w:r>
      <w:r>
        <w:rPr>
          <w:rFonts w:ascii="Calibri" w:cs="Calibri" w:eastAsia="Calibri" w:hAnsi="Calibri"/>
          <w:sz w:val="21"/>
          <w:szCs w:val="21"/>
        </w:rPr>
        <w:t xml:space="preserve"> Deliberate integration of physical, cyber, and information effects, with the information component designed to amplify limited physical effects and to make transportation operators' decisions harder rather than to cause damage directly.</w:t>
      </w:r>
    </w:p>
    <w:p>
      <w:pPr>
        <w:spacing w:after="140" w:before="0" w:line="276"/>
      </w:pPr>
      <w:r>
        <w:rPr>
          <w:rFonts w:ascii="Calibri" w:cs="Calibri" w:eastAsia="Calibri" w:hAnsi="Calibri"/>
          <w:sz w:val="21"/>
          <w:szCs w:val="21"/>
        </w:rPr>
        <w:t xml:space="preserve">Effects by horizon.</w:t>
      </w:r>
      <w:r>
        <w:rPr>
          <w:rFonts w:ascii="Calibri" w:cs="Calibri" w:eastAsia="Calibri" w:hAnsi="Calibri"/>
          <w:sz w:val="21"/>
          <w:szCs w:val="21"/>
        </w:rPr>
        <w:t xml:space="preserve"> Zero to six hours: multiple concurrent reports across sectors; fabricated contamination and closure claims circulate; operators face decisions under deliberately degraded information. Six to twenty-four hours: precautionary restrictions applied broadly because verification is slow; self-evacuation and absenteeism; posture elevation across modes; security screening and patrol demand rises as facility populations behave unpredictably. Twenty-four to seventy-two hours: attribution pressure and public-messaging load dominate leadership attention; genuine and fabricated incidents are hard to separate; response capacity is consumed by verification. Three to fourteen days: recovery proceeds unevenly; the information effects persist after the physical ones resolve. Fifteen to ninety days: durable posture changes, regulatory response, and public-confidence effects.</w:t>
      </w:r>
    </w:p>
    <w:p>
      <w:pPr>
        <w:spacing w:after="140" w:before="0" w:line="276"/>
      </w:pPr>
      <w:r>
        <w:rPr>
          <w:rFonts w:ascii="Calibri" w:cs="Calibri" w:eastAsia="Calibri" w:hAnsi="Calibri"/>
          <w:sz w:val="21"/>
          <w:szCs w:val="21"/>
        </w:rPr>
        <w:t xml:space="preserve">Consequence band.</w:t>
      </w:r>
      <w:r>
        <w:rPr>
          <w:rFonts w:ascii="Calibri" w:cs="Calibri" w:eastAsia="Calibri" w:hAnsi="Calibri"/>
          <w:sz w:val="21"/>
          <w:szCs w:val="21"/>
        </w:rPr>
        <w:t xml:space="preserve"> Low: information effects dominate, physical effects remain minor, and credible official communication contains the confusion. Base: several days of elevated posture with regional service reductions across modes and substantial precautionary closure. High: concurrent physical effects in water, energy, and transportation with saturated response and multi-week recovery. Confidence: low, as with all scenarios that require adversary intent to shift. Key uncertainty: the escalation trajectory of the underlying conflict, which is outside this assessment's scope.</w:t>
      </w:r>
      <w:r>
        <w:rPr>
          <w:rFonts w:ascii="Calibri" w:cs="Calibri" w:eastAsia="Calibri" w:hAnsi="Calibri"/>
          <w:sz w:val="21"/>
          <w:szCs w:val="21"/>
          <w:vertAlign w:val="superscript"/>
        </w:rPr>
        <w:t xml:space="preserve">7</w:t>
      </w:r>
      <w:r>
        <w:rPr>
          <w:rFonts w:ascii="Calibri" w:cs="Calibri" w:eastAsia="Calibri" w:hAnsi="Calibri"/>
          <w:sz w:val="21"/>
          <w:szCs w:val="21"/>
          <w:vertAlign w:val="superscript"/>
        </w:rPr>
        <w:t xml:space="preserve">8</w:t>
      </w:r>
      <w:r>
        <w:rPr>
          <w:rFonts w:ascii="Calibri" w:cs="Calibri" w:eastAsia="Calibri" w:hAnsi="Calibri"/>
          <w:sz w:val="21"/>
          <w:szCs w:val="21"/>
        </w:rPr>
        <w:t xml:space="preserve"> A second and important uncertainty is the effect of divergent public messaging by senior officials, which in this scenario is a material variable in whether the low or base band obtains.</w:t>
      </w:r>
    </w:p>
    <w:p>
      <w:pPr>
        <w:keepNext/>
        <w:spacing w:after="80" w:before="200" w:line="276"/>
      </w:pPr>
      <w:r>
        <w:rPr>
          <w:rFonts w:ascii="Calibri" w:cs="Calibri" w:eastAsia="Calibri" w:hAnsi="Calibri"/>
          <w:b/>
          <w:bCs/>
          <w:color w:val="1F3864"/>
          <w:sz w:val="18"/>
          <w:szCs w:val="18"/>
        </w:rPr>
        <w:t xml:space="preserve">Table 7. Scenario comparison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91"/>
        <w:gridCol w:w="1123"/>
        <w:gridCol w:w="1310"/>
        <w:gridCol w:w="1778"/>
        <w:gridCol w:w="1778"/>
        <w:gridCol w:w="1778"/>
      </w:tblGrid>
      <w:tr>
        <w:trPr>
          <w:tblHeader/>
        </w:trPr>
        <w:tc>
          <w:tcPr>
            <w:tcW w:type="dxa" w:w="1591"/>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Scenario</w:t>
            </w:r>
          </w:p>
        </w:tc>
        <w:tc>
          <w:tcPr>
            <w:tcW w:type="dxa" w:w="112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Duration</w:t>
            </w:r>
          </w:p>
        </w:tc>
        <w:tc>
          <w:tcPr>
            <w:tcW w:type="dxa" w:w="131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Geography</w:t>
            </w:r>
          </w:p>
        </w:tc>
        <w:tc>
          <w:tcPr>
            <w:tcW w:type="dxa" w:w="177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Low consequence</w:t>
            </w:r>
          </w:p>
        </w:tc>
        <w:tc>
          <w:tcPr>
            <w:tcW w:type="dxa" w:w="177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Base consequence</w:t>
            </w:r>
          </w:p>
        </w:tc>
        <w:tc>
          <w:tcPr>
            <w:tcW w:type="dxa" w:w="177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High consequence</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1. Localized, under 12 hours</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Under 12 h</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One utility, one node</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No measurable effect</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1–2 days degraded amenities at one facility</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Multi-day boil notice, concession loss</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2. Regional multi-utility</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24–72 h</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One metropolitan region</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Parallel isolated events</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2–3 days degraded amenities at several facilities; one localized closure</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Fire-protection impairment forcing occupancy restriction; measurable absenteeism</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3. Coordinated water and transportation OT</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3–14 days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One metropolitan area</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Brief precautionary restrictions</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1–2 weeks reduced capacity at chokepoints</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Extended tunnel or crossing closure pending logic validation</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4. Suspected or actual contamination</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3–14 days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One to several systems</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Guidance lifted within 72 h</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5–7 days do-not-drink guidance; food service halted</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Confirmed contamination with public-health cases</w:t>
            </w:r>
          </w:p>
        </w:tc>
      </w:tr>
      <w:tr>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5. Nationally distributed opportunistic</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1–3 months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Many states, dispersed</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Incident rate declines with remediation</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Sustained elevated incident rate; cumulative response cost</w:t>
            </w:r>
          </w:p>
        </w:tc>
        <w:tc>
          <w:tcPr>
            <w:tcW w:type="dxa" w:w="1778"/>
            <w:tcMar>
              <w:top w:type="dxa" w:w="60"/>
              <w:left w:type="dxa" w:w="90"/>
              <w:bottom w:type="dxa" w:w="60"/>
              <w:right w:type="dxa" w:w="90"/>
            </w:tcMar>
            <w:vAlign w:val="top"/>
          </w:tcPr>
          <w:p>
            <w:pPr>
              <w:spacing w:after="0" w:line="240"/>
            </w:pPr>
            <w:r>
              <w:rPr>
                <w:rFonts w:ascii="Calibri" w:cs="Calibri" w:eastAsia="Calibri" w:hAnsi="Calibri"/>
                <w:sz w:val="15"/>
                <w:szCs w:val="15"/>
              </w:rPr>
              <w:t xml:space="preserve">Serious incident missed inside the volume</w:t>
            </w:r>
          </w:p>
        </w:tc>
      </w:tr>
      <w:tr>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6. Blended campaign in crisis</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2–14 days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Multi-region</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Information effects dominate; physical effects minor</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Elevated posture, regional service reductions, precautionary closures</w:t>
            </w:r>
          </w:p>
        </w:tc>
        <w:tc>
          <w:tcPr>
            <w:tcW w:type="dxa" w:w="177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Concurrent multi-sector physical effects; multi-week recovery</w:t>
            </w:r>
          </w:p>
        </w:tc>
      </w:tr>
    </w:tbl>
    <w:p>
      <w:pPr>
        <w:spacing w:after="160" w:before="0" w:line="276"/>
      </w:pPr>
      <w:r>
        <w:rPr>
          <w:rFonts w:ascii="Calibri" w:cs="Calibri" w:eastAsia="Calibri" w:hAnsi="Calibri"/>
          <w:sz w:val="21"/>
          <w:szCs w:val="21"/>
        </w:rPr>
        <w:t xml:space="preserve"/>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Geographic and asset-priority framework</w:t>
      </w:r>
    </w:p>
    <w:p>
      <w:pPr>
        <w:spacing w:after="140" w:before="0" w:line="276"/>
      </w:pPr>
      <w:r>
        <w:rPr>
          <w:rFonts w:ascii="Calibri" w:cs="Calibri" w:eastAsia="Calibri" w:hAnsi="Calibri"/>
          <w:sz w:val="21"/>
          <w:szCs w:val="21"/>
        </w:rPr>
        <w:t xml:space="preserve">This section provides a method for prioritizing transportation nodes, not a list of them. No facility-specific vulnerability information, no ranked target list, and no sensitive facility detail appears here or anywhere in this product. Illustrative categories use only publicly evident characteristics. Organizations holding authorized data can apply the framework to their own inventories.</w:t>
      </w:r>
    </w:p>
    <w:p>
      <w:pPr>
        <w:pStyle w:val="Heading2"/>
        <w:keepNext/>
        <w:spacing w:after="110" w:before="260"/>
      </w:pPr>
      <w:r>
        <w:rPr>
          <w:rFonts w:ascii="Calibri" w:cs="Calibri" w:eastAsia="Calibri" w:hAnsi="Calibri"/>
          <w:b/>
          <w:bCs/>
          <w:color w:val="1F3864"/>
          <w:sz w:val="24"/>
          <w:szCs w:val="24"/>
        </w:rPr>
        <w:t xml:space="preserve">Why volume is the wrong primary criterion</w:t>
      </w:r>
    </w:p>
    <w:p>
      <w:pPr>
        <w:spacing w:after="140" w:before="0" w:line="276"/>
      </w:pPr>
      <w:r>
        <w:rPr>
          <w:rFonts w:ascii="Calibri" w:cs="Calibri" w:eastAsia="Calibri" w:hAnsi="Calibri"/>
          <w:sz w:val="21"/>
          <w:szCs w:val="21"/>
        </w:rPr>
        <w:t xml:space="preserve">The instinct to rank the largest airports and ports highest is a bias worth naming, because it is wrong in a specific and consequential way for this threat. The largest facilities generally have the most redundancy, the most storage, dedicated fire-water infrastructure, multiple utility service connections, mature security operations, and terminal-level segmentation that allows partial operation. Orlando lost two terminals and kept a third; a single-terminal airport has no such option.</w:t>
      </w:r>
      <w:r>
        <w:rPr>
          <w:rFonts w:ascii="Calibri" w:cs="Calibri" w:eastAsia="Calibri" w:hAnsi="Calibri"/>
          <w:sz w:val="21"/>
          <w:szCs w:val="21"/>
          <w:vertAlign w:val="superscript"/>
        </w:rPr>
        <w:t xml:space="preserve">24</w:t>
      </w:r>
    </w:p>
    <w:p>
      <w:pPr>
        <w:spacing w:after="140" w:before="0" w:line="276"/>
      </w:pPr>
      <w:r>
        <w:rPr>
          <w:rFonts w:ascii="Calibri" w:cs="Calibri" w:eastAsia="Calibri" w:hAnsi="Calibri"/>
          <w:sz w:val="21"/>
          <w:szCs w:val="21"/>
        </w:rPr>
        <w:t xml:space="preserve">The facilities most exposed to this particular threat share a different profile: a single serving utility with no alternate supply, no meaningful on-site storage, fire protection dependent on municipal pressure, thin engineering staff, controllers reached over undocumented cellular links, and no exercised manual fallback. Those conditions correlate with small and medium facilities, not large ones. They also correlate with facilities that are nationally important for reasons unrelated to passenger volume — a single-berth terminal handling a critical commodity, a bridge or tunnel with no parallel crossing, a rail chokepoint, a fuel terminal serving a region's airports.</w:t>
      </w:r>
    </w:p>
    <w:p>
      <w:pPr>
        <w:spacing w:after="140" w:before="0" w:line="276"/>
      </w:pPr>
      <w:r>
        <w:rPr>
          <w:rFonts w:ascii="Calibri" w:cs="Calibri" w:eastAsia="Calibri" w:hAnsi="Calibri"/>
          <w:sz w:val="21"/>
          <w:szCs w:val="21"/>
        </w:rPr>
        <w:t xml:space="preserve">Prioritization should therefore run on lack of redundancy and criticality of function, with volume as a consequence multiplier rather than a primary criterion.</w:t>
      </w:r>
    </w:p>
    <w:p>
      <w:pPr>
        <w:keepNext/>
        <w:spacing w:after="80" w:before="200" w:line="276"/>
      </w:pPr>
      <w:r>
        <w:rPr>
          <w:rFonts w:ascii="Calibri" w:cs="Calibri" w:eastAsia="Calibri" w:hAnsi="Calibri"/>
          <w:b/>
          <w:bCs/>
          <w:color w:val="1F3864"/>
          <w:sz w:val="18"/>
          <w:szCs w:val="18"/>
        </w:rPr>
        <w:t xml:space="preserve">Table 8. Transportation-node prioritization framework</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872"/>
        <w:gridCol w:w="3557"/>
        <w:gridCol w:w="2059"/>
        <w:gridCol w:w="1872"/>
      </w:tblGrid>
      <w:tr>
        <w:trPr>
          <w:tblHeader/>
        </w:trPr>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Criterion</w:t>
            </w:r>
          </w:p>
        </w:tc>
        <w:tc>
          <w:tcPr>
            <w:tcW w:type="dxa" w:w="355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What to assess</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Why it matters here</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Weight class</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Water-service topology</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Number of serving utilities, pressure zones, alternate connections, on-site wells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Single-source facilities have no substitution path</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Fire-protection independence</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Dedicated fire-water storage, independent fire pumps, reliance on municipal pressure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dependency that actually forces occupancy decisions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Functional irreplaceability</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Whether traffic can move via an alternate facility, crossing, or route within the same day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Determines whether an outage is an inconvenience or a system event</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Controller exposure</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Internet-reachable controllers and operator interfaces; undocumented cellular modems; end-of-life devices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direct-compromise pathway and the fastest thing to check</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Manual operating capability</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Existence, currency, and last exercise date of manual procedures; staff available to execute them</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variable that determined severity in the observed water-sector cases</w:t>
            </w:r>
            <w:r>
              <w:rPr>
                <w:rFonts w:ascii="Calibri" w:cs="Calibri" w:eastAsia="Calibri" w:hAnsi="Calibri"/>
                <w:sz w:val="16"/>
                <w:szCs w:val="16"/>
                <w:vertAlign w:val="superscript"/>
              </w:rPr>
              <w:t xml:space="preserve">1</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Integrator concentration</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Whether the same integrator serves the facility and its serving utility, or many facilities in the region</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correlation mechanism that turns local events into regional ones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Secondary</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Hazardous-material concentration</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Bulk liquids, containerized hazardous cargo, fuel storage on or adjacent to the site</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Raises fire-flow consequence sharply</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Secondary</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Geographic co-location</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Whether airport, port, rail, transit, and fuel infrastructure share one municipal service area</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Creates simultaneous multi-modal effect from one utility event</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Secondary</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Emergency and defense function</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Role in evacuation routing, disaster staging, emergency response, or defense movement</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Consequence extends beyond commercial service</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Secondary</w:t>
            </w:r>
          </w:p>
        </w:tc>
      </w:tr>
      <w:tr>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Passenger or freight volume</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Throughput</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consequence multiplier, not an exposure indicator</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Modifier</w:t>
            </w:r>
          </w:p>
        </w:tc>
      </w:tr>
      <w:tr>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Recovery time</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Availability of replacement controllers, engineering support, and validated backups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Determines duration, which drives most cumulative cost</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Modifier</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Applied as sanitized categories rather than named facilities, the framework identifies four priority groupings. First, single-utility facilities without independent fire water, regardless of size — the highest-priority group and the one most likely to be overlooked. Second, irreplaceable chokepoints, including tunnels and crossings without parallel capacity and rail junctions without practical reroutes, where controller exposure rather than water dependence is the concern. Third, co-located multimodal clusters sharing one municipal service area, where a single utility event produces simultaneous effects across modes and where regional portable-asset inventories would be contested. Fourth, remote and small facilities where limited staff, no spare equipment, and no alternate supply make an ordinary event disproportionately severe.</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Risk characterization</w:t>
      </w:r>
    </w:p>
    <w:p>
      <w:pPr>
        <w:pStyle w:val="Heading2"/>
        <w:keepNext/>
        <w:spacing w:after="110" w:before="260"/>
      </w:pPr>
      <w:r>
        <w:rPr>
          <w:rFonts w:ascii="Calibri" w:cs="Calibri" w:eastAsia="Calibri" w:hAnsi="Calibri"/>
          <w:b/>
          <w:bCs/>
          <w:color w:val="1F3864"/>
          <w:sz w:val="24"/>
          <w:szCs w:val="24"/>
        </w:rPr>
        <w:t xml:space="preserve">Method, and what is deliberately not done</w:t>
      </w:r>
    </w:p>
    <w:p>
      <w:pPr>
        <w:spacing w:after="140" w:before="0" w:line="276"/>
      </w:pPr>
      <w:r>
        <w:rPr>
          <w:rFonts w:ascii="Calibri" w:cs="Calibri" w:eastAsia="Calibri" w:hAnsi="Calibri"/>
          <w:sz w:val="21"/>
          <w:szCs w:val="21"/>
        </w:rPr>
        <w:t xml:space="preserve">This section states probability judgments in Intelligence Community terms with numeric bands and explicit time horizons. It deliberately does not do several things that would create false precision.</w:t>
      </w:r>
    </w:p>
    <w:p>
      <w:pPr>
        <w:spacing w:after="140" w:before="0" w:line="276"/>
      </w:pPr>
      <w:r>
        <w:rPr>
          <w:rFonts w:ascii="Calibri" w:cs="Calibri" w:eastAsia="Calibri" w:hAnsi="Calibri"/>
          <w:sz w:val="21"/>
          <w:szCs w:val="21"/>
        </w:rPr>
        <w:t xml:space="preserve">No zero-to-one-hundred composite risk index is produced. Constructing one would require adding and averaging ordinal ratings such as the dependence and exposure classes in Table 5, and those ratings are ranks rather than measurements — the interval between "moderate" and "high" is not defined and not equal across rows, so arithmetic on them produces a number with no meaning. Priority tiers are used instead. No Monte Carlo simulation, Bayesian update, or outranking calculation is presented, because the inputs required — exposure counts for transportation controllers, integrator concentration, facility-level alternate supply, conditional dependence between events — are not available in open sources. Running such a model on assumed inputs would produce distributions whose apparent rigor would exceed the evidence by a wide margin. Where a quantitative method becomes defensible, the data requirements are listed in the intelligence gaps section.</w:t>
      </w:r>
    </w:p>
    <w:p>
      <w:pPr>
        <w:spacing w:after="140" w:before="0" w:line="276"/>
      </w:pPr>
      <w:r>
        <w:rPr>
          <w:rFonts w:ascii="Calibri" w:cs="Calibri" w:eastAsia="Calibri" w:hAnsi="Calibri"/>
          <w:sz w:val="21"/>
          <w:szCs w:val="21"/>
        </w:rPr>
        <w:t xml:space="preserve">Every probability below is an analyst-assigned judgment. None is derived from a published government estimate, a base-rate dataset, or a model. This provenance labeling is deliberate: readers should be able to see exactly which numbers carry institutional weight (none of them) and which carry an individual analyst's reasoning (all of them).</w:t>
      </w:r>
    </w:p>
    <w:p>
      <w:pPr>
        <w:spacing w:after="140" w:before="0" w:line="276"/>
      </w:pPr>
      <w:r>
        <w:rPr>
          <w:rFonts w:ascii="Calibri" w:cs="Calibri" w:eastAsia="Calibri" w:hAnsi="Calibri"/>
          <w:sz w:val="21"/>
          <w:szCs w:val="21"/>
        </w:rPr>
        <w:t xml:space="preserve">One clarification prevents the most common misreading of what follows. The percentage range attached to each term is the standard band that </w:t>
      </w:r>
      <w:r>
        <w:rPr>
          <w:rFonts w:ascii="Calibri" w:cs="Calibri" w:eastAsia="Calibri" w:hAnsi="Calibri"/>
          <w:sz w:val="21"/>
          <w:szCs w:val="21"/>
        </w:rPr>
        <w:t xml:space="preserve">defines</w:t>
      </w:r>
      <w:r>
        <w:rPr>
          <w:rFonts w:ascii="Calibri" w:cs="Calibri" w:eastAsia="Calibri" w:hAnsi="Calibri"/>
          <w:sz w:val="21"/>
          <w:szCs w:val="21"/>
        </w:rPr>
        <w:t xml:space="preserve"> that term in Intelligence Community usage. It is not a computed confidence interval around an estimate. "Unlikely (20–45 percent)" means the judgment falls within the band that the convention labels unlikely; it does not mean a calculation produced a lower bound of twenty and an upper bound of forty-five. Reading these bands as measurement would attribute a precision that the evidence cannot support and that no step in this analysis claims. They appear because the convention requires term and band to travel together, so that readers do not silently substitute their own numeric interpretation of a word like "unlikely" — a substitution that research on estimative language shows varies enormously between readers. The reasoning behind each placement is in the basis column, and that reasoning, not the number, is what should be argued with.</w:t>
      </w:r>
    </w:p>
    <w:p>
      <w:pPr>
        <w:pStyle w:val="Heading2"/>
        <w:keepNext/>
        <w:spacing w:after="110" w:before="260"/>
      </w:pPr>
      <w:r>
        <w:rPr>
          <w:rFonts w:ascii="Calibri" w:cs="Calibri" w:eastAsia="Calibri" w:hAnsi="Calibri"/>
          <w:b/>
          <w:bCs/>
          <w:color w:val="1F3864"/>
          <w:sz w:val="24"/>
          <w:szCs w:val="24"/>
        </w:rPr>
        <w:t xml:space="preserve">Probability judgments, ninety-day horizon</w:t>
      </w:r>
    </w:p>
    <w:p>
      <w:pPr>
        <w:spacing w:after="140" w:before="0" w:line="276"/>
      </w:pPr>
      <w:r>
        <w:rPr>
          <w:rFonts w:ascii="Calibri" w:cs="Calibri" w:eastAsia="Calibri" w:hAnsi="Calibri"/>
          <w:sz w:val="21"/>
          <w:szCs w:val="21"/>
        </w:rPr>
        <w:t xml:space="preserve">All judgments cover the period from 2 August 2026 through 31 October 2026 unless stated otherwise. The four stages are kept separate deliberately, because conflating attempted attack with consequential disruption is the most common error in reporting on this subject.</w:t>
      </w:r>
    </w:p>
    <w:p>
      <w:pPr>
        <w:keepNext/>
        <w:spacing w:after="80" w:before="200" w:line="276"/>
      </w:pPr>
      <w:r>
        <w:rPr>
          <w:rFonts w:ascii="Calibri" w:cs="Calibri" w:eastAsia="Calibri" w:hAnsi="Calibri"/>
          <w:b/>
          <w:bCs/>
          <w:color w:val="1F3864"/>
          <w:sz w:val="18"/>
          <w:szCs w:val="18"/>
        </w:rPr>
        <w:t xml:space="preserve">Table 9. Probability judgments by stage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744"/>
        <w:gridCol w:w="2059"/>
        <w:gridCol w:w="3557"/>
      </w:tblGrid>
      <w:tr>
        <w:trPr>
          <w:tblHeader/>
        </w:trPr>
        <w:tc>
          <w:tcPr>
            <w:tcW w:type="dxa" w:w="374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Judgment (through 31 October 2026)</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Probability</w:t>
            </w:r>
          </w:p>
        </w:tc>
        <w:tc>
          <w:tcPr>
            <w:tcW w:type="dxa" w:w="355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Basis and principal driver</w:t>
            </w:r>
          </w:p>
        </w:tc>
      </w:tr>
      <w:tr>
        <w:tc>
          <w:tcPr>
            <w:tcW w:type="dxa" w:w="374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Attempted targeting of U.S. water-sector operational technology continues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Almost certain (95–99%)</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Ongoing campaign explicitly described as active by three federal documents; exposure condition persists; low capability bar</w:t>
            </w:r>
            <w:r>
              <w:rPr>
                <w:rFonts w:ascii="Calibri" w:cs="Calibri" w:eastAsia="Calibri" w:hAnsi="Calibri"/>
                <w:sz w:val="16"/>
                <w:szCs w:val="16"/>
                <w:vertAlign w:val="superscript"/>
              </w:rPr>
              <w:t xml:space="preserve">1</w:t>
            </w:r>
            <w:r>
              <w:rPr>
                <w:rFonts w:ascii="Calibri" w:cs="Calibri" w:eastAsia="Calibri" w:hAnsi="Calibri"/>
                <w:sz w:val="16"/>
                <w:szCs w:val="16"/>
                <w:vertAlign w:val="superscript"/>
              </w:rPr>
              <w:t xml:space="preserve">2</w:t>
            </w:r>
            <w:r>
              <w:rPr>
                <w:rFonts w:ascii="Calibri" w:cs="Calibri" w:eastAsia="Calibri" w:hAnsi="Calibri"/>
                <w:sz w:val="16"/>
                <w:szCs w:val="16"/>
                <w:vertAlign w:val="superscript"/>
              </w:rPr>
              <w:t xml:space="preserve">3</w:t>
            </w:r>
          </w:p>
        </w:tc>
      </w:tr>
      <w:tr>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 least one additional U.S. water utility suffers operational degradation from cyber activity</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Very likely (80–95%)</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Seven states in five days establishes a high recent rate; remediation of a dispersed exposed population takes months</w:t>
            </w:r>
          </w:p>
        </w:tc>
      </w:tr>
      <w:tr>
        <w:tc>
          <w:tcPr>
            <w:tcW w:type="dxa" w:w="374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 least one U.S. transportation facility experiences water or wastewater service disruption traceable to a cyber incident at its serving utility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Roughly even chance (45–55%)</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Large number of utilities being targeted, but transportation facilities are a small fraction of served customers, and targeted systems so far have been small community systems. Placed above the direct-compromise judgment because it requires no transportation-sector access at all — only that one of many targeted utilities happens to serve a transportation facility</w:t>
            </w:r>
          </w:p>
        </w:tc>
      </w:tr>
      <w:tr>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Such a disruption occurs at a nationally or regionally significant transportation node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Unlikely (20–45%)</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Major hubs are typically served by large metropolitan utilities with greater cyber maturity and more redundancy</w:t>
            </w:r>
          </w:p>
        </w:tc>
      </w:tr>
      <w:tr>
        <w:tc>
          <w:tcPr>
            <w:tcW w:type="dxa" w:w="374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Any such disruption produces measurable transportation service impact beyond sanitation and concessions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Unlikely (20–45%)</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Observed record shows water loss degrades amenities without stopping movement</w:t>
            </w:r>
            <w:r>
              <w:rPr>
                <w:rFonts w:ascii="Calibri" w:cs="Calibri" w:eastAsia="Calibri" w:hAnsi="Calibri"/>
                <w:sz w:val="16"/>
                <w:szCs w:val="16"/>
                <w:vertAlign w:val="superscript"/>
              </w:rPr>
              <w:t xml:space="preserve">21</w:t>
            </w:r>
            <w:r>
              <w:rPr>
                <w:rFonts w:ascii="Calibri" w:cs="Calibri" w:eastAsia="Calibri" w:hAnsi="Calibri"/>
                <w:sz w:val="16"/>
                <w:szCs w:val="16"/>
                <w:vertAlign w:val="superscript"/>
              </w:rPr>
              <w:t xml:space="preserve">22</w:t>
            </w:r>
            <w:r>
              <w:rPr>
                <w:rFonts w:ascii="Calibri" w:cs="Calibri" w:eastAsia="Calibri" w:hAnsi="Calibri"/>
                <w:sz w:val="16"/>
                <w:szCs w:val="16"/>
                <w:vertAlign w:val="superscript"/>
              </w:rPr>
              <w:t xml:space="preserve">24</w:t>
            </w:r>
          </w:p>
        </w:tc>
      </w:tr>
      <w:tr>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compromise of U.S. transportation-sector operational technology by this or similar activity, producing operational degradation</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Unlikely (20–45%)</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Shared device families and exposure conditions, but no observed targeting of transportation controllers in this campaign. Placed below the dependency judgment because it requires the actor to reach transportation assets specifically rather than benefiting incidentally from utility targeting already under way</w:t>
            </w:r>
          </w:p>
        </w:tc>
      </w:tr>
      <w:tr>
        <w:tc>
          <w:tcPr>
            <w:tcW w:type="dxa" w:w="374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suspected-contamination event triggers precautionary restrictions at a transportation facility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Unlikely (20–45%)</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Precautionary action follows from pressure loss, which is already occurring; does not require actual contamination</w:t>
            </w:r>
          </w:p>
        </w:tc>
      </w:tr>
      <w:tr>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Actual malicious contamination of a public water supply causing documented public-health harm at a transportation facility</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Almost no chance (1–5%)</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No contamination reported in this campaign or in prior U.S. cases; treatment barriers, monitoring, and sampling regimes present substantial obstacles</w:t>
            </w:r>
            <w:r>
              <w:rPr>
                <w:rFonts w:ascii="Calibri" w:cs="Calibri" w:eastAsia="Calibri" w:hAnsi="Calibri"/>
                <w:sz w:val="16"/>
                <w:szCs w:val="16"/>
                <w:vertAlign w:val="superscript"/>
              </w:rPr>
              <w:t xml:space="preserve">12</w:t>
            </w:r>
          </w:p>
        </w:tc>
      </w:tr>
      <w:tr>
        <w:tc>
          <w:tcPr>
            <w:tcW w:type="dxa" w:w="3744"/>
            <w:tcMar>
              <w:top w:type="dxa" w:w="60"/>
              <w:left w:type="dxa" w:w="90"/>
              <w:bottom w:type="dxa" w:w="60"/>
              <w:right w:type="dxa" w:w="90"/>
            </w:tcMar>
            <w:vAlign w:val="top"/>
          </w:tcPr>
          <w:p>
            <w:pPr>
              <w:spacing w:after="0" w:line="240"/>
            </w:pPr>
            <w:r>
              <w:rPr>
                <w:rFonts w:ascii="Calibri" w:cs="Calibri" w:eastAsia="Calibri" w:hAnsi="Calibri"/>
                <w:sz w:val="16"/>
                <w:szCs w:val="16"/>
              </w:rPr>
              <w:t xml:space="preserve">Public U.S. government attribution of the July water-sector incidents to a named actor</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Roughly even chance (45–55%)</w:t>
            </w:r>
          </w:p>
        </w:tc>
        <w:tc>
          <w:tcPr>
            <w:tcW w:type="dxa" w:w="3557"/>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Investigation active and federal engagement extensive, but attribution decisions are policy-dependent and may not be published on this timeline</w:t>
            </w:r>
          </w:p>
        </w:tc>
      </w:tr>
      <w:tr>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federal transportation-security directive, advisory, or equivalent instrument is issued addressing controller exposure in a transportation mode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Likely (55–80%)</w:t>
            </w:r>
          </w:p>
        </w:tc>
        <w:tc>
          <w:tcPr>
            <w:tcW w:type="dxa" w:w="3557"/>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Existing directive machinery in pipeline and rail modes; strong precedent for rapid issuance after cross-sector warnings</w:t>
            </w:r>
            <w:r>
              <w:rPr>
                <w:rFonts w:ascii="Calibri" w:cs="Calibri" w:eastAsia="Calibri" w:hAnsi="Calibri"/>
                <w:sz w:val="16"/>
                <w:szCs w:val="16"/>
                <w:vertAlign w:val="superscript"/>
              </w:rPr>
              <w:t xml:space="preserve">17</w:t>
            </w:r>
            <w:r>
              <w:rPr>
                <w:rFonts w:ascii="Calibri" w:cs="Calibri" w:eastAsia="Calibri" w:hAnsi="Calibri"/>
                <w:sz w:val="16"/>
                <w:szCs w:val="16"/>
                <w:vertAlign w:val="superscript"/>
              </w:rPr>
              <w:t xml:space="preserve">18</w:t>
            </w:r>
            <w:r>
              <w:rPr>
                <w:rFonts w:ascii="Calibri" w:cs="Calibri" w:eastAsia="Calibri" w:hAnsi="Calibri"/>
                <w:sz w:val="16"/>
                <w:szCs w:val="16"/>
                <w:vertAlign w:val="superscript"/>
              </w:rPr>
              <w:t xml:space="preserve">19</w:t>
            </w:r>
          </w:p>
        </w:tc>
      </w:tr>
    </w:tbl>
    <w:p>
      <w:pPr>
        <w:spacing w:after="160" w:before="0" w:line="276"/>
      </w:pPr>
      <w:r>
        <w:rPr>
          <w:rFonts w:ascii="Calibri" w:cs="Calibri" w:eastAsia="Calibri" w:hAnsi="Calibri"/>
          <w:sz w:val="21"/>
          <w:szCs w:val="21"/>
        </w:rPr>
        <w:t xml:space="preserve"/>
      </w:r>
    </w:p>
    <w:p>
      <w:pPr>
        <w:spacing w:after="160" w:before="0" w:line="276"/>
      </w:pPr>
      <w:r>
        <w:rPr>
          <w:rFonts w:ascii="Calibri" w:cs="Calibri" w:eastAsia="Calibri" w:hAnsi="Calibri"/>
          <w:i/>
          <w:iCs/>
          <w:color w:val="525252"/>
          <w:sz w:val="18"/>
          <w:szCs w:val="18"/>
        </w:rPr>
        <w:t xml:space="preserve">Table 9 note. Probability bands follow the convention stated in Appendix B. All values are analyst-assigned judgments, not institutional estimates and not model outputs. Judgments are not independent of one another and must not be multiplied together to derive a compound probability; the chain from targeting to consequential disruption involves conditional dependence that is not quantified here.</w:t>
      </w:r>
    </w:p>
    <w:p>
      <w:pPr>
        <w:pStyle w:val="Heading2"/>
        <w:keepNext/>
        <w:spacing w:after="110" w:before="260"/>
      </w:pPr>
      <w:r>
        <w:rPr>
          <w:rFonts w:ascii="Calibri" w:cs="Calibri" w:eastAsia="Calibri" w:hAnsi="Calibri"/>
          <w:b/>
          <w:bCs/>
          <w:color w:val="1F3864"/>
          <w:sz w:val="24"/>
          <w:szCs w:val="24"/>
        </w:rPr>
        <w:t xml:space="preserve">Sensitivity analysis</w:t>
      </w:r>
    </w:p>
    <w:p>
      <w:pPr>
        <w:spacing w:after="140" w:before="0" w:line="276"/>
      </w:pPr>
      <w:r>
        <w:rPr>
          <w:rFonts w:ascii="Calibri" w:cs="Calibri" w:eastAsia="Calibri" w:hAnsi="Calibri"/>
          <w:sz w:val="21"/>
          <w:szCs w:val="21"/>
        </w:rPr>
        <w:t xml:space="preserve">Four assumptions drive these judgments, and identifying which ones would move the answer most is more useful than the point judgments themselves.</w:t>
      </w:r>
    </w:p>
    <w:p>
      <w:pPr>
        <w:keepNext/>
        <w:spacing w:after="80" w:before="200" w:line="276"/>
      </w:pPr>
      <w:r>
        <w:rPr>
          <w:rFonts w:ascii="Calibri" w:cs="Calibri" w:eastAsia="Calibri" w:hAnsi="Calibri"/>
          <w:b/>
          <w:bCs/>
          <w:color w:val="1F3864"/>
          <w:sz w:val="18"/>
          <w:szCs w:val="18"/>
        </w:rPr>
        <w:t xml:space="preserve">Table 10. Sensitivity of judgments to key assumptions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34"/>
        <w:gridCol w:w="2808"/>
        <w:gridCol w:w="2246"/>
        <w:gridCol w:w="1872"/>
      </w:tblGrid>
      <w:tr>
        <w:trPr>
          <w:tblHeader/>
        </w:trPr>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Assumption</w:t>
            </w:r>
          </w:p>
        </w:tc>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If it proved wrong</w:t>
            </w:r>
          </w:p>
        </w:tc>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Judgments affected</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Sensitivity</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Transportation controller exposure is materially lower than water-sector exposure, because of security-directive regimes and larger operator scale</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transportation exposure is comparable, the direct-compromise judgment rises from unlikely toward roughly even, and Scenario 3 moves from low-moderate to moderate confidence</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compromise; Scenario 3; the entire priority framework</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Highest — this is the single most consequential unknown</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Major transportation hubs are served by more cyber-mature utilities than the small community systems affected so far</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large metropolitan utilities are equally exposed, the significant-node judgment rises materially and the priority framework needs volume weighted higher</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Significant-node disruption; prioritization weighting</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Manual operating capability exists and is exercised at transportation facilities as it evidently was at affected water utilities</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manual fallback is documented but not exercised, base-case consequences shift toward the high bands across Scenarios 1 through 3</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All consequence bands</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observed water-loss cases bound the consequence of a cyber-caused outage</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validating manipulated controller logic extends outages well beyond ordinary repair timelines, consequence bands for Scenarios 1 and 2 shift upward and the sanitation and cooling thresholds in Key Finding 2 become governing rather than theoretical</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All consequence bands; Key Findings 2 and 3</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Actor intent remains oriented to signaling rather than destruction</w:t>
            </w:r>
          </w:p>
        </w:tc>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intent shifts, the unsafe-process-manipulation pathway moves from low likelihood to a planning assumption, and Scenario 6 governs</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Scenarios 3, 4, and 6; contamination judgment</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 low probability, very high impact</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activity is driven by one state-directed actor whose behavior tracks the geopolitical situation</w:t>
            </w:r>
          </w:p>
        </w:tc>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If competing hypotheses 3 or 4 are correct, activity persists regardless of diplomatic developments and Scenario 5 becomes the governing case</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Duration of elevated risk; resource planning horizon</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to high</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The practical implication is that the most valuable information collection is not better attribution. It is a straightforward exposure survey of transportation-sector controllers, because that single unknown drives more of this assessment's uncertainty than any other input, and unlike attribution it is answerable by owners and operators using tools they already have.</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Indicators and warnings</w:t>
      </w:r>
    </w:p>
    <w:p>
      <w:pPr>
        <w:spacing w:after="140" w:before="0" w:line="276"/>
      </w:pPr>
      <w:r>
        <w:rPr>
          <w:rFonts w:ascii="Calibri" w:cs="Calibri" w:eastAsia="Calibri" w:hAnsi="Calibri"/>
          <w:sz w:val="21"/>
          <w:szCs w:val="21"/>
        </w:rPr>
        <w:t xml:space="preserve">Indicators are organized as leading, concurrent, and lagging. Leading indicators appear before transportation effect and support preparation. Concurrent indicators appear as effects develop and support response. Lagging indicators confirm what happened and support recovery and learning. Each entry states why it matters, expected lead time, collection source, false-positive risk, and the decision it informs.</w:t>
      </w:r>
    </w:p>
    <w:p>
      <w:pPr>
        <w:keepNext/>
        <w:spacing w:after="80" w:before="200" w:line="276"/>
      </w:pPr>
      <w:r>
        <w:rPr>
          <w:rFonts w:ascii="Calibri" w:cs="Calibri" w:eastAsia="Calibri" w:hAnsi="Calibri"/>
          <w:b/>
          <w:bCs/>
          <w:color w:val="1F3864"/>
          <w:sz w:val="18"/>
          <w:szCs w:val="18"/>
        </w:rPr>
        <w:t xml:space="preserve">Table 11. Leading indicators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66"/>
        <w:gridCol w:w="1685"/>
        <w:gridCol w:w="1404"/>
        <w:gridCol w:w="1591"/>
        <w:gridCol w:w="1591"/>
        <w:gridCol w:w="1123"/>
      </w:tblGrid>
      <w:tr>
        <w:trPr>
          <w:tblHeader/>
        </w:trPr>
        <w:tc>
          <w:tcPr>
            <w:tcW w:type="dxa" w:w="196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Indicator</w:t>
            </w:r>
          </w:p>
        </w:tc>
        <w:tc>
          <w:tcPr>
            <w:tcW w:type="dxa" w:w="1685"/>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Why it matters</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Expected lead time</w:t>
            </w:r>
          </w:p>
        </w:tc>
        <w:tc>
          <w:tcPr>
            <w:tcW w:type="dxa" w:w="1591"/>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Collection source</w:t>
            </w:r>
          </w:p>
        </w:tc>
        <w:tc>
          <w:tcPr>
            <w:tcW w:type="dxa" w:w="1591"/>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False-positive risk</w:t>
            </w:r>
          </w:p>
        </w:tc>
        <w:tc>
          <w:tcPr>
            <w:tcW w:type="dxa" w:w="112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Decision informed</w:t>
            </w:r>
          </w:p>
        </w:tc>
      </w:tr>
      <w:tr>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Increase in scanning or authentication attempts against transportation operational technology on control-system ports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Precedes access attempts; the campaign reaches devices before it acts on them</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Days to weeks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network monitoring; CISA services; internet-exposure research</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background scanning is constant; only rate changes and targeting patterns are meaningful</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Whether to accelerate exposure removal</w:t>
            </w:r>
          </w:p>
        </w:tc>
      </w:tr>
      <w:tr>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Discovery of previously undocumented cellular modems or remote-access paths at transportation field sites</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specific blind spot CISA named; presence indicates exposure the operator did not know it had</w:t>
            </w:r>
            <w:r>
              <w:rPr>
                <w:rFonts w:ascii="Calibri" w:cs="Calibri" w:eastAsia="Calibri" w:hAnsi="Calibri"/>
                <w:sz w:val="15"/>
                <w:szCs w:val="15"/>
                <w:vertAlign w:val="superscript"/>
              </w:rPr>
              <w:t xml:space="preserve">2</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 on discovery</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Physical and logical asset survey; integrator and vendor queries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 — a discovery is a finding regardless of intent</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 isolation and architecture decision</w:t>
            </w:r>
          </w:p>
        </w:tc>
      </w:tr>
      <w:tr>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Rising count of internet-reachable controllers attributable to transportation operators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Direct measure of the exposure that drives this entire threat model</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Weeks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self-assessment; CISA cyber hygiene services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attribution of devices to owners is imperfect</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Prioritization of remediation resources</w:t>
            </w:r>
          </w:p>
        </w:tc>
      </w:tr>
      <w:tr>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Water utilities in a transportation corridor shifting to manual operations or issuing pressure, flooding, contamination, or boil-water notices</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Direct precursor of transportation-facility effect through the dependency pathway</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Hours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Utility public notices; state primacy agencies; local emergency management; fusion centers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 for the notice itself; moderate for cyber causation, since most notices are not cyber-related</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continuity activation and public messaging</w:t>
            </w:r>
          </w:p>
        </w:tc>
      </w:tr>
      <w:tr>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Similar incidents clustering across common integrators, vendors, device models, or configurations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correlation mechanism; indicates a reusable technique rather than isolated events</w:t>
            </w:r>
            <w:r>
              <w:rPr>
                <w:rFonts w:ascii="Calibri" w:cs="Calibri" w:eastAsia="Calibri" w:hAnsi="Calibri"/>
                <w:sz w:val="15"/>
                <w:szCs w:val="15"/>
                <w:vertAlign w:val="superscript"/>
              </w:rPr>
              <w:t xml:space="preserve">1</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Days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Sector information-sharing organizations; vendor advisories; federal alerts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clustering by model may reflect market share rather than targeting</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Whether to treat the event as regional or national</w:t>
            </w:r>
          </w:p>
        </w:tc>
      </w:tr>
      <w:tr>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Threat-actor statements, claims of responsibility, or targeting references naming airports, ports, rail, pipelines, or municipal services</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Signals declared intent and may precede information operations</w:t>
            </w:r>
            <w:r>
              <w:rPr>
                <w:rFonts w:ascii="Calibri" w:cs="Calibri" w:eastAsia="Calibri" w:hAnsi="Calibri"/>
                <w:sz w:val="15"/>
                <w:szCs w:val="15"/>
                <w:vertAlign w:val="superscript"/>
              </w:rPr>
              <w:t xml:space="preserve">14</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Days to weeks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Open-source monitoring; actor channels; commercial threat intelligence</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Very high — routine exaggeration and false claims</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Public-messaging preparation; not a basis for operational change on its own</w:t>
            </w:r>
          </w:p>
        </w:tc>
      </w:tr>
      <w:tr>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Unusual procurement of replacement controllers, portable water and sanitation assets, treatment chemicals, pumps, or generators</w:t>
            </w:r>
          </w:p>
        </w:tc>
        <w:tc>
          <w:tcPr>
            <w:tcW w:type="dxa" w:w="1685"/>
            <w:tcMar>
              <w:top w:type="dxa" w:w="60"/>
              <w:left w:type="dxa" w:w="90"/>
              <w:bottom w:type="dxa" w:w="60"/>
              <w:right w:type="dxa" w:w="90"/>
            </w:tcMar>
            <w:vAlign w:val="top"/>
          </w:tcPr>
          <w:p>
            <w:pPr>
              <w:spacing w:after="0" w:line="240"/>
            </w:pPr>
            <w:r>
              <w:rPr>
                <w:rFonts w:ascii="Calibri" w:cs="Calibri" w:eastAsia="Calibri" w:hAnsi="Calibri"/>
                <w:sz w:val="15"/>
                <w:szCs w:val="15"/>
              </w:rPr>
              <w:t xml:space="preserve">Aggregate demand signal indicating broader disruption than has been reported</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Days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Supplier and distributor reporting; procurement channels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 — seasonal and program-driven demand is common</w:t>
            </w:r>
          </w:p>
        </w:tc>
        <w:tc>
          <w:tcPr>
            <w:tcW w:type="dxa" w:w="1123"/>
            <w:tcMar>
              <w:top w:type="dxa" w:w="60"/>
              <w:left w:type="dxa" w:w="90"/>
              <w:bottom w:type="dxa" w:w="60"/>
              <w:right w:type="dxa" w:w="90"/>
            </w:tcMar>
            <w:vAlign w:val="top"/>
          </w:tcPr>
          <w:p>
            <w:pPr>
              <w:spacing w:after="0" w:line="240"/>
            </w:pPr>
            <w:r>
              <w:rPr>
                <w:rFonts w:ascii="Calibri" w:cs="Calibri" w:eastAsia="Calibri" w:hAnsi="Calibri"/>
                <w:sz w:val="15"/>
                <w:szCs w:val="15"/>
              </w:rPr>
              <w:t xml:space="preserve">Supply-chain pre-positioning</w:t>
            </w:r>
          </w:p>
        </w:tc>
      </w:tr>
      <w:tr>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Escalation in the underlying geopolitical situation</w:t>
            </w:r>
          </w:p>
        </w:tc>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attributed campaign is described as escalating likely in response to hostilities</w:t>
            </w:r>
            <w:r>
              <w:rPr>
                <w:rFonts w:ascii="Calibri" w:cs="Calibri" w:eastAsia="Calibri" w:hAnsi="Calibri"/>
                <w:sz w:val="15"/>
                <w:szCs w:val="15"/>
                <w:vertAlign w:val="superscript"/>
              </w:rPr>
              <w:t xml:space="preserve">3</w:t>
            </w:r>
            <w:r>
              <w:rPr>
                <w:rFonts w:ascii="Calibri" w:cs="Calibri" w:eastAsia="Calibri" w:hAnsi="Calibri"/>
                <w:sz w:val="15"/>
                <w:szCs w:val="15"/>
                <w:vertAlign w:val="superscript"/>
              </w:rPr>
              <w:t xml:space="preserve">7</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Days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Official statements; established reporting</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w:t>
            </w:r>
          </w:p>
        </w:tc>
        <w:tc>
          <w:tcPr>
            <w:tcW w:type="dxa" w:w="112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Posture review across modes</w:t>
            </w:r>
          </w:p>
        </w:tc>
      </w:tr>
    </w:tbl>
    <w:p>
      <w:pPr>
        <w:spacing w:after="160" w:before="0" w:line="276"/>
      </w:pPr>
      <w:r>
        <w:rPr>
          <w:rFonts w:ascii="Calibri" w:cs="Calibri" w:eastAsia="Calibri" w:hAnsi="Calibri"/>
          <w:sz w:val="21"/>
          <w:szCs w:val="21"/>
        </w:rPr>
        <w:t xml:space="preserve"/>
      </w:r>
    </w:p>
    <w:p>
      <w:pPr>
        <w:keepNext/>
        <w:spacing w:after="80" w:before="200" w:line="276"/>
      </w:pPr>
      <w:r>
        <w:rPr>
          <w:rFonts w:ascii="Calibri" w:cs="Calibri" w:eastAsia="Calibri" w:hAnsi="Calibri"/>
          <w:b/>
          <w:bCs/>
          <w:color w:val="1F3864"/>
          <w:sz w:val="18"/>
          <w:szCs w:val="18"/>
        </w:rPr>
        <w:t xml:space="preserve">Table 12. Concurrent indicators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153"/>
        <w:gridCol w:w="1872"/>
        <w:gridCol w:w="1310"/>
        <w:gridCol w:w="1591"/>
        <w:gridCol w:w="1404"/>
        <w:gridCol w:w="1030"/>
      </w:tblGrid>
      <w:tr>
        <w:trPr>
          <w:tblHeader/>
        </w:trPr>
        <w:tc>
          <w:tcPr>
            <w:tcW w:type="dxa" w:w="215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Indicator</w:t>
            </w:r>
          </w:p>
        </w:tc>
        <w:tc>
          <w:tcPr>
            <w:tcW w:type="dxa" w:w="187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Why it matters</w:t>
            </w:r>
          </w:p>
        </w:tc>
        <w:tc>
          <w:tcPr>
            <w:tcW w:type="dxa" w:w="131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Timing</w:t>
            </w:r>
          </w:p>
        </w:tc>
        <w:tc>
          <w:tcPr>
            <w:tcW w:type="dxa" w:w="1591"/>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Collection source</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False-positive risk</w:t>
            </w:r>
          </w:p>
        </w:tc>
        <w:tc>
          <w:tcPr>
            <w:tcW w:type="dxa" w:w="103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Decision informed</w:t>
            </w:r>
          </w:p>
        </w:tc>
      </w:tr>
      <w:tr>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Transportation operator reports of water pressure loss, sanitation failure, or fire-system impairment</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First observable sign at the facility, often before the utility notifies anyone</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engineering and maintenance reporting</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main breaks and maintenance produce the same symptom</w:t>
            </w:r>
          </w:p>
        </w:tc>
        <w:tc>
          <w:tcPr>
            <w:tcW w:type="dxa" w:w="1030"/>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Continuity activation; fire-watch decision</w:t>
            </w:r>
          </w:p>
        </w:tc>
      </w:tr>
      <w:tr>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Unexpected controller mode changes, project-file discrepancies, or disabled alarms in transportation systems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Direct evidence of the manipulation described in the joint advisory</w:t>
            </w:r>
            <w:r>
              <w:rPr>
                <w:rFonts w:ascii="Calibri" w:cs="Calibri" w:eastAsia="Calibri" w:hAnsi="Calibri"/>
                <w:sz w:val="15"/>
                <w:szCs w:val="15"/>
                <w:vertAlign w:val="superscript"/>
              </w:rPr>
              <w:t xml:space="preserve">3</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engineering review; vendor integrity-checking tools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 — these are abnormal conditions by definition</w:t>
            </w:r>
          </w:p>
        </w:tc>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Treat instrumentation as untrusted; conservative operation</w:t>
            </w:r>
          </w:p>
        </w:tc>
      </w:tr>
      <w:tr>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Operator-display values inconsistent with independent physical observation</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specific signature of display manipulation; the only reliable detection is comparison against something not on the network</w:t>
            </w:r>
            <w:r>
              <w:rPr>
                <w:rFonts w:ascii="Calibri" w:cs="Calibri" w:eastAsia="Calibri" w:hAnsi="Calibri"/>
                <w:sz w:val="15"/>
                <w:szCs w:val="15"/>
                <w:vertAlign w:val="superscript"/>
              </w:rPr>
              <w:t xml:space="preserve">3</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Manual gauge reading; physical inspection; independent instrumentation</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instrument drift and calibration produce similar mismatches</w:t>
            </w:r>
          </w:p>
        </w:tc>
        <w:tc>
          <w:tcPr>
            <w:tcW w:type="dxa" w:w="1030"/>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 escalation and manual operation</w:t>
            </w:r>
          </w:p>
        </w:tc>
      </w:tr>
      <w:tr>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Anomalous cellular modem traffic at field sites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Modems are both an access path and an early warning point</w:t>
            </w:r>
            <w:r>
              <w:rPr>
                <w:rFonts w:ascii="Calibri" w:cs="Calibri" w:eastAsia="Calibri" w:hAnsi="Calibri"/>
                <w:sz w:val="15"/>
                <w:szCs w:val="15"/>
                <w:vertAlign w:val="superscript"/>
              </w:rPr>
              <w:t xml:space="preserve">2</w:t>
            </w:r>
            <w:r>
              <w:rPr>
                <w:rFonts w:ascii="Calibri" w:cs="Calibri" w:eastAsia="Calibri" w:hAnsi="Calibri"/>
                <w:sz w:val="15"/>
                <w:szCs w:val="15"/>
                <w:vertAlign w:val="superscript"/>
              </w:rPr>
              <w:t xml:space="preserve">3</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Modem logs where enabled</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w:t>
            </w:r>
          </w:p>
        </w:tc>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Site isolation</w:t>
            </w:r>
          </w:p>
        </w:tc>
      </w:tr>
      <w:tr>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Simultaneous anomalies at geographically dispersed sites sharing a configuration</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Distinguishes a systemic event from an equipment failure</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Immediate</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monitoring; regional coordination</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Low when genuinely simultaneous</w:t>
            </w:r>
          </w:p>
        </w:tc>
        <w:tc>
          <w:tcPr>
            <w:tcW w:type="dxa" w:w="1030"/>
            <w:tcMar>
              <w:top w:type="dxa" w:w="60"/>
              <w:left w:type="dxa" w:w="90"/>
              <w:bottom w:type="dxa" w:w="60"/>
              <w:right w:type="dxa" w:w="90"/>
            </w:tcMar>
            <w:vAlign w:val="top"/>
          </w:tcPr>
          <w:p>
            <w:pPr>
              <w:spacing w:after="0" w:line="240"/>
            </w:pPr>
            <w:r>
              <w:rPr>
                <w:rFonts w:ascii="Calibri" w:cs="Calibri" w:eastAsia="Calibri" w:hAnsi="Calibri"/>
                <w:sz w:val="15"/>
                <w:szCs w:val="15"/>
              </w:rPr>
              <w:t xml:space="preserve">Escalate to systemic response</w:t>
            </w:r>
          </w:p>
        </w:tc>
      </w:tr>
      <w:tr>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Absenteeism rising at utilities, terminals, or distribution facilities</w:t>
            </w:r>
          </w:p>
        </w:tc>
        <w:tc>
          <w:tcPr>
            <w:tcW w:type="dxa" w:w="1872"/>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Determines whether manual operations can be sustained</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Hours to days</w:t>
            </w:r>
          </w:p>
        </w:tc>
        <w:tc>
          <w:tcPr>
            <w:tcW w:type="dxa" w:w="1591"/>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workforce reporting</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Moderate — seasonal illness and weather confound</w:t>
            </w:r>
          </w:p>
        </w:tc>
        <w:tc>
          <w:tcPr>
            <w:tcW w:type="dxa" w:w="103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Staffing augmentation; duration planning</w:t>
            </w:r>
          </w:p>
        </w:tc>
      </w:tr>
      <w:tr>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Circulating contamination or closure claims not traceable to an official source</w:t>
            </w:r>
          </w:p>
        </w:tc>
        <w:tc>
          <w:tcPr>
            <w:tcW w:type="dxa" w:w="1872"/>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Information effects can produce operational consequences without any physical cause</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Hours</w:t>
            </w:r>
          </w:p>
        </w:tc>
        <w:tc>
          <w:tcPr>
            <w:tcW w:type="dxa" w:w="1591"/>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Open-source monitoring; public-affairs channels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High</w:t>
            </w:r>
          </w:p>
        </w:tc>
        <w:tc>
          <w:tcPr>
            <w:tcW w:type="dxa" w:w="1030"/>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Counter-messaging; verification before operational response</w:t>
            </w:r>
          </w:p>
        </w:tc>
      </w:tr>
    </w:tbl>
    <w:p>
      <w:pPr>
        <w:spacing w:after="160" w:before="0" w:line="276"/>
      </w:pPr>
      <w:r>
        <w:rPr>
          <w:rFonts w:ascii="Calibri" w:cs="Calibri" w:eastAsia="Calibri" w:hAnsi="Calibri"/>
          <w:sz w:val="21"/>
          <w:szCs w:val="21"/>
        </w:rPr>
        <w:t xml:space="preserve"/>
      </w:r>
    </w:p>
    <w:p>
      <w:pPr>
        <w:keepNext/>
        <w:spacing w:after="80" w:before="200" w:line="276"/>
      </w:pPr>
      <w:r>
        <w:rPr>
          <w:rFonts w:ascii="Calibri" w:cs="Calibri" w:eastAsia="Calibri" w:hAnsi="Calibri"/>
          <w:b/>
          <w:bCs/>
          <w:color w:val="1F3864"/>
          <w:sz w:val="18"/>
          <w:szCs w:val="18"/>
        </w:rPr>
        <w:t xml:space="preserve">Table 13. Lagging indicators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34"/>
        <w:gridCol w:w="2246"/>
        <w:gridCol w:w="2246"/>
        <w:gridCol w:w="2434"/>
      </w:tblGrid>
      <w:tr>
        <w:trPr>
          <w:tblHeader/>
        </w:trPr>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Indicator</w:t>
            </w:r>
          </w:p>
        </w:tc>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Why it matters</w:t>
            </w:r>
          </w:p>
        </w:tc>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Collection source</w:t>
            </w:r>
          </w:p>
        </w:tc>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Decision informed</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Duration of boil-water notices relative to technical restoration</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Measures the gap between fixing the system and lifting the public-health restriction — the interval that actually governs facility operations</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Utility and primacy-agency records</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Continuity planning assumptions for future events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Time from compromise to detection at affected sites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Tests whether the alarm-suppression concern is materializing in practice</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Incident reporting; after-action review</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Detection investment priorities</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Proportion of affected facilities that successfully sustained manual operations, and for how long</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Validates or refutes the central mitigation assumption in this assessment</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after-action reporting</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Exercise and staffing requirements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Replacement controller and secure-gateway lead times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Measures whether recovery inhibition is binding</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Procurement records; supplier reporting</w:t>
            </w:r>
          </w:p>
        </w:tc>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Pre-positioning and inventory decisions</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Count of transportation controllers removed from internet exposure</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only direct measure of whether the primary risk-reduction action is actually happening</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 self-reporting; independent exposure measurement</w:t>
            </w:r>
          </w:p>
        </w:tc>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Programmatic risk-reduction reporting</w:t>
            </w:r>
          </w:p>
        </w:tc>
      </w:tr>
    </w:tbl>
    <w:p>
      <w:pPr>
        <w:spacing w:after="160" w:before="0" w:line="276"/>
      </w:pPr>
      <w:r>
        <w:rPr>
          <w:rFonts w:ascii="Calibri" w:cs="Calibri" w:eastAsia="Calibri" w:hAnsi="Calibri"/>
          <w:sz w:val="21"/>
          <w:szCs w:val="21"/>
        </w:rPr>
        <w:t xml:space="preserve"/>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Recommended actions</w:t>
      </w:r>
    </w:p>
    <w:p>
      <w:pPr>
        <w:spacing w:after="140" w:before="0" w:line="276"/>
      </w:pPr>
      <w:r>
        <w:rPr>
          <w:rFonts w:ascii="Calibri" w:cs="Calibri" w:eastAsia="Calibri" w:hAnsi="Calibri"/>
          <w:sz w:val="21"/>
          <w:szCs w:val="21"/>
        </w:rPr>
        <w:t xml:space="preserve">Actions are prioritized by time horizon and assigned to the entity best positioned to lead. Each entry states expected benefit and the constraint most likely to impede it. Actions that merely restate existing federal guidance are excluded; where an action implements published guidance, the implementation problem rather than the guidance is described. Recommendations are limited to what the named entity plausibly has the authority and capacity to do, and where authority is uncertain that is stated.</w:t>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sz w:val="19"/>
          <w:szCs w:val="19"/>
        </w:rPr>
        <w:t xml:space="preserve">Authority basis, which differs sharply by mode and is the constraint most likely to defeat a seventy-two-hour tasking. Where TSA has issued cybersecurity security directives — designated pipeline and freight and passenger rail owner-operators — a query can be mandatory and can carry a compliance deadline.</w:t>
      </w:r>
      <w:r>
        <w:rPr>
          <w:rFonts w:ascii="Calibri" w:cs="Calibri" w:eastAsia="Calibri" w:hAnsi="Calibri"/>
          <w:sz w:val="19"/>
          <w:szCs w:val="19"/>
          <w:vertAlign w:val="superscript"/>
        </w:rPr>
        <w:t xml:space="preserve">17</w:t>
      </w:r>
      <w:r>
        <w:rPr>
          <w:rFonts w:ascii="Calibri" w:cs="Calibri" w:eastAsia="Calibri" w:hAnsi="Calibri"/>
          <w:sz w:val="19"/>
          <w:szCs w:val="19"/>
          <w:vertAlign w:val="superscript"/>
        </w:rPr>
        <w:t xml:space="preserve">18</w:t>
      </w:r>
      <w:r>
        <w:rPr>
          <w:rFonts w:ascii="Calibri" w:cs="Calibri" w:eastAsia="Calibri" w:hAnsi="Calibri"/>
          <w:sz w:val="19"/>
          <w:szCs w:val="19"/>
          <w:vertAlign w:val="superscript"/>
        </w:rPr>
        <w:t xml:space="preserve">19</w:t>
      </w:r>
      <w:r>
        <w:rPr>
          <w:rFonts w:ascii="Calibri" w:cs="Calibri" w:eastAsia="Calibri" w:hAnsi="Calibri"/>
          <w:sz w:val="19"/>
          <w:szCs w:val="19"/>
        </w:rPr>
        <w:t xml:space="preserve"> For airports, transit agencies, marine terminals, highway authorities, and logistics facilities, the equivalent step is generally a request, an advisory, or an existing programmatic or grant channel, and it cannot be compelled on that timeline. No federal transportation-security instrument reaches the municipal water utilities that serve any of these facilities; influence there runs through EPA, state drinking-water primacy agencies, and local government, none of which is organized around transportation continuity. Each action below is written to the entity that can actually act, and the constraint column states where the step is voluntary. Planning that assumes one cross-modal tasking instrument will be disappointed, and the fastest route for non-regulated modes is usually the operator acting on its own initiative rather than waiting to be asked.</w:t>
      </w:r>
    </w:p>
    <w:p>
      <w:pPr>
        <w:pStyle w:val="Heading2"/>
        <w:keepNext/>
        <w:spacing w:after="110" w:before="260"/>
      </w:pPr>
      <w:r>
        <w:rPr>
          <w:rFonts w:ascii="Calibri" w:cs="Calibri" w:eastAsia="Calibri" w:hAnsi="Calibri"/>
          <w:b/>
          <w:bCs/>
          <w:color w:val="1F3864"/>
          <w:sz w:val="24"/>
          <w:szCs w:val="24"/>
        </w:rPr>
        <w:t xml:space="preserve">Immediate: zero to twenty-four hours</w:t>
      </w:r>
    </w:p>
    <w:p>
      <w:pPr>
        <w:keepNext/>
        <w:spacing w:after="80" w:before="200" w:line="276"/>
      </w:pPr>
      <w:r>
        <w:rPr>
          <w:rFonts w:ascii="Calibri" w:cs="Calibri" w:eastAsia="Calibri" w:hAnsi="Calibri"/>
          <w:b/>
          <w:bCs/>
          <w:color w:val="1F3864"/>
          <w:sz w:val="18"/>
          <w:szCs w:val="18"/>
        </w:rPr>
        <w:t xml:space="preserve">Table 14. Immediate actions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34"/>
        <w:gridCol w:w="1310"/>
        <w:gridCol w:w="1404"/>
        <w:gridCol w:w="2153"/>
        <w:gridCol w:w="2059"/>
      </w:tblGrid>
      <w:tr>
        <w:trPr>
          <w:tblHeader/>
        </w:trPr>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Action</w:t>
            </w:r>
          </w:p>
        </w:tc>
        <w:tc>
          <w:tcPr>
            <w:tcW w:type="dxa" w:w="131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Lead</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Supporting</w:t>
            </w:r>
          </w:p>
        </w:tc>
        <w:tc>
          <w:tcPr>
            <w:tcW w:type="dxa" w:w="215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Expected benefit</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Principal constraint</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Build an integrated water-and-transportation incident picture: identify which transportation facilities sit inside the service areas of affected or at-risk utilities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regional offices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EPA, state primacy agencies, TSA, DOT modal administrations, fusion centers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Converts an unbounded national concern into a specific, short list of facilities warranting attention</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Affected states are not publicly identified; utility service-area boundaries are not centrally mapped against transportation assets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Query transportation owners and operators for internet-reachable controllers, undocumented cellular modems, default or weak credentials, unexpected configuration changes, controller mode, and remote-access paths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for regulated modes; DOT modal administrations and airport sponsors otherwise</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operators, integrators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Directly addresses the highest-consequence pathway; consistent with published federal guidance</w:t>
            </w:r>
            <w:r>
              <w:rPr>
                <w:rFonts w:ascii="Calibri" w:cs="Calibri" w:eastAsia="Calibri" w:hAnsi="Calibri"/>
                <w:sz w:val="15"/>
                <w:szCs w:val="15"/>
                <w:vertAlign w:val="superscript"/>
              </w:rPr>
              <w:t xml:space="preserve">1</w:t>
            </w:r>
            <w:r>
              <w:rPr>
                <w:rFonts w:ascii="Calibri" w:cs="Calibri" w:eastAsia="Calibri" w:hAnsi="Calibri"/>
                <w:sz w:val="15"/>
                <w:szCs w:val="15"/>
                <w:vertAlign w:val="superscript"/>
              </w:rPr>
              <w:t xml:space="preserve">2</w:t>
            </w:r>
            <w:r>
              <w:rPr>
                <w:rFonts w:ascii="Calibri" w:cs="Calibri" w:eastAsia="Calibri" w:hAnsi="Calibri"/>
                <w:sz w:val="15"/>
                <w:szCs w:val="15"/>
                <w:vertAlign w:val="superscript"/>
              </w:rPr>
              <w:t xml:space="preserve">3</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Mandatory only for designated pipeline and rail owner-operators. For aviation, transit, maritime, and logistics this is a request, not a directive, and response is voluntary and uneven — build the timeline around that rather than around the regulated case</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Verify at high-consequence facilities: water continuity, on-site storage, alternate supply, sanitation contingency, fire-suppression assurance, wastewater capacity, and stated closure thresholds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DOT modal administrations, state and local emergency management, fire authorities having jurisdiction</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Answers the question that actually drives closure decisions before it is asked under pressure</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Many operators have not documented closure thresholds; fire-water independence is often assumed rather than verified</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Confirm and, where stale, refresh manual operating procedures for controller-dependent transportation systems, and identify who would execute them</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Integrators, TSA, modal administrations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variable that most determined severity in the observed water-sector cases</w:t>
            </w:r>
            <w:r>
              <w:rPr>
                <w:rFonts w:ascii="Calibri" w:cs="Calibri" w:eastAsia="Calibri" w:hAnsi="Calibri"/>
                <w:sz w:val="15"/>
                <w:szCs w:val="15"/>
                <w:vertAlign w:val="superscript"/>
              </w:rPr>
              <w:t xml:space="preserve">1</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Procedures frequently exist on paper without current staff familiarity</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5"/>
                <w:szCs w:val="15"/>
              </w:rPr>
              <w:t xml:space="preserve">Establish a single reporting path so that a water-service disruption at a transportation facility reaches transportation-security leadership, not only water-sector channels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and DOT modal administrations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EPA, USCG, FEMA, fusion centers, operators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Closes the seam identified in Key Finding 10</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No existing requirement obliges operators to report a utility-caused service degradation</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Prepare unified risk communication that avoids premature attribution and pre-positions responses to false contamination or closure claims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DHS and DOT public affairs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EPA, CISA, state and local public information officers, operators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Information effects are currently the most probable route to transportation consequence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Divergent public statements by senior officials complicate message unity and are outside operators' control</w:t>
            </w:r>
          </w:p>
        </w:tc>
      </w:tr>
    </w:tbl>
    <w:p>
      <w:pPr>
        <w:spacing w:after="160" w:before="0" w:line="276"/>
      </w:pPr>
      <w:r>
        <w:rPr>
          <w:rFonts w:ascii="Calibri" w:cs="Calibri" w:eastAsia="Calibri" w:hAnsi="Calibri"/>
          <w:sz w:val="21"/>
          <w:szCs w:val="21"/>
        </w:rPr>
        <w:t xml:space="preserve"/>
      </w:r>
    </w:p>
    <w:p>
      <w:pPr>
        <w:pStyle w:val="Heading2"/>
        <w:keepNext/>
        <w:spacing w:after="110" w:before="260"/>
      </w:pPr>
      <w:r>
        <w:rPr>
          <w:rFonts w:ascii="Calibri" w:cs="Calibri" w:eastAsia="Calibri" w:hAnsi="Calibri"/>
          <w:b/>
          <w:bCs/>
          <w:color w:val="1F3864"/>
          <w:sz w:val="24"/>
          <w:szCs w:val="24"/>
        </w:rPr>
        <w:t xml:space="preserve">Near term: twenty-four to seventy-two hours</w:t>
      </w:r>
    </w:p>
    <w:p>
      <w:pPr>
        <w:keepNext/>
        <w:spacing w:after="80" w:before="200" w:line="276"/>
      </w:pPr>
      <w:r>
        <w:rPr>
          <w:rFonts w:ascii="Calibri" w:cs="Calibri" w:eastAsia="Calibri" w:hAnsi="Calibri"/>
          <w:b/>
          <w:bCs/>
          <w:color w:val="1F3864"/>
          <w:sz w:val="18"/>
          <w:szCs w:val="18"/>
        </w:rPr>
        <w:t xml:space="preserve">Table 15. Near-term actions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27"/>
        <w:gridCol w:w="1310"/>
        <w:gridCol w:w="1404"/>
        <w:gridCol w:w="2153"/>
        <w:gridCol w:w="1966"/>
      </w:tblGrid>
      <w:tr>
        <w:trPr>
          <w:tblHeader/>
        </w:trPr>
        <w:tc>
          <w:tcPr>
            <w:tcW w:type="dxa" w:w="252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Action</w:t>
            </w:r>
          </w:p>
        </w:tc>
        <w:tc>
          <w:tcPr>
            <w:tcW w:type="dxa" w:w="131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Lead</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Supporting</w:t>
            </w:r>
          </w:p>
        </w:tc>
        <w:tc>
          <w:tcPr>
            <w:tcW w:type="dxa" w:w="215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Expected benefit</w:t>
            </w:r>
          </w:p>
        </w:tc>
        <w:tc>
          <w:tcPr>
            <w:tcW w:type="dxa" w:w="196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Principal constraint</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Conduct targeted dependency assessments for high-consequence nodes and their serving utilities, using the framework in Table 8</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regional offices, EPA, state primacy agencies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Produces a defensible priority list based on redundancy and function rather than volume</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Requires utility cooperation and data many operators have never requested</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Validate alternate water and sanitation arrangements: contracts, tanker availability, portable sanitation inventory, well permits and functionality, mutual-aid terms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State and local emergency management, suppliers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Prevents discovery during an event that a paper arrangement does not function</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Regional inventories are finite and contested in the correlated scenarios</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Cross-reference affected controller models, integrators, remote-access technologies, and configurations against transportation-sector inventories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and DOT modal administrations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sector information-sharing organizations, vendors, integrators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Identifies the correlated-failure population before it fails</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Integrator relationships are commercially sensitive and not centrally held</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Exercise contingency plans for partial closure, passenger diversion, freight rerouting, manual processing, and workforce support under a water-loss premise</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Modal administrations, transit and port authorities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Tests the assumptions this assessment identifies as most sensitive</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Exercise capacity competes with ongoing operations at peak season</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Establish an independent verification method for critical readings — a way to confirm a controller display against something not on the network</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Integrators, vendors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The only reliable countermeasure to display manipulation</w:t>
            </w:r>
            <w:r>
              <w:rPr>
                <w:rFonts w:ascii="Calibri" w:cs="Calibri" w:eastAsia="Calibri" w:hAnsi="Calibri"/>
                <w:sz w:val="15"/>
                <w:szCs w:val="15"/>
                <w:vertAlign w:val="superscript"/>
              </w:rPr>
              <w:t xml:space="preserve">3</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Requires engineering judgment about which readings are load-bearing</w:t>
            </w:r>
          </w:p>
        </w:tc>
      </w:tr>
    </w:tbl>
    <w:p>
      <w:pPr>
        <w:spacing w:after="160" w:before="0" w:line="276"/>
      </w:pPr>
      <w:r>
        <w:rPr>
          <w:rFonts w:ascii="Calibri" w:cs="Calibri" w:eastAsia="Calibri" w:hAnsi="Calibri"/>
          <w:sz w:val="21"/>
          <w:szCs w:val="21"/>
        </w:rPr>
        <w:t xml:space="preserve"/>
      </w:r>
    </w:p>
    <w:p>
      <w:pPr>
        <w:spacing w:after="140" w:before="0" w:line="276"/>
      </w:pPr>
      <w:r>
        <w:rPr>
          <w:rFonts w:ascii="Calibri" w:cs="Calibri" w:eastAsia="Calibri" w:hAnsi="Calibri"/>
          <w:sz w:val="21"/>
          <w:szCs w:val="21"/>
        </w:rPr>
        <w:t xml:space="preserve">The integrator cross-reference deserves a practical note, because it is the action most often listed and least often executed. There is no central registry of which integrator serves which facility, and none is likely to appear. The workable substitutes are ordinary and available now. A facility's own procurement records and maintenance contracts identify its integrators directly, and are already held internally. The serving water utility can simply be asked who designed and maintains its remote-access architecture, and in most jurisdictions will answer. Sector information-sharing organizations can poll their membership for device-model and integrator overlap in aggregate, which surfaces concentration without either party disclosing anything competitively sensitive. And vendors can identify which of their authorized integrators operate in a given region, which they generally know precisely. Three of those four require no new authority, no new system, and no new data collection. The gap identified in Key Finding 8 is therefore not a gap in method — it is that nobody has been assigned to ask.</w:t>
      </w:r>
    </w:p>
    <w:p>
      <w:pPr>
        <w:pStyle w:val="Heading2"/>
        <w:keepNext/>
        <w:spacing w:after="110" w:before="260"/>
      </w:pPr>
      <w:r>
        <w:rPr>
          <w:rFonts w:ascii="Calibri" w:cs="Calibri" w:eastAsia="Calibri" w:hAnsi="Calibri"/>
          <w:b/>
          <w:bCs/>
          <w:color w:val="1F3864"/>
          <w:sz w:val="24"/>
          <w:szCs w:val="24"/>
        </w:rPr>
        <w:t xml:space="preserve">Stabilization: three to fourteen days</w:t>
      </w:r>
    </w:p>
    <w:p>
      <w:pPr>
        <w:keepNext/>
        <w:spacing w:after="80" w:before="200" w:line="276"/>
      </w:pPr>
      <w:r>
        <w:rPr>
          <w:rFonts w:ascii="Calibri" w:cs="Calibri" w:eastAsia="Calibri" w:hAnsi="Calibri"/>
          <w:b/>
          <w:bCs/>
          <w:color w:val="1F3864"/>
          <w:sz w:val="18"/>
          <w:szCs w:val="18"/>
        </w:rPr>
        <w:t xml:space="preserve">Table 16. Stabilization actions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27"/>
        <w:gridCol w:w="1310"/>
        <w:gridCol w:w="1404"/>
        <w:gridCol w:w="2153"/>
        <w:gridCol w:w="1966"/>
      </w:tblGrid>
      <w:tr>
        <w:trPr>
          <w:tblHeader/>
        </w:trPr>
        <w:tc>
          <w:tcPr>
            <w:tcW w:type="dxa" w:w="252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Action</w:t>
            </w:r>
          </w:p>
        </w:tc>
        <w:tc>
          <w:tcPr>
            <w:tcW w:type="dxa" w:w="1310"/>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Lead</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Supporting</w:t>
            </w:r>
          </w:p>
        </w:tc>
        <w:tc>
          <w:tcPr>
            <w:tcW w:type="dxa" w:w="215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Expected benefit</w:t>
            </w:r>
          </w:p>
        </w:tc>
        <w:tc>
          <w:tcPr>
            <w:tcW w:type="dxa" w:w="196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Principal constraint</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Remediate exposed operational technology: secure gateways, segmentation, logging, access control, backup validation, project-file integrity checking, end-of-life replacement planning</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Facility owners and operators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 TSA, integrators, vendors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Removes the precondition on which the entire threat model depends</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Engineering and integrator capacity is the binding constraint, and it is contested across sectors simultaneously</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Develop regional playbooks for water-loss impacts at airports, ports, rail and transit, pipeline facilities, and intermodal hubs, including fire-watch procedures and closure thresholds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Regional and metropolitan planning bodies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Operators, fire authorities, emergency management, utilities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Converts ad hoc decisions into pre-agreed criteria</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Requires agreement among parties that do not routinely plan together</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Identify procurement bottlenecks for controllers, modems, secure gateways, engineering support, pumps, portable water, and sanitation assets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DHS and DOT acquisition and resilience functions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Suppliers, distributors, integrators</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Anticipates the recovery-inhibition pathway rather than discovering it</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Demand visibility across sectors is poor</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Review grant, technical-assistance, and emergency-authority options to accelerate risk reduction, taking care not to duplicate existing programs</w:t>
            </w:r>
          </w:p>
        </w:tc>
        <w:tc>
          <w:tcPr>
            <w:tcW w:type="dxa" w:w="1310"/>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DHS, DOT, EPA</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State administrative agencies</w:t>
            </w:r>
          </w:p>
        </w:tc>
        <w:tc>
          <w:tcPr>
            <w:tcW w:type="dxa" w:w="2153"/>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Addresses the resource gap that small operators cite directly</w:t>
            </w:r>
            <w:r>
              <w:rPr>
                <w:rFonts w:ascii="Calibri" w:cs="Calibri" w:eastAsia="Calibri" w:hAnsi="Calibri"/>
                <w:sz w:val="15"/>
                <w:szCs w:val="15"/>
                <w:vertAlign w:val="superscript"/>
              </w:rPr>
              <w:t xml:space="preserve">9</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Program timelines rarely match the urgency of the operational problem</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Assess whether transportation facilities served by affected utilities experienced any degradation that was not reported, through direct inquiry rather than waiting for reports</w:t>
            </w:r>
          </w:p>
        </w:tc>
        <w:tc>
          <w:tcPr>
            <w:tcW w:type="dxa" w:w="1310"/>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and DOT modal administrations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Operators, CISA</w:t>
            </w:r>
          </w:p>
        </w:tc>
        <w:tc>
          <w:tcPr>
            <w:tcW w:type="dxa" w:w="2153"/>
            <w:tcMar>
              <w:top w:type="dxa" w:w="60"/>
              <w:left w:type="dxa" w:w="90"/>
              <w:bottom w:type="dxa" w:w="60"/>
              <w:right w:type="dxa" w:w="90"/>
            </w:tcMar>
            <w:vAlign w:val="top"/>
          </w:tcPr>
          <w:p>
            <w:pPr>
              <w:spacing w:after="0" w:line="240"/>
            </w:pPr>
            <w:r>
              <w:rPr>
                <w:rFonts w:ascii="Calibri" w:cs="Calibri" w:eastAsia="Calibri" w:hAnsi="Calibri"/>
                <w:sz w:val="15"/>
                <w:szCs w:val="15"/>
              </w:rPr>
              <w:t xml:space="preserve">Tests Key Finding 1 rather than assuming it</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Requires deliberate effort; the absence of reports will otherwise be read as absence of effect</w:t>
            </w:r>
          </w:p>
        </w:tc>
      </w:tr>
    </w:tbl>
    <w:p>
      <w:pPr>
        <w:spacing w:after="160" w:before="0" w:line="276"/>
      </w:pPr>
      <w:r>
        <w:rPr>
          <w:rFonts w:ascii="Calibri" w:cs="Calibri" w:eastAsia="Calibri" w:hAnsi="Calibri"/>
          <w:sz w:val="21"/>
          <w:szCs w:val="21"/>
        </w:rPr>
        <w:t xml:space="preserve"/>
      </w:r>
    </w:p>
    <w:p>
      <w:pPr>
        <w:pStyle w:val="Heading2"/>
        <w:keepNext/>
        <w:spacing w:after="110" w:before="260"/>
      </w:pPr>
      <w:r>
        <w:rPr>
          <w:rFonts w:ascii="Calibri" w:cs="Calibri" w:eastAsia="Calibri" w:hAnsi="Calibri"/>
          <w:b/>
          <w:bCs/>
          <w:color w:val="1F3864"/>
          <w:sz w:val="24"/>
          <w:szCs w:val="24"/>
        </w:rPr>
        <w:t xml:space="preserve">Strategic: fifteen to ninety days and beyond</w:t>
      </w:r>
    </w:p>
    <w:p>
      <w:pPr>
        <w:keepNext/>
        <w:spacing w:after="80" w:before="200" w:line="276"/>
      </w:pPr>
      <w:r>
        <w:rPr>
          <w:rFonts w:ascii="Calibri" w:cs="Calibri" w:eastAsia="Calibri" w:hAnsi="Calibri"/>
          <w:b/>
          <w:bCs/>
          <w:color w:val="1F3864"/>
          <w:sz w:val="18"/>
          <w:szCs w:val="18"/>
        </w:rPr>
        <w:t xml:space="preserve">Table 17. Strategic actions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27"/>
        <w:gridCol w:w="1404"/>
        <w:gridCol w:w="1404"/>
        <w:gridCol w:w="2059"/>
        <w:gridCol w:w="1966"/>
      </w:tblGrid>
      <w:tr>
        <w:trPr>
          <w:tblHeader/>
        </w:trPr>
        <w:tc>
          <w:tcPr>
            <w:tcW w:type="dxa" w:w="2527"/>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Action</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Lead</w:t>
            </w:r>
          </w:p>
        </w:tc>
        <w:tc>
          <w:tcPr>
            <w:tcW w:type="dxa" w:w="140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Supporting</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Expected benefit</w:t>
            </w:r>
          </w:p>
        </w:tc>
        <w:tc>
          <w:tcPr>
            <w:tcW w:type="dxa" w:w="196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Principal constraint</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Institutionalize cross-sector dependency mapping between water utilities and nationally or regionally critical transportation nodes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CISA</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EPA, TSA, DOT, USCG, states, operators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Makes the integrated picture a standing product rather than an emergency improvisation</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No entity currently owns this mapping; it spans two sector risk management agencies</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Develop minimum continuity objectives for water loss, wastewater loss, suspected contamination, manual operation, and recovery testing at transportation facilities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and DOT modal administrations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Operators, industry associations, fire authorities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Replaces facility-by-facility improvisation with comparable standards</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Voluntary objectives may not reach facilities with the least capacity; mandatory ones require rulemaking</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Evaluate whether regulatory, security-directive, grant, procurement, or information-sharing changes are warranted, distinguishing clearly between legal authority and policy preference</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DHS and DOT policy functions</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Counsel, OMB, congressional oversight</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Ensures any instrument chosen is one the agency can actually issue</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TSA security-directive authority is well established for pipeline and rail and differently structured elsewhere</w:t>
            </w:r>
            <w:r>
              <w:rPr>
                <w:rFonts w:ascii="Calibri" w:cs="Calibri" w:eastAsia="Calibri" w:hAnsi="Calibri"/>
                <w:sz w:val="15"/>
                <w:szCs w:val="15"/>
                <w:vertAlign w:val="superscript"/>
              </w:rPr>
              <w:t xml:space="preserve">17</w:t>
            </w:r>
            <w:r>
              <w:rPr>
                <w:rFonts w:ascii="Calibri" w:cs="Calibri" w:eastAsia="Calibri" w:hAnsi="Calibri"/>
                <w:sz w:val="15"/>
                <w:szCs w:val="15"/>
                <w:vertAlign w:val="superscript"/>
              </w:rPr>
              <w:t xml:space="preserve">20</w:t>
            </w:r>
          </w:p>
        </w:tc>
      </w:tr>
      <w:tr>
        <w:tc>
          <w:tcPr>
            <w:tcW w:type="dxa" w:w="2527"/>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Establish recurring joint exercises involving water utilities, transportation operators, public health, emergency management, law enforcement, and cyber responders</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FEMA and CISA</w:t>
            </w:r>
          </w:p>
        </w:tc>
        <w:tc>
          <w:tcPr>
            <w:tcW w:type="dxa" w:w="140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EPA, TSA, DOT, states, operators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Exercises the seams that this assessment identifies as the slowest part of the response</w:t>
            </w:r>
          </w:p>
        </w:tc>
        <w:tc>
          <w:tcPr>
            <w:tcW w:type="dxa" w:w="1966"/>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Utility and transportation operators have few existing joint exercise venues</w:t>
            </w:r>
          </w:p>
        </w:tc>
      </w:tr>
      <w:tr>
        <w:tc>
          <w:tcPr>
            <w:tcW w:type="dxa" w:w="2527"/>
            <w:tcMar>
              <w:top w:type="dxa" w:w="60"/>
              <w:left w:type="dxa" w:w="90"/>
              <w:bottom w:type="dxa" w:w="60"/>
              <w:right w:type="dxa" w:w="90"/>
            </w:tcMar>
            <w:vAlign w:val="top"/>
          </w:tcPr>
          <w:p>
            <w:pPr>
              <w:spacing w:after="0" w:line="240"/>
            </w:pPr>
            <w:r>
              <w:rPr>
                <w:rFonts w:ascii="Calibri" w:cs="Calibri" w:eastAsia="Calibri" w:hAnsi="Calibri"/>
                <w:sz w:val="15"/>
                <w:szCs w:val="15"/>
              </w:rPr>
              <w:t xml:space="preserve">Measure risk reduction by observable outcomes — controllers removed from exposure, manual procedures exercised, fire-water independence verified — rather than by compliance activity</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DHS and DOT</w:t>
            </w:r>
          </w:p>
        </w:tc>
        <w:tc>
          <w:tcPr>
            <w:tcW w:type="dxa" w:w="1404"/>
            <w:tcMar>
              <w:top w:type="dxa" w:w="60"/>
              <w:left w:type="dxa" w:w="90"/>
              <w:bottom w:type="dxa" w:w="60"/>
              <w:right w:type="dxa" w:w="90"/>
            </w:tcMar>
            <w:vAlign w:val="top"/>
          </w:tcPr>
          <w:p>
            <w:pPr>
              <w:spacing w:after="0" w:line="240"/>
            </w:pPr>
            <w:r>
              <w:rPr>
                <w:rFonts w:ascii="Calibri" w:cs="Calibri" w:eastAsia="Calibri" w:hAnsi="Calibri"/>
                <w:sz w:val="15"/>
                <w:szCs w:val="15"/>
              </w:rPr>
              <w:t xml:space="preserve">Operators, GAO</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5"/>
                <w:szCs w:val="15"/>
              </w:rPr>
              <w:t xml:space="preserve">Prevents reporting that documents effort rather than effect</w:t>
            </w:r>
            <w:r>
              <w:rPr>
                <w:rFonts w:ascii="Calibri" w:cs="Calibri" w:eastAsia="Calibri" w:hAnsi="Calibri"/>
                <w:sz w:val="15"/>
                <w:szCs w:val="15"/>
                <w:vertAlign w:val="superscript"/>
              </w:rPr>
              <w:t xml:space="preserve">20</w:t>
            </w:r>
          </w:p>
        </w:tc>
        <w:tc>
          <w:tcPr>
            <w:tcW w:type="dxa" w:w="1966"/>
            <w:tcMar>
              <w:top w:type="dxa" w:w="60"/>
              <w:left w:type="dxa" w:w="90"/>
              <w:bottom w:type="dxa" w:w="60"/>
              <w:right w:type="dxa" w:w="90"/>
            </w:tcMar>
            <w:vAlign w:val="top"/>
          </w:tcPr>
          <w:p>
            <w:pPr>
              <w:spacing w:after="0" w:line="240"/>
            </w:pPr>
            <w:r>
              <w:rPr>
                <w:rFonts w:ascii="Calibri" w:cs="Calibri" w:eastAsia="Calibri" w:hAnsi="Calibri"/>
                <w:sz w:val="15"/>
                <w:szCs w:val="15"/>
              </w:rPr>
              <w:t xml:space="preserve">Outcome measures require baseline data that does not currently exist</w:t>
            </w:r>
          </w:p>
        </w:tc>
      </w:tr>
    </w:tbl>
    <w:p>
      <w:pPr>
        <w:spacing w:after="160" w:before="0" w:line="276"/>
      </w:pPr>
      <w:r>
        <w:rPr>
          <w:rFonts w:ascii="Calibri" w:cs="Calibri" w:eastAsia="Calibri" w:hAnsi="Calibri"/>
          <w:sz w:val="21"/>
          <w:szCs w:val="21"/>
        </w:rPr>
        <w:t xml:space="preserve"/>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Roles, authorities, and coordination seams</w:t>
      </w:r>
    </w:p>
    <w:p>
      <w:pPr>
        <w:spacing w:after="140" w:before="0" w:line="276"/>
      </w:pPr>
      <w:r>
        <w:rPr>
          <w:rFonts w:ascii="Calibri" w:cs="Calibri" w:eastAsia="Calibri" w:hAnsi="Calibri"/>
          <w:sz w:val="21"/>
          <w:szCs w:val="21"/>
        </w:rPr>
        <w:t xml:space="preserve">The roles below are stated as they are publicly described. Nothing here should be read as a legal opinion or as an authoritative statement of any agency's authority.</w:t>
      </w:r>
    </w:p>
    <w:p>
      <w:pPr>
        <w:keepNext/>
        <w:spacing w:after="80" w:before="200" w:line="276"/>
      </w:pPr>
      <w:r>
        <w:rPr>
          <w:rFonts w:ascii="Calibri" w:cs="Calibri" w:eastAsia="Calibri" w:hAnsi="Calibri"/>
          <w:b/>
          <w:bCs/>
          <w:color w:val="1F3864"/>
          <w:sz w:val="18"/>
          <w:szCs w:val="18"/>
        </w:rPr>
        <w:t xml:space="preserve">Table 18. Public roles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059"/>
        <w:gridCol w:w="4212"/>
        <w:gridCol w:w="3089"/>
      </w:tblGrid>
      <w:tr>
        <w:trPr>
          <w:tblHeader/>
        </w:trPr>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Entity</w:t>
            </w:r>
          </w:p>
        </w:tc>
        <w:tc>
          <w:tcPr>
            <w:tcW w:type="dxa" w:w="4212"/>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Publicly described role in this event class</w:t>
            </w:r>
          </w:p>
        </w:tc>
        <w:tc>
          <w:tcPr>
            <w:tcW w:type="dxa" w:w="308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Relevance to transportation</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EPA</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Sector risk management agency for water and wastewater; provides cybersecurity assessments, technical assistance, tools, and training to water systems</w:t>
            </w:r>
            <w:r>
              <w:rPr>
                <w:rFonts w:ascii="Calibri" w:cs="Calibri" w:eastAsia="Calibri" w:hAnsi="Calibri"/>
                <w:sz w:val="16"/>
                <w:szCs w:val="16"/>
                <w:vertAlign w:val="superscript"/>
              </w:rPr>
              <w:t xml:space="preserve">5</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Holds the relationship with the utilities that serve transportation facilities; does not have a transportation mission</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CISA</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Cross-sector cybersecurity and critical-infrastructure coordination; issued the 30 July sector alert; offers no-cost scanning and cyber hygiene services</w:t>
            </w:r>
            <w:r>
              <w:rPr>
                <w:rFonts w:ascii="Calibri" w:cs="Calibri" w:eastAsia="Calibri" w:hAnsi="Calibri"/>
                <w:sz w:val="16"/>
                <w:szCs w:val="16"/>
                <w:vertAlign w:val="superscript"/>
              </w:rPr>
              <w:t xml:space="preserve">2</w:t>
            </w:r>
            <w:r>
              <w:rPr>
                <w:rFonts w:ascii="Calibri" w:cs="Calibri" w:eastAsia="Calibri" w:hAnsi="Calibri"/>
                <w:sz w:val="16"/>
                <w:szCs w:val="16"/>
                <w:vertAlign w:val="superscript"/>
              </w:rPr>
              <w:t xml:space="preserve">3</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most natural home for integrated water-and-transportation dependency mapping</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FBI</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Investigation and attribution support; receives incident reports through field offices and the Internet Crime Complaint Center; engaging with victim organizations</w:t>
            </w:r>
            <w:r>
              <w:rPr>
                <w:rFonts w:ascii="Calibri" w:cs="Calibri" w:eastAsia="Calibri" w:hAnsi="Calibri"/>
                <w:sz w:val="16"/>
                <w:szCs w:val="16"/>
                <w:vertAlign w:val="superscript"/>
              </w:rPr>
              <w:t xml:space="preserve">1</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Would hold the earliest indication that transportation entities were also targeted</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NSA and U.S. Cyber Command (Cyber National Mission Force)</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National-security cyber support; co-authors of the joint advisory</w:t>
            </w:r>
            <w:r>
              <w:rPr>
                <w:rFonts w:ascii="Calibri" w:cs="Calibri" w:eastAsia="Calibri" w:hAnsi="Calibri"/>
                <w:sz w:val="16"/>
                <w:szCs w:val="16"/>
                <w:vertAlign w:val="superscript"/>
              </w:rPr>
              <w:t xml:space="preserve">3</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Indirect; relevant to attribution and to understanding actor capability</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Department of the Treasury</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Added as a co-author of the joint advisory in the July 2026 update</w:t>
            </w:r>
            <w:r>
              <w:rPr>
                <w:rFonts w:ascii="Calibri" w:cs="Calibri" w:eastAsia="Calibri" w:hAnsi="Calibri"/>
                <w:sz w:val="16"/>
                <w:szCs w:val="16"/>
                <w:vertAlign w:val="superscript"/>
              </w:rPr>
              <w:t xml:space="preserve">3</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Indirect; relevant to sanctions and financial-measure responses</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TSA</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Transportation security; issues security directives and cybersecurity requirements in designated modes</w:t>
            </w:r>
            <w:r>
              <w:rPr>
                <w:rFonts w:ascii="Calibri" w:cs="Calibri" w:eastAsia="Calibri" w:hAnsi="Calibri"/>
                <w:sz w:val="16"/>
                <w:szCs w:val="16"/>
                <w:vertAlign w:val="superscript"/>
              </w:rPr>
              <w:t xml:space="preserve">17</w:t>
            </w:r>
            <w:r>
              <w:rPr>
                <w:rFonts w:ascii="Calibri" w:cs="Calibri" w:eastAsia="Calibri" w:hAnsi="Calibri"/>
                <w:sz w:val="16"/>
                <w:szCs w:val="16"/>
                <w:vertAlign w:val="superscript"/>
              </w:rPr>
              <w:t xml:space="preserve">18</w:t>
            </w:r>
            <w:r>
              <w:rPr>
                <w:rFonts w:ascii="Calibri" w:cs="Calibri" w:eastAsia="Calibri" w:hAnsi="Calibri"/>
                <w:sz w:val="16"/>
                <w:szCs w:val="16"/>
                <w:vertAlign w:val="superscript"/>
              </w:rPr>
              <w:t xml:space="preserve">19</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authority over covered pipeline and rail owner-operators; different instruments for aviation and other modes</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DOT modal administrations</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Safety and operations across aviation, rail, transit, highway, and pipeline safety</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Reach operators that transportation-security instruments may not, particularly airports and transit</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U.S. Coast Guard</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Maritime security and safety, including facility security regulation</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authority at regulated marine facilities, including cargo-handling restrictions</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FEMA</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Consequence management and mutual-aid coordination</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Relevant when effects exceed local capacity, particularly in the correlated regional scenarios</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State and local government</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Incident response, public health, emergency management, and fusion-center information sharing; Minnesota's response was coordinated across state information technology, public safety, health, and pollution-control agencies with federal partners</w:t>
            </w:r>
            <w:r>
              <w:rPr>
                <w:rFonts w:ascii="Calibri" w:cs="Calibri" w:eastAsia="Calibri" w:hAnsi="Calibri"/>
                <w:sz w:val="16"/>
                <w:szCs w:val="16"/>
                <w:vertAlign w:val="superscript"/>
              </w:rPr>
              <w:t xml:space="preserve">6</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Usually the first to hold the integrated local picture</w:t>
            </w:r>
          </w:p>
        </w:tc>
      </w:tr>
      <w:tr>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Public utility commissions and drinking-water primacy agencies</w:t>
            </w:r>
          </w:p>
        </w:tc>
        <w:tc>
          <w:tcPr>
            <w:tcW w:type="dxa" w:w="4212"/>
            <w:tcMar>
              <w:top w:type="dxa" w:w="60"/>
              <w:left w:type="dxa" w:w="90"/>
              <w:bottom w:type="dxa" w:w="60"/>
              <w:right w:type="dxa" w:w="90"/>
            </w:tcMar>
            <w:vAlign w:val="top"/>
          </w:tcPr>
          <w:p>
            <w:pPr>
              <w:spacing w:after="0" w:line="240"/>
            </w:pPr>
            <w:r>
              <w:rPr>
                <w:rFonts w:ascii="Calibri" w:cs="Calibri" w:eastAsia="Calibri" w:hAnsi="Calibri"/>
                <w:sz w:val="16"/>
                <w:szCs w:val="16"/>
              </w:rPr>
              <w:t xml:space="preserve">Utility oversight and drinking-water regulation, including boil-notice authority</w:t>
            </w:r>
          </w:p>
        </w:tc>
        <w:tc>
          <w:tcPr>
            <w:tcW w:type="dxa" w:w="3089"/>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Control the timing of restrictions that govern transportation facility operations</w:t>
            </w:r>
          </w:p>
        </w:tc>
      </w:tr>
      <w:tr>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Owners and operators</w:t>
            </w:r>
          </w:p>
        </w:tc>
        <w:tc>
          <w:tcPr>
            <w:tcW w:type="dxa" w:w="4212"/>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Operate the affected systems and make the actual operational decisions</w:t>
            </w:r>
          </w:p>
        </w:tc>
        <w:tc>
          <w:tcPr>
            <w:tcW w:type="dxa" w:w="308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Hold nearly all the information this assessment identifies as missing</w:t>
            </w:r>
          </w:p>
        </w:tc>
      </w:tr>
    </w:tbl>
    <w:p>
      <w:pPr>
        <w:spacing w:after="160" w:before="0" w:line="276"/>
      </w:pPr>
      <w:r>
        <w:rPr>
          <w:rFonts w:ascii="Calibri" w:cs="Calibri" w:eastAsia="Calibri" w:hAnsi="Calibri"/>
          <w:sz w:val="21"/>
          <w:szCs w:val="21"/>
        </w:rPr>
        <w:t xml:space="preserve"/>
      </w:r>
    </w:p>
    <w:p>
      <w:pPr>
        <w:pStyle w:val="Heading2"/>
        <w:keepNext/>
        <w:spacing w:after="110" w:before="260"/>
      </w:pPr>
      <w:r>
        <w:rPr>
          <w:rFonts w:ascii="Calibri" w:cs="Calibri" w:eastAsia="Calibri" w:hAnsi="Calibri"/>
          <w:b/>
          <w:bCs/>
          <w:color w:val="1F3864"/>
          <w:sz w:val="24"/>
          <w:szCs w:val="24"/>
        </w:rPr>
        <w:t xml:space="preserve">Seams that would slow action</w:t>
      </w:r>
    </w:p>
    <w:p>
      <w:pPr>
        <w:pStyle w:val="ListParagraph"/>
        <w:numPr>
          <w:ilvl w:val="0"/>
          <w:numId w:val="1"/>
        </w:numPr>
        <w:spacing w:after="70" w:line="264"/>
      </w:pPr>
      <w:r>
        <w:rPr>
          <w:rFonts w:ascii="Calibri" w:cs="Calibri" w:eastAsia="Calibri" w:hAnsi="Calibri"/>
          <w:b/>
          <w:bCs/>
          <w:sz w:val="21"/>
          <w:szCs w:val="21"/>
        </w:rPr>
        <w:t xml:space="preserve">The dependency crosses two sector risk management agencies.</w:t>
      </w:r>
      <w:r>
        <w:rPr>
          <w:rFonts w:ascii="Calibri" w:cs="Calibri" w:eastAsia="Calibri" w:hAnsi="Calibri"/>
          <w:sz w:val="21"/>
          <w:szCs w:val="21"/>
        </w:rPr>
        <w:t xml:space="preserve"> EPA holds the water relationship and TSA holds the transportation-security relationship. Neither owns the dependency between them, and no published mechanism assigns it. CISA is the natural integrator but the mapping does not currently exist as a standing product.</w:t>
      </w:r>
    </w:p>
    <w:p>
      <w:pPr>
        <w:pStyle w:val="ListParagraph"/>
        <w:numPr>
          <w:ilvl w:val="0"/>
          <w:numId w:val="1"/>
        </w:numPr>
        <w:spacing w:after="70" w:line="264"/>
      </w:pPr>
      <w:r>
        <w:rPr>
          <w:rFonts w:ascii="Calibri" w:cs="Calibri" w:eastAsia="Calibri" w:hAnsi="Calibri"/>
          <w:b/>
          <w:bCs/>
          <w:sz w:val="21"/>
          <w:szCs w:val="21"/>
        </w:rPr>
        <w:t xml:space="preserve">Reporting flows the wrong way.</w:t>
      </w:r>
      <w:r>
        <w:rPr>
          <w:rFonts w:ascii="Calibri" w:cs="Calibri" w:eastAsia="Calibri" w:hAnsi="Calibri"/>
          <w:sz w:val="21"/>
          <w:szCs w:val="21"/>
        </w:rPr>
        <w:t xml:space="preserve"> The reporting paths in the federal alerts run to water-sector and cyber channels. A transportation operator experiencing water-service degradation caused by a cyber incident at a utility has no obligation and no obvious route to inform transportation-security leadership, and would most likely treat it as a facilities matter.</w:t>
      </w:r>
    </w:p>
    <w:p>
      <w:pPr>
        <w:pStyle w:val="ListParagraph"/>
        <w:numPr>
          <w:ilvl w:val="0"/>
          <w:numId w:val="1"/>
        </w:numPr>
        <w:spacing w:after="70" w:line="264"/>
      </w:pPr>
      <w:r>
        <w:rPr>
          <w:rFonts w:ascii="Calibri" w:cs="Calibri" w:eastAsia="Calibri" w:hAnsi="Calibri"/>
          <w:b/>
          <w:bCs/>
          <w:sz w:val="21"/>
          <w:szCs w:val="21"/>
        </w:rPr>
        <w:t xml:space="preserve">Instrument coverage is uneven across modes.</w:t>
      </w:r>
      <w:r>
        <w:rPr>
          <w:rFonts w:ascii="Calibri" w:cs="Calibri" w:eastAsia="Calibri" w:hAnsi="Calibri"/>
          <w:sz w:val="21"/>
          <w:szCs w:val="21"/>
        </w:rPr>
        <w:t xml:space="preserve"> Cybersecurity security directives are established for designated pipeline and rail owner-operators; the instruments reaching airports, transit agencies, and marine terminals are structured differently and involve different authorities. A single cross-modal tasking is therefore harder to issue than the uniform nature of the threat would suggest.</w:t>
      </w:r>
    </w:p>
    <w:p>
      <w:pPr>
        <w:pStyle w:val="ListParagraph"/>
        <w:numPr>
          <w:ilvl w:val="0"/>
          <w:numId w:val="1"/>
        </w:numPr>
        <w:spacing w:after="70" w:line="264"/>
      </w:pPr>
      <w:r>
        <w:rPr>
          <w:rFonts w:ascii="Calibri" w:cs="Calibri" w:eastAsia="Calibri" w:hAnsi="Calibri"/>
          <w:b/>
          <w:bCs/>
          <w:sz w:val="21"/>
          <w:szCs w:val="21"/>
        </w:rPr>
        <w:t xml:space="preserve">Utilities are outside transportation security authority entirely.</w:t>
      </w:r>
      <w:r>
        <w:rPr>
          <w:rFonts w:ascii="Calibri" w:cs="Calibri" w:eastAsia="Calibri" w:hAnsi="Calibri"/>
          <w:sz w:val="21"/>
          <w:szCs w:val="21"/>
        </w:rPr>
        <w:t xml:space="preserve"> Transportation-security instruments do not reach the municipal utility that serves an airport. Influence runs through EPA, state primacy agencies, and local government, none of which is organized around transportation continuity.</w:t>
      </w:r>
    </w:p>
    <w:p>
      <w:pPr>
        <w:pStyle w:val="ListParagraph"/>
        <w:numPr>
          <w:ilvl w:val="0"/>
          <w:numId w:val="1"/>
        </w:numPr>
        <w:spacing w:after="70" w:line="264"/>
      </w:pPr>
      <w:r>
        <w:rPr>
          <w:rFonts w:ascii="Calibri" w:cs="Calibri" w:eastAsia="Calibri" w:hAnsi="Calibri"/>
          <w:b/>
          <w:bCs/>
          <w:sz w:val="21"/>
          <w:szCs w:val="21"/>
        </w:rPr>
        <w:t xml:space="preserve">Fire-protection decisions sit with local authorities having jurisdiction.</w:t>
      </w:r>
      <w:r>
        <w:rPr>
          <w:rFonts w:ascii="Calibri" w:cs="Calibri" w:eastAsia="Calibri" w:hAnsi="Calibri"/>
          <w:sz w:val="21"/>
          <w:szCs w:val="21"/>
        </w:rPr>
        <w:t xml:space="preserve"> The decision most likely to restrict or close a transportation facility during a water event is a local fire-code decision, made by an official who is not part of any federal transportation or cyber coordination structure.</w:t>
      </w:r>
    </w:p>
    <w:p>
      <w:pPr>
        <w:pStyle w:val="ListParagraph"/>
        <w:numPr>
          <w:ilvl w:val="0"/>
          <w:numId w:val="1"/>
        </w:numPr>
        <w:spacing w:after="70" w:line="264"/>
      </w:pPr>
      <w:r>
        <w:rPr>
          <w:rFonts w:ascii="Calibri" w:cs="Calibri" w:eastAsia="Calibri" w:hAnsi="Calibri"/>
          <w:b/>
          <w:bCs/>
          <w:sz w:val="21"/>
          <w:szCs w:val="21"/>
        </w:rPr>
        <w:t xml:space="preserve">Attribution pressure competes with operational response.</w:t>
      </w:r>
      <w:r>
        <w:rPr>
          <w:rFonts w:ascii="Calibri" w:cs="Calibri" w:eastAsia="Calibri" w:hAnsi="Calibri"/>
          <w:sz w:val="21"/>
          <w:szCs w:val="21"/>
        </w:rPr>
        <w:t xml:space="preserve"> Public attribution questions consume leadership attention and complicate messaging at exactly the moment when the operational actions required are attribution-independent.</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Intelligence gaps, collection requirements, assumptions, and disconfirming evidence</w:t>
      </w:r>
    </w:p>
    <w:p>
      <w:pPr>
        <w:pStyle w:val="Heading2"/>
        <w:keepNext/>
        <w:spacing w:after="110" w:before="260"/>
      </w:pPr>
      <w:r>
        <w:rPr>
          <w:rFonts w:ascii="Calibri" w:cs="Calibri" w:eastAsia="Calibri" w:hAnsi="Calibri"/>
          <w:b/>
          <w:bCs/>
          <w:color w:val="1F3864"/>
          <w:sz w:val="24"/>
          <w:szCs w:val="24"/>
        </w:rPr>
        <w:t xml:space="preserve">Gaps and collection requirements</w:t>
      </w:r>
    </w:p>
    <w:p>
      <w:pPr>
        <w:keepNext/>
        <w:spacing w:after="80" w:before="200" w:line="276"/>
      </w:pPr>
      <w:r>
        <w:rPr>
          <w:rFonts w:ascii="Calibri" w:cs="Calibri" w:eastAsia="Calibri" w:hAnsi="Calibri"/>
          <w:b/>
          <w:bCs/>
          <w:color w:val="1F3864"/>
          <w:sz w:val="18"/>
          <w:szCs w:val="18"/>
        </w:rPr>
        <w:t xml:space="preserve">Table 19. Intelligence gaps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808"/>
        <w:gridCol w:w="2246"/>
        <w:gridCol w:w="2246"/>
        <w:gridCol w:w="2059"/>
      </w:tblGrid>
      <w:tr>
        <w:trPr>
          <w:tblHeader/>
        </w:trPr>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Gap</w:t>
            </w:r>
          </w:p>
        </w:tc>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Why it matters</w:t>
            </w:r>
          </w:p>
        </w:tc>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Potential collection</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Priority</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Extent of internet-reachable controller exposure in transportation-sector operational technology</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single assumption driving the most uncertainty in this assessment</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Operator self-assessment; CISA cyber hygiene services; modal survey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Highest</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Which seven states reported incidents, and which utilities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Cannot identify affected transportation facilities without knowing affected service areas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Federal disclosure; state notifications</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Whether transportation facilities served by affected utilities experienced any degradation</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Directly tests Key Finding 1, which is currently based on absence of reporting</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Direct inquiry to operators by modal administrations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Device families and access methods involved in the Minnesota cluster</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Would confirm or refute the behavioral discriminator in Key Finding 5</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State and federal investigative disclosure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Integrator concentration across water and transportation in the same regions</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Determines the correlated-failure population</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Voluntary operator and integrator disclosure; procurement records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to high</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Facility-level alternate water supply, on-site storage, and fire-water independence at transportation nodes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Required to apply the priority framework to real assets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Operator records; state and local emergency planning data</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 to high</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Currency and exercise status of manual operating procedures at transportation facilities</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Drives every consequence band in the scenarios</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Operator self-reporting; exercise records</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Regional portable sanitation and tanker inventory capacity</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Separates base and high consequence bands in the regional scenarios</w:t>
            </w:r>
          </w:p>
        </w:tc>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Supplier and emergency-management inventory data</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Whether treatment-process manipulation could defeat both automated monitoring and routine sampling</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Bounds the contamination scenario</w:t>
            </w:r>
          </w:p>
        </w:tc>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Water-sector technical authorities; EPA</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w:t>
            </w:r>
          </w:p>
        </w:tc>
      </w:tr>
    </w:tbl>
    <w:p>
      <w:pPr>
        <w:spacing w:after="160" w:before="0" w:line="276"/>
      </w:pPr>
      <w:r>
        <w:rPr>
          <w:rFonts w:ascii="Calibri" w:cs="Calibri" w:eastAsia="Calibri" w:hAnsi="Calibri"/>
          <w:sz w:val="21"/>
          <w:szCs w:val="21"/>
        </w:rPr>
        <w:t xml:space="preserve"/>
      </w:r>
    </w:p>
    <w:p>
      <w:pPr>
        <w:pStyle w:val="Heading2"/>
        <w:keepNext/>
        <w:spacing w:after="110" w:before="260"/>
      </w:pPr>
      <w:r>
        <w:rPr>
          <w:rFonts w:ascii="Calibri" w:cs="Calibri" w:eastAsia="Calibri" w:hAnsi="Calibri"/>
          <w:b/>
          <w:bCs/>
          <w:color w:val="1F3864"/>
          <w:sz w:val="24"/>
          <w:szCs w:val="24"/>
        </w:rPr>
        <w:t xml:space="preserve">Key assumptions check</w:t>
      </w:r>
    </w:p>
    <w:p>
      <w:pPr>
        <w:spacing w:after="140" w:before="0" w:line="276"/>
      </w:pPr>
      <w:r>
        <w:rPr>
          <w:rFonts w:ascii="Calibri" w:cs="Calibri" w:eastAsia="Calibri" w:hAnsi="Calibri"/>
          <w:sz w:val="21"/>
          <w:szCs w:val="21"/>
        </w:rPr>
        <w:t xml:space="preserve">Six assumptions underpin this assessment. Each is stated with the consequence of its being wrong.</w:t>
      </w:r>
    </w:p>
    <w:p>
      <w:pPr>
        <w:pStyle w:val="ListParagraph"/>
        <w:numPr>
          <w:ilvl w:val="0"/>
          <w:numId w:val="1"/>
        </w:numPr>
        <w:spacing w:after="70" w:line="264"/>
      </w:pPr>
      <w:r>
        <w:rPr>
          <w:rFonts w:ascii="Calibri" w:cs="Calibri" w:eastAsia="Calibri" w:hAnsi="Calibri"/>
          <w:b/>
          <w:bCs/>
          <w:sz w:val="21"/>
          <w:szCs w:val="21"/>
        </w:rPr>
        <w:t xml:space="preserve">Public reporting reasonably reflects the scale of what occurred.</w:t>
      </w:r>
      <w:r>
        <w:rPr>
          <w:rFonts w:ascii="Calibri" w:cs="Calibri" w:eastAsia="Calibri" w:hAnsi="Calibri"/>
          <w:sz w:val="21"/>
          <w:szCs w:val="21"/>
        </w:rPr>
        <w:t xml:space="preserve"> If substantial incidents are unreported, every judgment here understates the situation. This assumption is weakly supported: federal authorities have declined to identify affected states, and transportation-facility effects would not necessarily surface publicly at all.</w:t>
      </w:r>
    </w:p>
    <w:p>
      <w:pPr>
        <w:pStyle w:val="ListParagraph"/>
        <w:numPr>
          <w:ilvl w:val="0"/>
          <w:numId w:val="1"/>
        </w:numPr>
        <w:spacing w:after="70" w:line="264"/>
      </w:pPr>
      <w:r>
        <w:rPr>
          <w:rFonts w:ascii="Calibri" w:cs="Calibri" w:eastAsia="Calibri" w:hAnsi="Calibri"/>
          <w:b/>
          <w:bCs/>
          <w:sz w:val="21"/>
          <w:szCs w:val="21"/>
        </w:rPr>
        <w:t xml:space="preserve">The observed water-loss cases at airports generalize to other transportation facilities and to adversarial conditions.</w:t>
      </w:r>
      <w:r>
        <w:rPr>
          <w:rFonts w:ascii="Calibri" w:cs="Calibri" w:eastAsia="Calibri" w:hAnsi="Calibri"/>
          <w:sz w:val="21"/>
          <w:szCs w:val="21"/>
        </w:rPr>
        <w:t xml:space="preserve"> If they do not — for instance if maritime or rail facilities have tighter water dependencies than the aviation cases suggest — consequence estimates for those modes are low.</w:t>
      </w:r>
    </w:p>
    <w:p>
      <w:pPr>
        <w:pStyle w:val="ListParagraph"/>
        <w:numPr>
          <w:ilvl w:val="0"/>
          <w:numId w:val="1"/>
        </w:numPr>
        <w:spacing w:after="70" w:line="264"/>
      </w:pPr>
      <w:r>
        <w:rPr>
          <w:rFonts w:ascii="Calibri" w:cs="Calibri" w:eastAsia="Calibri" w:hAnsi="Calibri"/>
          <w:b/>
          <w:bCs/>
          <w:sz w:val="21"/>
          <w:szCs w:val="21"/>
        </w:rPr>
        <w:t xml:space="preserve">Transportation controller exposure is lower than water-sector exposure.</w:t>
      </w:r>
      <w:r>
        <w:rPr>
          <w:rFonts w:ascii="Calibri" w:cs="Calibri" w:eastAsia="Calibri" w:hAnsi="Calibri"/>
          <w:sz w:val="21"/>
          <w:szCs w:val="21"/>
        </w:rPr>
        <w:t xml:space="preserve"> Identified in Table 10 as the highest-sensitivity assumption. It is supported only by inference from operator scale and regulatory regime, not by data.</w:t>
      </w:r>
    </w:p>
    <w:p>
      <w:pPr>
        <w:pStyle w:val="ListParagraph"/>
        <w:numPr>
          <w:ilvl w:val="0"/>
          <w:numId w:val="1"/>
        </w:numPr>
        <w:spacing w:after="70" w:line="264"/>
      </w:pPr>
      <w:r>
        <w:rPr>
          <w:rFonts w:ascii="Calibri" w:cs="Calibri" w:eastAsia="Calibri" w:hAnsi="Calibri"/>
          <w:b/>
          <w:bCs/>
          <w:sz w:val="21"/>
          <w:szCs w:val="21"/>
        </w:rPr>
        <w:t xml:space="preserve">Manual fallback exists and functions at transportation facilities.</w:t>
      </w:r>
      <w:r>
        <w:rPr>
          <w:rFonts w:ascii="Calibri" w:cs="Calibri" w:eastAsia="Calibri" w:hAnsi="Calibri"/>
          <w:sz w:val="21"/>
          <w:szCs w:val="21"/>
        </w:rPr>
        <w:t xml:space="preserve"> Supported by the water-sector evidence that manual fallback determined severity, but not verified for transportation.</w:t>
      </w:r>
    </w:p>
    <w:p>
      <w:pPr>
        <w:pStyle w:val="ListParagraph"/>
        <w:numPr>
          <w:ilvl w:val="0"/>
          <w:numId w:val="1"/>
        </w:numPr>
        <w:spacing w:after="70" w:line="264"/>
      </w:pPr>
      <w:r>
        <w:rPr>
          <w:rFonts w:ascii="Calibri" w:cs="Calibri" w:eastAsia="Calibri" w:hAnsi="Calibri"/>
          <w:b/>
          <w:bCs/>
          <w:sz w:val="21"/>
          <w:szCs w:val="21"/>
        </w:rPr>
        <w:t xml:space="preserve">Actor intent remains oriented to disruption and signaling rather than to destruction.</w:t>
      </w:r>
      <w:r>
        <w:rPr>
          <w:rFonts w:ascii="Calibri" w:cs="Calibri" w:eastAsia="Calibri" w:hAnsi="Calibri"/>
          <w:sz w:val="21"/>
          <w:szCs w:val="21"/>
        </w:rPr>
        <w:t xml:space="preserve"> Drawn from the published assessment of purpose and from observed effects. Intent can change faster than posture.</w:t>
      </w:r>
    </w:p>
    <w:p>
      <w:pPr>
        <w:pStyle w:val="ListParagraph"/>
        <w:numPr>
          <w:ilvl w:val="0"/>
          <w:numId w:val="1"/>
        </w:numPr>
        <w:spacing w:after="70" w:line="264"/>
      </w:pPr>
      <w:r>
        <w:rPr>
          <w:rFonts w:ascii="Calibri" w:cs="Calibri" w:eastAsia="Calibri" w:hAnsi="Calibri"/>
          <w:b/>
          <w:bCs/>
          <w:sz w:val="21"/>
          <w:szCs w:val="21"/>
        </w:rPr>
        <w:t xml:space="preserve">Attribution, if resolved, would not materially change near-term defensive actions.</w:t>
      </w:r>
      <w:r>
        <w:rPr>
          <w:rFonts w:ascii="Calibri" w:cs="Calibri" w:eastAsia="Calibri" w:hAnsi="Calibri"/>
          <w:sz w:val="21"/>
          <w:szCs w:val="21"/>
        </w:rPr>
        <w:t xml:space="preserve"> Well supported: the recommended actions are exposure-driven and identical across the competing hypotheses.</w:t>
      </w:r>
    </w:p>
    <w:p>
      <w:pPr>
        <w:pStyle w:val="Heading2"/>
        <w:keepNext/>
        <w:spacing w:after="110" w:before="260"/>
      </w:pPr>
      <w:r>
        <w:rPr>
          <w:rFonts w:ascii="Calibri" w:cs="Calibri" w:eastAsia="Calibri" w:hAnsi="Calibri"/>
          <w:b/>
          <w:bCs/>
          <w:color w:val="1F3864"/>
          <w:sz w:val="24"/>
          <w:szCs w:val="24"/>
        </w:rPr>
        <w:t xml:space="preserve">Disconfirming evidence and benign explanations</w:t>
      </w:r>
    </w:p>
    <w:p>
      <w:pPr>
        <w:spacing w:after="140" w:before="0" w:line="276"/>
      </w:pPr>
      <w:r>
        <w:rPr>
          <w:rFonts w:ascii="Calibri" w:cs="Calibri" w:eastAsia="Calibri" w:hAnsi="Calibri"/>
          <w:sz w:val="21"/>
          <w:szCs w:val="21"/>
        </w:rPr>
        <w:t xml:space="preserve">Evidence pointing away from the more serious readings of this situation deserves explicit statement, because assessments of this kind tend to accumulate confirming detail.</w:t>
      </w:r>
    </w:p>
    <w:p>
      <w:pPr>
        <w:pStyle w:val="ListParagraph"/>
        <w:numPr>
          <w:ilvl w:val="0"/>
          <w:numId w:val="1"/>
        </w:numPr>
        <w:spacing w:after="70" w:line="264"/>
      </w:pPr>
      <w:r>
        <w:rPr>
          <w:rFonts w:ascii="Calibri" w:cs="Calibri" w:eastAsia="Calibri" w:hAnsi="Calibri"/>
          <w:sz w:val="21"/>
          <w:szCs w:val="21"/>
        </w:rPr>
        <w:t xml:space="preserve">No contamination has been reported, and reporting indicates no indication that any water supply is unsafe to drink.</w:t>
      </w:r>
      <w:r>
        <w:rPr>
          <w:rFonts w:ascii="Calibri" w:cs="Calibri" w:eastAsia="Calibri" w:hAnsi="Calibri"/>
          <w:sz w:val="21"/>
          <w:szCs w:val="21"/>
          <w:vertAlign w:val="superscript"/>
        </w:rPr>
        <w:t xml:space="preserve">12</w:t>
      </w:r>
      <w:r>
        <w:rPr>
          <w:rFonts w:ascii="Calibri" w:cs="Calibri" w:eastAsia="Calibri" w:hAnsi="Calibri"/>
          <w:sz w:val="21"/>
          <w:szCs w:val="21"/>
        </w:rPr>
        <w:t xml:space="preserve"> The Minnesota Department of Health reported no requests to residents to change water use.</w:t>
      </w:r>
      <w:r>
        <w:rPr>
          <w:rFonts w:ascii="Calibri" w:cs="Calibri" w:eastAsia="Calibri" w:hAnsi="Calibri"/>
          <w:sz w:val="21"/>
          <w:szCs w:val="21"/>
          <w:vertAlign w:val="superscript"/>
        </w:rPr>
        <w:t xml:space="preserve">6</w:t>
      </w:r>
    </w:p>
    <w:p>
      <w:pPr>
        <w:pStyle w:val="ListParagraph"/>
        <w:numPr>
          <w:ilvl w:val="0"/>
          <w:numId w:val="1"/>
        </w:numPr>
        <w:spacing w:after="70" w:line="264"/>
      </w:pPr>
      <w:r>
        <w:rPr>
          <w:rFonts w:ascii="Calibri" w:cs="Calibri" w:eastAsia="Calibri" w:hAnsi="Calibri"/>
          <w:sz w:val="21"/>
          <w:szCs w:val="21"/>
        </w:rPr>
        <w:t xml:space="preserve">Affected cities described impacts as limited or mitigated, and residents were told they could continue normal water use.</w:t>
      </w:r>
      <w:r>
        <w:rPr>
          <w:rFonts w:ascii="Calibri" w:cs="Calibri" w:eastAsia="Calibri" w:hAnsi="Calibri"/>
          <w:sz w:val="21"/>
          <w:szCs w:val="21"/>
          <w:vertAlign w:val="superscript"/>
        </w:rPr>
        <w:t xml:space="preserve">6</w:t>
      </w:r>
      <w:r>
        <w:rPr>
          <w:rFonts w:ascii="Calibri" w:cs="Calibri" w:eastAsia="Calibri" w:hAnsi="Calibri"/>
          <w:sz w:val="21"/>
          <w:szCs w:val="21"/>
        </w:rPr>
        <w:t xml:space="preserve"> Manual fallback worked.</w:t>
      </w:r>
    </w:p>
    <w:p>
      <w:pPr>
        <w:pStyle w:val="ListParagraph"/>
        <w:numPr>
          <w:ilvl w:val="0"/>
          <w:numId w:val="1"/>
        </w:numPr>
        <w:spacing w:after="70" w:line="264"/>
      </w:pPr>
      <w:r>
        <w:rPr>
          <w:rFonts w:ascii="Calibri" w:cs="Calibri" w:eastAsia="Calibri" w:hAnsi="Calibri"/>
          <w:sz w:val="21"/>
          <w:szCs w:val="21"/>
        </w:rPr>
        <w:t xml:space="preserve">No transportation facility has been reported affected, and the joint advisory does not list Transportation Systems among the sectors experiencing disruption.</w:t>
      </w:r>
      <w:r>
        <w:rPr>
          <w:rFonts w:ascii="Calibri" w:cs="Calibri" w:eastAsia="Calibri" w:hAnsi="Calibri"/>
          <w:sz w:val="21"/>
          <w:szCs w:val="21"/>
          <w:vertAlign w:val="superscript"/>
        </w:rPr>
        <w:t xml:space="preserve">3</w:t>
      </w:r>
    </w:p>
    <w:p>
      <w:pPr>
        <w:pStyle w:val="ListParagraph"/>
        <w:numPr>
          <w:ilvl w:val="0"/>
          <w:numId w:val="1"/>
        </w:numPr>
        <w:spacing w:after="70" w:line="264"/>
      </w:pPr>
      <w:r>
        <w:rPr>
          <w:rFonts w:ascii="Calibri" w:cs="Calibri" w:eastAsia="Calibri" w:hAnsi="Calibri"/>
          <w:sz w:val="21"/>
          <w:szCs w:val="21"/>
        </w:rPr>
        <w:t xml:space="preserve">The most closely comparable recent airport water event — Gatwick, the same weekend — had no cyber nexus whatever and demonstrated that even total water loss at a major hub does not stop flights.</w:t>
      </w:r>
      <w:r>
        <w:rPr>
          <w:rFonts w:ascii="Calibri" w:cs="Calibri" w:eastAsia="Calibri" w:hAnsi="Calibri"/>
          <w:sz w:val="21"/>
          <w:szCs w:val="21"/>
          <w:vertAlign w:val="superscript"/>
        </w:rPr>
        <w:t xml:space="preserve">21</w:t>
      </w:r>
      <w:r>
        <w:rPr>
          <w:rFonts w:ascii="Calibri" w:cs="Calibri" w:eastAsia="Calibri" w:hAnsi="Calibri"/>
          <w:sz w:val="21"/>
          <w:szCs w:val="21"/>
        </w:rPr>
        <w:t xml:space="preserve"> Analysts should be careful not to read that case as evidence for the threat when it is in fact evidence about resilience.</w:t>
      </w:r>
    </w:p>
    <w:p>
      <w:pPr>
        <w:pStyle w:val="ListParagraph"/>
        <w:numPr>
          <w:ilvl w:val="0"/>
          <w:numId w:val="1"/>
        </w:numPr>
        <w:spacing w:after="70" w:line="264"/>
      </w:pPr>
      <w:r>
        <w:rPr>
          <w:rFonts w:ascii="Calibri" w:cs="Calibri" w:eastAsia="Calibri" w:hAnsi="Calibri"/>
          <w:sz w:val="21"/>
          <w:szCs w:val="21"/>
        </w:rPr>
        <w:t xml:space="preserve">The behavioral difference between the July water activity and the attributed Iranian campaign is genuine disconfirming evidence for the simplest attribution narrative, and this assessment gives it weight rather than explaining it away.</w:t>
      </w:r>
    </w:p>
    <w:p>
      <w:pPr>
        <w:pStyle w:val="ListParagraph"/>
        <w:numPr>
          <w:ilvl w:val="0"/>
          <w:numId w:val="1"/>
        </w:numPr>
        <w:spacing w:after="70" w:line="264"/>
      </w:pPr>
      <w:r>
        <w:rPr>
          <w:rFonts w:ascii="Calibri" w:cs="Calibri" w:eastAsia="Calibri" w:hAnsi="Calibri"/>
          <w:sz w:val="21"/>
          <w:szCs w:val="21"/>
        </w:rPr>
        <w:t xml:space="preserve">Elevated reporting during a period of heightened alert can inflate counts, as operators reclassify ambiguous anomalies as incidents. Some portion of the seven-state figure may reflect this.</w:t>
      </w:r>
    </w:p>
    <w:p>
      <w:pPr>
        <w:pStyle w:val="ListParagraph"/>
        <w:numPr>
          <w:ilvl w:val="0"/>
          <w:numId w:val="1"/>
        </w:numPr>
        <w:spacing w:after="70" w:line="264"/>
      </w:pPr>
      <w:r>
        <w:rPr>
          <w:rFonts w:ascii="Calibri" w:cs="Calibri" w:eastAsia="Calibri" w:hAnsi="Calibri"/>
          <w:sz w:val="21"/>
          <w:szCs w:val="21"/>
        </w:rPr>
        <w:t xml:space="preserve">Threat-actor claims naming transportation as a future target are exactly the kind of statement such groups make routinely and without capability. Treating the 23 July statement as evidence of intent to act against transportation would be an error.</w:t>
      </w:r>
      <w:r>
        <w:rPr>
          <w:rFonts w:ascii="Calibri" w:cs="Calibri" w:eastAsia="Calibri" w:hAnsi="Calibri"/>
          <w:sz w:val="21"/>
          <w:szCs w:val="21"/>
          <w:vertAlign w:val="superscript"/>
        </w:rPr>
        <w:t xml:space="preserve">14</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Methodology, quality control, and limitations</w:t>
      </w:r>
    </w:p>
    <w:p>
      <w:pPr>
        <w:pStyle w:val="Heading2"/>
        <w:keepNext/>
        <w:spacing w:after="110" w:before="260"/>
      </w:pPr>
      <w:r>
        <w:rPr>
          <w:rFonts w:ascii="Calibri" w:cs="Calibri" w:eastAsia="Calibri" w:hAnsi="Calibri"/>
          <w:b/>
          <w:bCs/>
          <w:color w:val="1F3864"/>
          <w:sz w:val="24"/>
          <w:szCs w:val="24"/>
        </w:rPr>
        <w:t xml:space="preserve">Approach</w:t>
      </w:r>
    </w:p>
    <w:p>
      <w:pPr>
        <w:spacing w:after="140" w:before="0" w:line="276"/>
      </w:pPr>
      <w:r>
        <w:rPr>
          <w:rFonts w:ascii="Calibri" w:cs="Calibri" w:eastAsia="Calibri" w:hAnsi="Calibri"/>
          <w:sz w:val="21"/>
          <w:szCs w:val="21"/>
        </w:rPr>
        <w:t xml:space="preserve">This assessment was produced entirely from open sources between 1 and 2 August 2026. Primary federal and state documents were retrieved in full text and read directly rather than summarized from secondary reporting: the FBI and EPA public service announcement, joint advisory AA26-097A as updated 22 July 2026, the CISA sector alert of 30 July 2026, EPA and CISA news releases, and the Minnesota IT Services statement. Journalism was used for chronology, context, and leads, and is labeled as such wherever it carries a claim. Empirical analogues for water loss at transportation facilities were drawn from operator advisories and press reporting on prior non-cyber events, and are labeled as analogues rather than as incidents in this campaign.</w:t>
      </w:r>
    </w:p>
    <w:p>
      <w:pPr>
        <w:spacing w:after="140" w:before="0" w:line="276"/>
      </w:pPr>
      <w:r>
        <w:rPr>
          <w:rFonts w:ascii="Calibri" w:cs="Calibri" w:eastAsia="Calibri" w:hAnsi="Calibri"/>
          <w:sz w:val="21"/>
          <w:szCs w:val="21"/>
        </w:rPr>
        <w:t xml:space="preserve">Structured analytic techniques applied: a key assumptions check (documented above), analysis of competing hypotheses (Table 2, conducted to identify disconfirming rather than confirming evidence), quality of information checks on each source class, indicators and signposts development (Tables 11 to 13), and a devil's advocacy pass on the central attribution narrative, which produced the behavioral discriminator in Key Finding 5. Contrarian review specifically tested the assumption that this campaign is best understood as a single state actor.</w:t>
      </w:r>
    </w:p>
    <w:p>
      <w:pPr>
        <w:pStyle w:val="Heading2"/>
        <w:keepNext/>
        <w:spacing w:after="110" w:before="260"/>
      </w:pPr>
      <w:r>
        <w:rPr>
          <w:rFonts w:ascii="Calibri" w:cs="Calibri" w:eastAsia="Calibri" w:hAnsi="Calibri"/>
          <w:b/>
          <w:bCs/>
          <w:color w:val="1F3864"/>
          <w:sz w:val="24"/>
          <w:szCs w:val="24"/>
        </w:rPr>
        <w:t xml:space="preserve">Quality control and red-team review</w:t>
      </w:r>
    </w:p>
    <w:p>
      <w:pPr>
        <w:spacing w:after="140" w:before="0" w:line="276"/>
      </w:pPr>
      <w:r>
        <w:rPr>
          <w:rFonts w:ascii="Calibri" w:cs="Calibri" w:eastAsia="Calibri" w:hAnsi="Calibri"/>
          <w:sz w:val="21"/>
          <w:szCs w:val="21"/>
        </w:rPr>
        <w:t xml:space="preserve">The draft was tested against the failure modes most likely to affect a product of this kind. The following changes resulted.</w:t>
      </w:r>
    </w:p>
    <w:p>
      <w:pPr>
        <w:pStyle w:val="ListParagraph"/>
        <w:numPr>
          <w:ilvl w:val="0"/>
          <w:numId w:val="1"/>
        </w:numPr>
        <w:spacing w:after="70" w:line="264"/>
      </w:pPr>
      <w:r>
        <w:rPr>
          <w:rFonts w:ascii="Calibri" w:cs="Calibri" w:eastAsia="Calibri" w:hAnsi="Calibri"/>
          <w:b/>
          <w:bCs/>
          <w:sz w:val="21"/>
          <w:szCs w:val="21"/>
        </w:rPr>
        <w:t xml:space="preserve">Premature attribution.</w:t>
      </w:r>
      <w:r>
        <w:rPr>
          <w:rFonts w:ascii="Calibri" w:cs="Calibri" w:eastAsia="Calibri" w:hAnsi="Calibri"/>
          <w:sz w:val="21"/>
          <w:szCs w:val="21"/>
        </w:rPr>
        <w:t xml:space="preserve"> An earlier framing treated the Iranian attribution as settled background. It was rewritten to separate four distinct classes of claim and to state that no federal attribution of the July water-sector incidents exists.</w:t>
      </w:r>
    </w:p>
    <w:p>
      <w:pPr>
        <w:pStyle w:val="ListParagraph"/>
        <w:numPr>
          <w:ilvl w:val="0"/>
          <w:numId w:val="1"/>
        </w:numPr>
        <w:spacing w:after="70" w:line="264"/>
      </w:pPr>
      <w:r>
        <w:rPr>
          <w:rFonts w:ascii="Calibri" w:cs="Calibri" w:eastAsia="Calibri" w:hAnsi="Calibri"/>
          <w:b/>
          <w:bCs/>
          <w:sz w:val="21"/>
          <w:szCs w:val="21"/>
        </w:rPr>
        <w:t xml:space="preserve">Conflation of service disruption with contamination.</w:t>
      </w:r>
      <w:r>
        <w:rPr>
          <w:rFonts w:ascii="Calibri" w:cs="Calibri" w:eastAsia="Calibri" w:hAnsi="Calibri"/>
          <w:sz w:val="21"/>
          <w:szCs w:val="21"/>
        </w:rPr>
        <w:t xml:space="preserve"> Language merging pressure loss and contamination was removed. The pressure-driven intrusion mechanism is now distinguished explicitly from deliberate contamination, and the contamination probability is stated separately for suspected and actual events.</w:t>
      </w:r>
    </w:p>
    <w:p>
      <w:pPr>
        <w:pStyle w:val="ListParagraph"/>
        <w:numPr>
          <w:ilvl w:val="0"/>
          <w:numId w:val="1"/>
        </w:numPr>
        <w:spacing w:after="70" w:line="264"/>
      </w:pPr>
      <w:r>
        <w:rPr>
          <w:rFonts w:ascii="Calibri" w:cs="Calibri" w:eastAsia="Calibri" w:hAnsi="Calibri"/>
          <w:b/>
          <w:bCs/>
          <w:sz w:val="21"/>
          <w:szCs w:val="21"/>
        </w:rPr>
        <w:t xml:space="preserve">Uniform dependency assumption.</w:t>
      </w:r>
      <w:r>
        <w:rPr>
          <w:rFonts w:ascii="Calibri" w:cs="Calibri" w:eastAsia="Calibri" w:hAnsi="Calibri"/>
          <w:sz w:val="21"/>
          <w:szCs w:val="21"/>
        </w:rPr>
        <w:t xml:space="preserve"> An earlier draft treated water dependence as broadly similar across transportation facilities. Table 5 now distinguishes potable, fire-suppression, and controller-exposure dimensions separately, and the text states that a facility with independent fire water falls outside its mode's profile.</w:t>
      </w:r>
    </w:p>
    <w:p>
      <w:pPr>
        <w:pStyle w:val="ListParagraph"/>
        <w:numPr>
          <w:ilvl w:val="0"/>
          <w:numId w:val="1"/>
        </w:numPr>
        <w:spacing w:after="70" w:line="264"/>
      </w:pPr>
      <w:r>
        <w:rPr>
          <w:rFonts w:ascii="Calibri" w:cs="Calibri" w:eastAsia="Calibri" w:hAnsi="Calibri"/>
          <w:b/>
          <w:bCs/>
          <w:sz w:val="21"/>
          <w:szCs w:val="21"/>
        </w:rPr>
        <w:t xml:space="preserve">Volume bias.</w:t>
      </w:r>
      <w:r>
        <w:rPr>
          <w:rFonts w:ascii="Calibri" w:cs="Calibri" w:eastAsia="Calibri" w:hAnsi="Calibri"/>
          <w:sz w:val="21"/>
          <w:szCs w:val="21"/>
        </w:rPr>
        <w:t xml:space="preserve"> The prioritization framework initially weighted throughput heavily. Review established that large facilities generally hold more redundancy, so volume was demoted to a consequence modifier and lack of redundancy promoted to primary.</w:t>
      </w:r>
    </w:p>
    <w:p>
      <w:pPr>
        <w:pStyle w:val="ListParagraph"/>
        <w:numPr>
          <w:ilvl w:val="0"/>
          <w:numId w:val="1"/>
        </w:numPr>
        <w:spacing w:after="70" w:line="264"/>
      </w:pPr>
      <w:r>
        <w:rPr>
          <w:rFonts w:ascii="Calibri" w:cs="Calibri" w:eastAsia="Calibri" w:hAnsi="Calibri"/>
          <w:b/>
          <w:bCs/>
          <w:sz w:val="21"/>
          <w:szCs w:val="21"/>
        </w:rPr>
        <w:t xml:space="preserve">Double counting.</w:t>
      </w:r>
      <w:r>
        <w:rPr>
          <w:rFonts w:ascii="Calibri" w:cs="Calibri" w:eastAsia="Calibri" w:hAnsi="Calibri"/>
          <w:sz w:val="21"/>
          <w:szCs w:val="21"/>
        </w:rPr>
        <w:t xml:space="preserve"> Cascading effects were being counted both in the mode sections and again in the dependency section. Table 6 now traces chains once, and the mode sections cross-reference rather than restate.</w:t>
      </w:r>
    </w:p>
    <w:p>
      <w:pPr>
        <w:pStyle w:val="ListParagraph"/>
        <w:numPr>
          <w:ilvl w:val="0"/>
          <w:numId w:val="1"/>
        </w:numPr>
        <w:spacing w:after="70" w:line="264"/>
      </w:pPr>
      <w:r>
        <w:rPr>
          <w:rFonts w:ascii="Calibri" w:cs="Calibri" w:eastAsia="Calibri" w:hAnsi="Calibri"/>
          <w:b/>
          <w:bCs/>
          <w:sz w:val="21"/>
          <w:szCs w:val="21"/>
        </w:rPr>
        <w:t xml:space="preserve">Independence assumptions.</w:t>
      </w:r>
      <w:r>
        <w:rPr>
          <w:rFonts w:ascii="Calibri" w:cs="Calibri" w:eastAsia="Calibri" w:hAnsi="Calibri"/>
          <w:sz w:val="21"/>
          <w:szCs w:val="21"/>
        </w:rPr>
        <w:t xml:space="preserve"> The probability table originally invited multiplication across stages. A note now states explicitly that the judgments are conditionally dependent and must not be multiplied.</w:t>
      </w:r>
    </w:p>
    <w:p>
      <w:pPr>
        <w:pStyle w:val="ListParagraph"/>
        <w:numPr>
          <w:ilvl w:val="0"/>
          <w:numId w:val="1"/>
        </w:numPr>
        <w:spacing w:after="70" w:line="264"/>
      </w:pPr>
      <w:r>
        <w:rPr>
          <w:rFonts w:ascii="Calibri" w:cs="Calibri" w:eastAsia="Calibri" w:hAnsi="Calibri"/>
          <w:b/>
          <w:bCs/>
          <w:sz w:val="21"/>
          <w:szCs w:val="21"/>
        </w:rPr>
        <w:t xml:space="preserve">False precision.</w:t>
      </w:r>
      <w:r>
        <w:rPr>
          <w:rFonts w:ascii="Calibri" w:cs="Calibri" w:eastAsia="Calibri" w:hAnsi="Calibri"/>
          <w:sz w:val="21"/>
          <w:szCs w:val="21"/>
        </w:rPr>
        <w:t xml:space="preserve"> A composite risk index was drafted and removed. Ordinal ratings are no longer combined arithmetically anywhere, and the reason is stated in the risk characterization section.</w:t>
      </w:r>
    </w:p>
    <w:p>
      <w:pPr>
        <w:pStyle w:val="ListParagraph"/>
        <w:numPr>
          <w:ilvl w:val="0"/>
          <w:numId w:val="1"/>
        </w:numPr>
        <w:spacing w:after="70" w:line="264"/>
      </w:pPr>
      <w:r>
        <w:rPr>
          <w:rFonts w:ascii="Calibri" w:cs="Calibri" w:eastAsia="Calibri" w:hAnsi="Calibri"/>
          <w:b/>
          <w:bCs/>
          <w:sz w:val="21"/>
          <w:szCs w:val="21"/>
        </w:rPr>
        <w:t xml:space="preserve">Recommendations exceeding authority.</w:t>
      </w:r>
      <w:r>
        <w:rPr>
          <w:rFonts w:ascii="Calibri" w:cs="Calibri" w:eastAsia="Calibri" w:hAnsi="Calibri"/>
          <w:sz w:val="21"/>
          <w:szCs w:val="21"/>
        </w:rPr>
        <w:t xml:space="preserve"> Several actions originally assigned to TSA across all modes were reassigned, because security-directive authority is structured differently outside the designated pipeline and rail populations.</w:t>
      </w:r>
    </w:p>
    <w:p>
      <w:pPr>
        <w:pStyle w:val="ListParagraph"/>
        <w:numPr>
          <w:ilvl w:val="0"/>
          <w:numId w:val="1"/>
        </w:numPr>
        <w:spacing w:after="70" w:line="264"/>
      </w:pPr>
      <w:r>
        <w:rPr>
          <w:rFonts w:ascii="Calibri" w:cs="Calibri" w:eastAsia="Calibri" w:hAnsi="Calibri"/>
          <w:b/>
          <w:bCs/>
          <w:sz w:val="21"/>
          <w:szCs w:val="21"/>
        </w:rPr>
        <w:t xml:space="preserve">Restating guidance without implementation.</w:t>
      </w:r>
      <w:r>
        <w:rPr>
          <w:rFonts w:ascii="Calibri" w:cs="Calibri" w:eastAsia="Calibri" w:hAnsi="Calibri"/>
          <w:sz w:val="21"/>
          <w:szCs w:val="21"/>
        </w:rPr>
        <w:t xml:space="preserve"> Actions that repeated published federal mitigations were cut or rewritten to address the implementation constraint instead.</w:t>
      </w:r>
    </w:p>
    <w:p>
      <w:pPr>
        <w:pStyle w:val="ListParagraph"/>
        <w:numPr>
          <w:ilvl w:val="0"/>
          <w:numId w:val="1"/>
        </w:numPr>
        <w:spacing w:after="70" w:line="264"/>
      </w:pPr>
      <w:r>
        <w:rPr>
          <w:rFonts w:ascii="Calibri" w:cs="Calibri" w:eastAsia="Calibri" w:hAnsi="Calibri"/>
          <w:b/>
          <w:bCs/>
          <w:sz w:val="21"/>
          <w:szCs w:val="21"/>
        </w:rPr>
        <w:t xml:space="preserve">Manufactured relevance.</w:t>
      </w:r>
      <w:r>
        <w:rPr>
          <w:rFonts w:ascii="Calibri" w:cs="Calibri" w:eastAsia="Calibri" w:hAnsi="Calibri"/>
          <w:sz w:val="21"/>
          <w:szCs w:val="21"/>
        </w:rPr>
        <w:t xml:space="preserve"> Several details with no genuine transportation connection were removed rather than given a strained mission hook. Key Finding 1 now states the absence of reported transportation impact as a finding.</w:t>
      </w:r>
    </w:p>
    <w:p>
      <w:pPr>
        <w:pStyle w:val="ListParagraph"/>
        <w:numPr>
          <w:ilvl w:val="0"/>
          <w:numId w:val="1"/>
        </w:numPr>
        <w:spacing w:after="70" w:line="264"/>
      </w:pPr>
      <w:r>
        <w:rPr>
          <w:rFonts w:ascii="Calibri" w:cs="Calibri" w:eastAsia="Calibri" w:hAnsi="Calibri"/>
          <w:b/>
          <w:bCs/>
          <w:sz w:val="21"/>
          <w:szCs w:val="21"/>
        </w:rPr>
        <w:t xml:space="preserve">Signature-based discrimination.</w:t>
      </w:r>
      <w:r>
        <w:rPr>
          <w:rFonts w:ascii="Calibri" w:cs="Calibri" w:eastAsia="Calibri" w:hAnsi="Calibri"/>
          <w:sz w:val="21"/>
          <w:szCs w:val="21"/>
        </w:rPr>
        <w:t xml:space="preserve"> A finding treated overt lockouts and covert logic manipulation as separating two bodies of activity. Testing that against the federal record established that modified controller project files were reported within the July water-sector activity as well, so operational signature cannot discriminate between actor groups. The finding was rewritten to rest on the device-family difference alone, the competing-hypotheses table was adjusted, and the operational corollary was added: absence of an obvious lockout is not evidence that a facility is unaffected.</w:t>
      </w:r>
    </w:p>
    <w:p>
      <w:pPr>
        <w:pStyle w:val="ListParagraph"/>
        <w:numPr>
          <w:ilvl w:val="0"/>
          <w:numId w:val="1"/>
        </w:numPr>
        <w:spacing w:after="70" w:line="264"/>
      </w:pPr>
      <w:r>
        <w:rPr>
          <w:rFonts w:ascii="Calibri" w:cs="Calibri" w:eastAsia="Calibri" w:hAnsi="Calibri"/>
          <w:b/>
          <w:bCs/>
          <w:sz w:val="21"/>
          <w:szCs w:val="21"/>
        </w:rPr>
        <w:t xml:space="preserve">Analogue over-extension.</w:t>
      </w:r>
      <w:r>
        <w:rPr>
          <w:rFonts w:ascii="Calibri" w:cs="Calibri" w:eastAsia="Calibri" w:hAnsi="Calibri"/>
          <w:sz w:val="21"/>
          <w:szCs w:val="21"/>
        </w:rPr>
        <w:t xml:space="preserve"> The observed water-loss cases were being used to bound consequence generally when they bound only short, non-adversarial events resolved on repair timelines. Key Finding 2 was scoped to short-duration events, the multi-day case was analyzed separately in terms of worker sanitation, cooling, and the decay of portable substitution, and confidence was split by duration.</w:t>
      </w:r>
    </w:p>
    <w:p>
      <w:pPr>
        <w:pStyle w:val="ListParagraph"/>
        <w:numPr>
          <w:ilvl w:val="0"/>
          <w:numId w:val="1"/>
        </w:numPr>
        <w:spacing w:after="70" w:line="264"/>
      </w:pPr>
      <w:r>
        <w:rPr>
          <w:rFonts w:ascii="Calibri" w:cs="Calibri" w:eastAsia="Calibri" w:hAnsi="Calibri"/>
          <w:b/>
          <w:bCs/>
          <w:sz w:val="21"/>
          <w:szCs w:val="21"/>
        </w:rPr>
        <w:t xml:space="preserve">Internal inconsistency on fire suppression.</w:t>
      </w:r>
      <w:r>
        <w:rPr>
          <w:rFonts w:ascii="Calibri" w:cs="Calibri" w:eastAsia="Calibri" w:hAnsi="Calibri"/>
          <w:sz w:val="21"/>
          <w:szCs w:val="21"/>
        </w:rPr>
        <w:t xml:space="preserve"> The fire-flow finding was stated as a general mechanism while the prioritization section held that larger facilities carry more redundancy, which would neutralize that mechanism precisely where it was claimed to matter most. The finding now sorts facilities into two explicit tiers, and determining which tier a facility occupies was added to the immediate actions.</w:t>
      </w:r>
    </w:p>
    <w:p>
      <w:pPr>
        <w:pStyle w:val="ListParagraph"/>
        <w:numPr>
          <w:ilvl w:val="0"/>
          <w:numId w:val="1"/>
        </w:numPr>
        <w:spacing w:after="70" w:line="264"/>
      </w:pPr>
      <w:r>
        <w:rPr>
          <w:rFonts w:ascii="Calibri" w:cs="Calibri" w:eastAsia="Calibri" w:hAnsi="Calibri"/>
          <w:b/>
          <w:bCs/>
          <w:sz w:val="21"/>
          <w:szCs w:val="21"/>
        </w:rPr>
        <w:t xml:space="preserve">Numeric bands read as measurement.</w:t>
      </w:r>
      <w:r>
        <w:rPr>
          <w:rFonts w:ascii="Calibri" w:cs="Calibri" w:eastAsia="Calibri" w:hAnsi="Calibri"/>
          <w:sz w:val="21"/>
          <w:szCs w:val="21"/>
        </w:rPr>
        <w:t xml:space="preserve"> A clarification was added stating that the percentage ranges are the definitional bands of the Intelligence Community terms rather than computed intervals, and the reasoning behind the two judgments whose relative ordering carries the most weight was made explicit.</w:t>
      </w:r>
    </w:p>
    <w:p>
      <w:pPr>
        <w:pStyle w:val="ListParagraph"/>
        <w:numPr>
          <w:ilvl w:val="0"/>
          <w:numId w:val="1"/>
        </w:numPr>
        <w:spacing w:after="70" w:line="264"/>
      </w:pPr>
      <w:r>
        <w:rPr>
          <w:rFonts w:ascii="Calibri" w:cs="Calibri" w:eastAsia="Calibri" w:hAnsi="Calibri"/>
          <w:b/>
          <w:bCs/>
          <w:sz w:val="21"/>
          <w:szCs w:val="21"/>
        </w:rPr>
        <w:t xml:space="preserve">Authority conflation across modes.</w:t>
      </w:r>
      <w:r>
        <w:rPr>
          <w:rFonts w:ascii="Calibri" w:cs="Calibri" w:eastAsia="Calibri" w:hAnsi="Calibri"/>
          <w:sz w:val="21"/>
          <w:szCs w:val="21"/>
        </w:rPr>
        <w:t xml:space="preserve"> Actions were reading as though a single cross-modal tasking instrument existed. A statement of authority basis now distinguishes directive from voluntary channels and notes that no transportation-security instrument reaches municipal water utilities.</w:t>
      </w:r>
    </w:p>
    <w:p>
      <w:pPr>
        <w:pStyle w:val="ListParagraph"/>
        <w:numPr>
          <w:ilvl w:val="0"/>
          <w:numId w:val="1"/>
        </w:numPr>
        <w:spacing w:after="70" w:line="264"/>
      </w:pPr>
      <w:r>
        <w:rPr>
          <w:rFonts w:ascii="Calibri" w:cs="Calibri" w:eastAsia="Calibri" w:hAnsi="Calibri"/>
          <w:b/>
          <w:bCs/>
          <w:sz w:val="21"/>
          <w:szCs w:val="21"/>
        </w:rPr>
        <w:t xml:space="preserve">Unactionable gap.</w:t>
      </w:r>
      <w:r>
        <w:rPr>
          <w:rFonts w:ascii="Calibri" w:cs="Calibri" w:eastAsia="Calibri" w:hAnsi="Calibri"/>
          <w:sz w:val="21"/>
          <w:szCs w:val="21"/>
        </w:rPr>
        <w:t xml:space="preserve"> Integrator concentration was identified as a principal risk with no method offered for addressing it. Four available collection routes were added, three of which require no new authority.</w:t>
      </w:r>
    </w:p>
    <w:p>
      <w:pPr>
        <w:pStyle w:val="Heading2"/>
        <w:keepNext/>
        <w:spacing w:after="110" w:before="260"/>
      </w:pPr>
      <w:r>
        <w:rPr>
          <w:rFonts w:ascii="Calibri" w:cs="Calibri" w:eastAsia="Calibri" w:hAnsi="Calibri"/>
          <w:b/>
          <w:bCs/>
          <w:color w:val="1F3864"/>
          <w:sz w:val="24"/>
          <w:szCs w:val="24"/>
        </w:rPr>
        <w:t xml:space="preserve">Limitations</w:t>
      </w:r>
    </w:p>
    <w:p>
      <w:pPr>
        <w:pStyle w:val="ListParagraph"/>
        <w:numPr>
          <w:ilvl w:val="0"/>
          <w:numId w:val="1"/>
        </w:numPr>
        <w:spacing w:after="70" w:line="264"/>
      </w:pPr>
      <w:r>
        <w:rPr>
          <w:rFonts w:ascii="Calibri" w:cs="Calibri" w:eastAsia="Calibri" w:hAnsi="Calibri"/>
          <w:sz w:val="21"/>
          <w:szCs w:val="21"/>
        </w:rPr>
        <w:t xml:space="preserve">The incident is ongoing. Facts stated here may be superseded, and the affected-entity count is a floor rather than a total.</w:t>
      </w:r>
    </w:p>
    <w:p>
      <w:pPr>
        <w:pStyle w:val="ListParagraph"/>
        <w:numPr>
          <w:ilvl w:val="0"/>
          <w:numId w:val="1"/>
        </w:numPr>
        <w:spacing w:after="70" w:line="264"/>
      </w:pPr>
      <w:r>
        <w:rPr>
          <w:rFonts w:ascii="Calibri" w:cs="Calibri" w:eastAsia="Calibri" w:hAnsi="Calibri"/>
          <w:sz w:val="21"/>
          <w:szCs w:val="21"/>
        </w:rPr>
        <w:t xml:space="preserve">Affected states and utilities are not publicly identified, which prevents any specific mapping of transportation facilities to affected service areas — the analysis this assessment most needs and cannot perform.</w:t>
      </w:r>
    </w:p>
    <w:p>
      <w:pPr>
        <w:pStyle w:val="ListParagraph"/>
        <w:numPr>
          <w:ilvl w:val="0"/>
          <w:numId w:val="1"/>
        </w:numPr>
        <w:spacing w:after="70" w:line="264"/>
      </w:pPr>
      <w:r>
        <w:rPr>
          <w:rFonts w:ascii="Calibri" w:cs="Calibri" w:eastAsia="Calibri" w:hAnsi="Calibri"/>
          <w:sz w:val="21"/>
          <w:szCs w:val="21"/>
        </w:rPr>
        <w:t xml:space="preserve">No transportation-sector controller exposure data exists in open sources. The direct-compromise pathway is therefore assessed on shared technology and shared exposure conditions rather than on measurement.</w:t>
      </w:r>
    </w:p>
    <w:p>
      <w:pPr>
        <w:pStyle w:val="ListParagraph"/>
        <w:numPr>
          <w:ilvl w:val="0"/>
          <w:numId w:val="1"/>
        </w:numPr>
        <w:spacing w:after="70" w:line="264"/>
      </w:pPr>
      <w:r>
        <w:rPr>
          <w:rFonts w:ascii="Calibri" w:cs="Calibri" w:eastAsia="Calibri" w:hAnsi="Calibri"/>
          <w:sz w:val="21"/>
          <w:szCs w:val="21"/>
        </w:rPr>
        <w:t xml:space="preserve">The airport water-loss analogues are non-adversarial, short, and mostly single-facility. They bound the ordinary case well and the adversarial multi-day regional case poorly.</w:t>
      </w:r>
    </w:p>
    <w:p>
      <w:pPr>
        <w:pStyle w:val="ListParagraph"/>
        <w:numPr>
          <w:ilvl w:val="0"/>
          <w:numId w:val="1"/>
        </w:numPr>
        <w:spacing w:after="70" w:line="264"/>
      </w:pPr>
      <w:r>
        <w:rPr>
          <w:rFonts w:ascii="Calibri" w:cs="Calibri" w:eastAsia="Calibri" w:hAnsi="Calibri"/>
          <w:sz w:val="21"/>
          <w:szCs w:val="21"/>
        </w:rPr>
        <w:t xml:space="preserve">Operational thresholds in the mode sections are analyst judgments, not published criteria, and no agency should be understood to endorse them.</w:t>
      </w:r>
    </w:p>
    <w:p>
      <w:pPr>
        <w:pStyle w:val="ListParagraph"/>
        <w:numPr>
          <w:ilvl w:val="0"/>
          <w:numId w:val="1"/>
        </w:numPr>
        <w:spacing w:after="70" w:line="264"/>
      </w:pPr>
      <w:r>
        <w:rPr>
          <w:rFonts w:ascii="Calibri" w:cs="Calibri" w:eastAsia="Calibri" w:hAnsi="Calibri"/>
          <w:sz w:val="21"/>
          <w:szCs w:val="21"/>
        </w:rPr>
        <w:t xml:space="preserve">The Gatwick account rests on press reporting; the utility's own statement was not independently retrieved. It is treated as an illustrative analogue rather than as load-bearing evidence.</w:t>
      </w:r>
    </w:p>
    <w:p>
      <w:pPr>
        <w:pStyle w:val="ListParagraph"/>
        <w:numPr>
          <w:ilvl w:val="0"/>
          <w:numId w:val="1"/>
        </w:numPr>
        <w:spacing w:after="70" w:line="264"/>
      </w:pPr>
      <w:r>
        <w:rPr>
          <w:rFonts w:ascii="Calibri" w:cs="Calibri" w:eastAsia="Calibri" w:hAnsi="Calibri"/>
          <w:sz w:val="21"/>
          <w:szCs w:val="21"/>
        </w:rPr>
        <w:t xml:space="preserve">Commercial exposure telemetry was reviewed but is not cited as evidence, because vendor-generated counts of exposed devices cannot be independently verified and the vendors have a commercial interest in the finding.</w:t>
      </w:r>
    </w:p>
    <w:p>
      <w:pPr>
        <w:pStyle w:val="ListParagraph"/>
        <w:numPr>
          <w:ilvl w:val="0"/>
          <w:numId w:val="1"/>
        </w:numPr>
        <w:spacing w:after="70" w:line="264"/>
      </w:pPr>
      <w:r>
        <w:rPr>
          <w:rFonts w:ascii="Calibri" w:cs="Calibri" w:eastAsia="Calibri" w:hAnsi="Calibri"/>
          <w:sz w:val="21"/>
          <w:szCs w:val="21"/>
        </w:rPr>
        <w:t xml:space="preserve">No quantitative simulation was performed. Where a model would be defensible, the missing inputs are listed in Table 19.</w:t>
      </w:r>
    </w:p>
    <w:p>
      <w:pPr>
        <w:pStyle w:val="Heading2"/>
        <w:keepNext/>
        <w:spacing w:after="110" w:before="260"/>
      </w:pPr>
      <w:r>
        <w:rPr>
          <w:rFonts w:ascii="Calibri" w:cs="Calibri" w:eastAsia="Calibri" w:hAnsi="Calibri"/>
          <w:b/>
          <w:bCs/>
          <w:color w:val="1F3864"/>
          <w:sz w:val="24"/>
          <w:szCs w:val="24"/>
        </w:rPr>
        <w:t xml:space="preserve">Product record</w:t>
      </w:r>
    </w:p>
    <w:p>
      <w:pPr>
        <w:spacing w:after="140" w:before="0" w:line="276"/>
      </w:pPr>
      <w:r>
        <w:rPr>
          <w:rFonts w:ascii="Calibri" w:cs="Calibri" w:eastAsia="Calibri" w:hAnsi="Calibri"/>
          <w:sz w:val="21"/>
          <w:szCs w:val="21"/>
        </w:rPr>
        <w:t xml:space="preserve">Version 1.1. Prepared 2 August 2026. Information cutoff 2 August 2026, 6:00 p.m. Eastern Daylight Time. Sources retrieved 1–2 August 2026. Nineteen numbered tables plus four reference tables in the appendices; twenty-four source reference citations and two appended reference citations. Prepared as independent open-source analysis with no official standing. Analytic conventions drawn from ICD 203, ICD 206, OMB risk-assessment guidance, and published structured analytic technique doctrine are applied as professional methodology only.</w:t>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Appendix A. Terminology and glossary</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34"/>
        <w:gridCol w:w="6926"/>
      </w:tblGrid>
      <w:tr>
        <w:trPr>
          <w:tblHeader/>
        </w:trPr>
        <w:tc>
          <w:tcPr>
            <w:tcW w:type="dxa" w:w="243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Term</w:t>
            </w:r>
          </w:p>
        </w:tc>
        <w:tc>
          <w:tcPr>
            <w:tcW w:type="dxa" w:w="692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Definition</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Advanced persistent threat (APT)</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capable, well-resourced actor that maintains long-term access to targeted networks rather than seeking immediate gain.</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Add-on instruction (AOI)</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reusable block of controller logic. Equivalent to a function block in other manufacturers' systems. Named in the joint advisory as a place where malicious modifications were concealed.</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Boil-water notice</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public-health instruction to boil water before consumption, typically issued after a pressure loss that could allow contamination. Precautionary; not a confirmation that contamination occurred.</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Human machine interface (HMI)</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operator display for an industrial control system. If manipulated, an operator sees values that do not reflect physical reality.</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Ladder logic</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common programming form for industrial controllers, displayed as a rung diagram.</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Loss of view</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condition in which operators can no longer see what a process is doing, whether or not they can still control it.</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Manual operation</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Running a process by direct human action rather than automated control. The variable that most determined severity in the observed incidents.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Operational technology (OT)</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Hardware and software that monitors or controls physical equipment and processes, as distinct from information technology, which handles data.</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Programmable logic controller (PLC)</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ruggedized industrial computer that controls machinery such as pumps, valves, fans, and gates. The device class at the center of this campaign.</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Project file</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software file holding a controller's logic and configuration. On Rockwell Automation devices this is an .ACD file. Theft and modification of these files is documented in the joint advisory.</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Sector risk management agency</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federal agency responsible for a given critical-infrastructure sector. EPA for water and wastewater; TSA and the Coast Guard for transportation.</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Supervisory control and data acquisition (SCADA)</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system for centralized monitoring and control of dispersed industrial assets.</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Secure gateway or jump host</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An intermediary system that brokers remote connections so that control devices are never directly reachable from external networks.</w:t>
            </w:r>
          </w:p>
        </w:tc>
      </w:tr>
      <w:tr>
        <w:tc>
          <w:tcPr>
            <w:tcW w:type="dxa" w:w="243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Structured analytic techniques (SATs)</w:t>
            </w:r>
          </w:p>
        </w:tc>
        <w:tc>
          <w:tcPr>
            <w:tcW w:type="dxa" w:w="692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Formal methods for testing analytic reasoning, including competing-hypothesis analysis, key assumptions checks, and devil's advocacy.</w:t>
            </w:r>
          </w:p>
        </w:tc>
      </w:tr>
      <w:tr>
        <w:tc>
          <w:tcPr>
            <w:tcW w:type="dxa" w:w="2434"/>
            <w:tcMar>
              <w:top w:type="dxa" w:w="60"/>
              <w:left w:type="dxa" w:w="90"/>
              <w:bottom w:type="dxa" w:w="60"/>
              <w:right w:type="dxa" w:w="90"/>
            </w:tcMar>
            <w:vAlign w:val="top"/>
          </w:tcPr>
          <w:p>
            <w:pPr>
              <w:spacing w:after="0" w:line="240"/>
            </w:pPr>
            <w:r>
              <w:rPr>
                <w:rFonts w:ascii="Calibri" w:cs="Calibri" w:eastAsia="Calibri" w:hAnsi="Calibri"/>
                <w:sz w:val="16"/>
                <w:szCs w:val="16"/>
              </w:rPr>
              <w:t xml:space="preserve">Traffic Light Protocol (TLP)</w:t>
            </w:r>
          </w:p>
        </w:tc>
        <w:tc>
          <w:tcPr>
            <w:tcW w:type="dxa" w:w="692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 convention for marking how information may be shared. TLP:CLEAR indicates unrestricted disclosure.</w:t>
            </w:r>
          </w:p>
        </w:tc>
      </w:tr>
    </w:tbl>
    <w:p>
      <w:pPr>
        <w:spacing w:after="160" w:before="0" w:line="276"/>
      </w:pPr>
      <w:r>
        <w:rPr>
          <w:rFonts w:ascii="Calibri" w:cs="Calibri" w:eastAsia="Calibri" w:hAnsi="Calibri"/>
          <w:sz w:val="21"/>
          <w:szCs w:val="21"/>
        </w:rPr>
        <w:t xml:space="preserv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Appendix B. Risk scales and data dictionary</w:t>
      </w:r>
    </w:p>
    <w:p>
      <w:pPr>
        <w:pStyle w:val="Heading3"/>
        <w:keepNext/>
        <w:spacing w:after="90" w:before="190"/>
      </w:pPr>
      <w:r>
        <w:rPr>
          <w:rFonts w:ascii="Calibri" w:cs="Calibri" w:eastAsia="Calibri" w:hAnsi="Calibri"/>
          <w:b/>
          <w:bCs/>
          <w:color w:val="2F2F2F"/>
          <w:sz w:val="21"/>
          <w:szCs w:val="21"/>
        </w:rPr>
        <w:t xml:space="preserve">Probability terms used in this product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808"/>
        <w:gridCol w:w="2059"/>
        <w:gridCol w:w="4493"/>
      </w:tblGrid>
      <w:tr>
        <w:trPr>
          <w:tblHeader/>
        </w:trPr>
        <w:tc>
          <w:tcPr>
            <w:tcW w:type="dxa" w:w="280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Term</w:t>
            </w:r>
          </w:p>
        </w:tc>
        <w:tc>
          <w:tcPr>
            <w:tcW w:type="dxa" w:w="2059"/>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Numeric band</w:t>
            </w:r>
          </w:p>
        </w:tc>
        <w:tc>
          <w:tcPr>
            <w:tcW w:type="dxa" w:w="4493"/>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Plain-language meaning</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Almost no chance</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1–5%</w:t>
            </w:r>
          </w:p>
        </w:tc>
        <w:tc>
          <w:tcPr>
            <w:tcW w:type="dxa" w:w="4493"/>
            <w:tcMar>
              <w:top w:type="dxa" w:w="60"/>
              <w:left w:type="dxa" w:w="90"/>
              <w:bottom w:type="dxa" w:w="60"/>
              <w:right w:type="dxa" w:w="90"/>
            </w:tcMar>
            <w:vAlign w:val="top"/>
          </w:tcPr>
          <w:p>
            <w:pPr>
              <w:spacing w:after="0" w:line="240"/>
            </w:pPr>
            <w:r>
              <w:rPr>
                <w:rFonts w:ascii="Calibri" w:cs="Calibri" w:eastAsia="Calibri" w:hAnsi="Calibri"/>
                <w:sz w:val="16"/>
                <w:szCs w:val="16"/>
              </w:rPr>
              <w:t xml:space="preserve">Would be surprising if it happened</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Very unlikely</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5–20%</w:t>
            </w:r>
          </w:p>
        </w:tc>
        <w:tc>
          <w:tcPr>
            <w:tcW w:type="dxa" w:w="4493"/>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Improbable, but not dismissible</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Unlikely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20–45%</w:t>
            </w:r>
          </w:p>
        </w:tc>
        <w:tc>
          <w:tcPr>
            <w:tcW w:type="dxa" w:w="4493"/>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More likely not to happen than to happen</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Roughly even chance</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45–55%</w:t>
            </w:r>
          </w:p>
        </w:tc>
        <w:tc>
          <w:tcPr>
            <w:tcW w:type="dxa" w:w="4493"/>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About as likely as not</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Likely</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55–80%</w:t>
            </w:r>
          </w:p>
        </w:tc>
        <w:tc>
          <w:tcPr>
            <w:tcW w:type="dxa" w:w="4493"/>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More likely to happen than not</w:t>
            </w:r>
          </w:p>
        </w:tc>
      </w:tr>
      <w:tr>
        <w:tc>
          <w:tcPr>
            <w:tcW w:type="dxa" w:w="2808"/>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Very likely</w:t>
            </w:r>
          </w:p>
        </w:tc>
        <w:tc>
          <w:tcPr>
            <w:tcW w:type="dxa" w:w="2059"/>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80–95%</w:t>
            </w:r>
          </w:p>
        </w:tc>
        <w:tc>
          <w:tcPr>
            <w:tcW w:type="dxa" w:w="4493"/>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Strongly expected</w:t>
            </w:r>
          </w:p>
        </w:tc>
      </w:tr>
      <w:tr>
        <w:tc>
          <w:tcPr>
            <w:tcW w:type="dxa" w:w="2808"/>
            <w:tcMar>
              <w:top w:type="dxa" w:w="60"/>
              <w:left w:type="dxa" w:w="90"/>
              <w:bottom w:type="dxa" w:w="60"/>
              <w:right w:type="dxa" w:w="90"/>
            </w:tcMar>
            <w:vAlign w:val="top"/>
          </w:tcPr>
          <w:p>
            <w:pPr>
              <w:spacing w:after="0" w:line="240"/>
            </w:pPr>
            <w:r>
              <w:rPr>
                <w:rFonts w:ascii="Calibri" w:cs="Calibri" w:eastAsia="Calibri" w:hAnsi="Calibri"/>
                <w:sz w:val="16"/>
                <w:szCs w:val="16"/>
              </w:rPr>
              <w:t xml:space="preserve">Almost certain</w:t>
            </w:r>
          </w:p>
        </w:tc>
        <w:tc>
          <w:tcPr>
            <w:tcW w:type="dxa" w:w="2059"/>
            <w:tcMar>
              <w:top w:type="dxa" w:w="60"/>
              <w:left w:type="dxa" w:w="90"/>
              <w:bottom w:type="dxa" w:w="60"/>
              <w:right w:type="dxa" w:w="90"/>
            </w:tcMar>
            <w:vAlign w:val="top"/>
          </w:tcPr>
          <w:p>
            <w:pPr>
              <w:spacing w:after="0" w:line="240"/>
            </w:pPr>
            <w:r>
              <w:rPr>
                <w:rFonts w:ascii="Calibri" w:cs="Calibri" w:eastAsia="Calibri" w:hAnsi="Calibri"/>
                <w:sz w:val="16"/>
                <w:szCs w:val="16"/>
              </w:rPr>
              <w:t xml:space="preserve">95–99%</w:t>
            </w:r>
          </w:p>
        </w:tc>
        <w:tc>
          <w:tcPr>
            <w:tcW w:type="dxa" w:w="4493"/>
            <w:tcMar>
              <w:top w:type="dxa" w:w="60"/>
              <w:left w:type="dxa" w:w="90"/>
              <w:bottom w:type="dxa" w:w="60"/>
              <w:right w:type="dxa" w:w="90"/>
            </w:tcMar>
            <w:vAlign w:val="top"/>
          </w:tcPr>
          <w:p>
            <w:pPr>
              <w:spacing w:after="0" w:line="240"/>
            </w:pPr>
            <w:r>
              <w:rPr>
                <w:rFonts w:ascii="Calibri" w:cs="Calibri" w:eastAsia="Calibri" w:hAnsi="Calibri"/>
                <w:sz w:val="16"/>
                <w:szCs w:val="16"/>
              </w:rPr>
              <w:t xml:space="preserve">Would be surprising if it did not happen</w:t>
            </w:r>
          </w:p>
        </w:tc>
      </w:tr>
    </w:tbl>
    <w:p>
      <w:pPr>
        <w:spacing w:after="160" w:before="0" w:line="276"/>
      </w:pPr>
      <w:r>
        <w:rPr>
          <w:rFonts w:ascii="Calibri" w:cs="Calibri" w:eastAsia="Calibri" w:hAnsi="Calibri"/>
          <w:sz w:val="21"/>
          <w:szCs w:val="21"/>
        </w:rPr>
        <w:t xml:space="preserve"/>
      </w:r>
    </w:p>
    <w:p>
      <w:pPr>
        <w:pStyle w:val="Heading3"/>
        <w:keepNext/>
        <w:spacing w:after="90" w:before="190"/>
      </w:pPr>
      <w:r>
        <w:rPr>
          <w:rFonts w:ascii="Calibri" w:cs="Calibri" w:eastAsia="Calibri" w:hAnsi="Calibri"/>
          <w:b/>
          <w:bCs/>
          <w:color w:val="2F2F2F"/>
          <w:sz w:val="21"/>
          <w:szCs w:val="21"/>
        </w:rPr>
        <w:t xml:space="preserve">Confidence levels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685"/>
        <w:gridCol w:w="7675"/>
      </w:tblGrid>
      <w:tr>
        <w:trPr>
          <w:tblHeader/>
        </w:trPr>
        <w:tc>
          <w:tcPr>
            <w:tcW w:type="dxa" w:w="1685"/>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Level</w:t>
            </w:r>
          </w:p>
        </w:tc>
        <w:tc>
          <w:tcPr>
            <w:tcW w:type="dxa" w:w="7675"/>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Meaning</w:t>
            </w:r>
          </w:p>
        </w:tc>
      </w:tr>
      <w:tr>
        <w:tc>
          <w:tcPr>
            <w:tcW w:type="dxa" w:w="1685"/>
            <w:tcMar>
              <w:top w:type="dxa" w:w="60"/>
              <w:left w:type="dxa" w:w="90"/>
              <w:bottom w:type="dxa" w:w="60"/>
              <w:right w:type="dxa" w:w="90"/>
            </w:tcMar>
            <w:vAlign w:val="top"/>
          </w:tcPr>
          <w:p>
            <w:pPr>
              <w:spacing w:after="0" w:line="240"/>
            </w:pPr>
            <w:r>
              <w:rPr>
                <w:rFonts w:ascii="Calibri" w:cs="Calibri" w:eastAsia="Calibri" w:hAnsi="Calibri"/>
                <w:sz w:val="16"/>
                <w:szCs w:val="16"/>
              </w:rPr>
              <w:t xml:space="preserve">High</w:t>
            </w:r>
          </w:p>
        </w:tc>
        <w:tc>
          <w:tcPr>
            <w:tcW w:type="dxa" w:w="7675"/>
            <w:tcMar>
              <w:top w:type="dxa" w:w="60"/>
              <w:left w:type="dxa" w:w="90"/>
              <w:bottom w:type="dxa" w:w="60"/>
              <w:right w:type="dxa" w:w="90"/>
            </w:tcMar>
            <w:vAlign w:val="top"/>
          </w:tcPr>
          <w:p>
            <w:pPr>
              <w:spacing w:after="0" w:line="240"/>
            </w:pPr>
            <w:r>
              <w:rPr>
                <w:rFonts w:ascii="Calibri" w:cs="Calibri" w:eastAsia="Calibri" w:hAnsi="Calibri"/>
                <w:sz w:val="16"/>
                <w:szCs w:val="16"/>
              </w:rPr>
              <w:t xml:space="preserve">Multiple corroborating authoritative sources; reasoning does not depend on contested assumptions.</w:t>
            </w:r>
          </w:p>
        </w:tc>
      </w:tr>
      <w:tr>
        <w:tc>
          <w:tcPr>
            <w:tcW w:type="dxa" w:w="1685"/>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Moderate</w:t>
            </w:r>
          </w:p>
        </w:tc>
        <w:tc>
          <w:tcPr>
            <w:tcW w:type="dxa" w:w="7675"/>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Credible sourcing with some gaps, or sound reasoning that depends on assumptions identified as sensitive.</w:t>
            </w:r>
          </w:p>
        </w:tc>
      </w:tr>
      <w:tr>
        <w:tc>
          <w:tcPr>
            <w:tcW w:type="dxa" w:w="1685"/>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Low</w:t>
            </w:r>
          </w:p>
        </w:tc>
        <w:tc>
          <w:tcPr>
            <w:tcW w:type="dxa" w:w="7675"/>
            <w:tcMar>
              <w:top w:type="dxa" w:w="60"/>
              <w:left w:type="dxa" w:w="90"/>
              <w:bottom w:type="dxa" w:w="60"/>
              <w:right w:type="dxa" w:w="90"/>
            </w:tcMar>
            <w:vAlign w:val="top"/>
          </w:tcPr>
          <w:p>
            <w:pPr>
              <w:spacing w:after="0" w:line="240"/>
            </w:pPr>
            <w:r>
              <w:rPr>
                <w:rFonts w:ascii="Calibri" w:cs="Calibri" w:eastAsia="Calibri" w:hAnsi="Calibri"/>
                <w:sz w:val="16"/>
                <w:szCs w:val="16"/>
              </w:rPr>
              <w:t xml:space="preserve">Fragmentary or single-source information, or reasoning that depends on assumptions that cannot currently be tested.</w:t>
            </w:r>
          </w:p>
        </w:tc>
      </w:tr>
    </w:tbl>
    <w:p>
      <w:pPr>
        <w:spacing w:after="160" w:before="0" w:line="276"/>
      </w:pPr>
      <w:r>
        <w:rPr>
          <w:rFonts w:ascii="Calibri" w:cs="Calibri" w:eastAsia="Calibri" w:hAnsi="Calibri"/>
          <w:sz w:val="21"/>
          <w:szCs w:val="21"/>
        </w:rPr>
        <w:t xml:space="preserve"/>
      </w:r>
    </w:p>
    <w:p>
      <w:pPr>
        <w:spacing w:after="160" w:before="0" w:line="276"/>
      </w:pPr>
      <w:r>
        <w:rPr>
          <w:rFonts w:ascii="Calibri" w:cs="Calibri" w:eastAsia="Calibri" w:hAnsi="Calibri"/>
          <w:i/>
          <w:iCs/>
          <w:color w:val="525252"/>
          <w:sz w:val="18"/>
          <w:szCs w:val="18"/>
        </w:rPr>
        <w:t xml:space="preserve">Confidence and probability are separate. Confidence describes how much weight the evidence and reasoning can bear. Probability describes how likely an outcome is. A high-confidence judgment that an event is unlikely is entirely coherent.</w:t>
      </w:r>
    </w:p>
    <w:p>
      <w:pPr>
        <w:pStyle w:val="Heading3"/>
        <w:keepNext/>
        <w:spacing w:after="90" w:before="190"/>
      </w:pPr>
      <w:r>
        <w:rPr>
          <w:rFonts w:ascii="Calibri" w:cs="Calibri" w:eastAsia="Calibri" w:hAnsi="Calibri"/>
          <w:b/>
          <w:bCs/>
          <w:color w:val="2F2F2F"/>
          <w:sz w:val="21"/>
          <w:szCs w:val="21"/>
        </w:rPr>
        <w:t xml:space="preserve">Data dictionary for tables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46"/>
        <w:gridCol w:w="7114"/>
      </w:tblGrid>
      <w:tr>
        <w:trPr>
          <w:tblHeader/>
        </w:trPr>
        <w:tc>
          <w:tcPr>
            <w:tcW w:type="dxa" w:w="2246"/>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Field</w:t>
            </w:r>
          </w:p>
        </w:tc>
        <w:tc>
          <w:tcPr>
            <w:tcW w:type="dxa" w:w="711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6"/>
                <w:szCs w:val="16"/>
              </w:rPr>
              <w:t xml:space="preserve">Definition</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Attribution status</w:t>
            </w:r>
          </w:p>
        </w:tc>
        <w:tc>
          <w:tcPr>
            <w:tcW w:type="dxa" w:w="7114"/>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Confirmed = stated in a published federal, state, or operator document. Reported = journalism citing officials whose assessment is not published. Claimed = threat-actor assertion, unverified.</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Assessed relative likelihood</w:t>
            </w:r>
          </w:p>
        </w:tc>
        <w:tc>
          <w:tcPr>
            <w:tcW w:type="dxa" w:w="711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An ordinal rank among the items in that table only. Not a probability. Never averaged or combined.</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Dependence and exposure classes</w:t>
            </w:r>
          </w:p>
        </w:tc>
        <w:tc>
          <w:tcPr>
            <w:tcW w:type="dxa" w:w="7114"/>
            <w:tcMar>
              <w:top w:type="dxa" w:w="60"/>
              <w:left w:type="dxa" w:w="90"/>
              <w:bottom w:type="dxa" w:w="60"/>
              <w:right w:type="dxa" w:w="90"/>
            </w:tcMar>
            <w:vAlign w:val="top"/>
          </w:tcPr>
          <w:p>
            <w:pPr>
              <w:spacing w:after="0" w:line="240"/>
            </w:pPr>
            <w:r>
              <w:rPr>
                <w:rFonts w:ascii="Calibri" w:cs="Calibri" w:eastAsia="Calibri" w:hAnsi="Calibri"/>
                <w:sz w:val="16"/>
                <w:szCs w:val="16"/>
              </w:rPr>
              <w:t xml:space="preserve">Ordinal analyst judgments (low, moderate, high, very high) describing a typical facility in that mode. Not measurements; not comparable across tables.</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Weight class</w:t>
            </w:r>
          </w:p>
        </w:tc>
        <w:tc>
          <w:tcPr>
            <w:tcW w:type="dxa" w:w="711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Primary = drives prioritization. Secondary = adjusts it. Modifier = scales consequence once priority is established.</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Consequence band</w:t>
            </w:r>
          </w:p>
        </w:tc>
        <w:tc>
          <w:tcPr>
            <w:tcW w:type="dxa" w:w="7114"/>
            <w:tcMar>
              <w:top w:type="dxa" w:w="60"/>
              <w:left w:type="dxa" w:w="90"/>
              <w:bottom w:type="dxa" w:w="60"/>
              <w:right w:type="dxa" w:w="90"/>
            </w:tcMar>
            <w:vAlign w:val="top"/>
          </w:tcPr>
          <w:p>
            <w:pPr>
              <w:spacing w:after="0" w:line="240"/>
            </w:pPr>
            <w:r>
              <w:rPr>
                <w:rFonts w:ascii="Calibri" w:cs="Calibri" w:eastAsia="Calibri" w:hAnsi="Calibri"/>
                <w:sz w:val="16"/>
                <w:szCs w:val="16"/>
              </w:rPr>
              <w:t xml:space="preserve">Low, base, and high describe the favorable, expected, and unfavorable ends of plausible outcomes. Calibrated against the observed cases in Table 1; not model outputs.</w:t>
            </w:r>
          </w:p>
        </w:tc>
      </w:tr>
      <w:tr>
        <w:tc>
          <w:tcPr>
            <w:tcW w:type="dxa" w:w="2246"/>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Expected lead time</w:t>
            </w:r>
          </w:p>
        </w:tc>
        <w:tc>
          <w:tcPr>
            <w:tcW w:type="dxa" w:w="7114"/>
            <w:shd w:fill="F2F5FA" w:color="auto" w:val="clear"/>
            <w:tcMar>
              <w:top w:type="dxa" w:w="60"/>
              <w:left w:type="dxa" w:w="90"/>
              <w:bottom w:type="dxa" w:w="60"/>
              <w:right w:type="dxa" w:w="90"/>
            </w:tcMar>
            <w:vAlign w:val="top"/>
          </w:tcPr>
          <w:p>
            <w:pPr>
              <w:spacing w:after="0" w:line="240"/>
            </w:pPr>
            <w:r>
              <w:rPr>
                <w:rFonts w:ascii="Calibri" w:cs="Calibri" w:eastAsia="Calibri" w:hAnsi="Calibri"/>
                <w:sz w:val="16"/>
                <w:szCs w:val="16"/>
              </w:rPr>
              <w:t xml:space="preserve">Typical interval between an indicator becoming observable and the effect it warns of, assuming the indicator is being collected.</w:t>
            </w:r>
          </w:p>
        </w:tc>
      </w:tr>
      <w:tr>
        <w:tc>
          <w:tcPr>
            <w:tcW w:type="dxa" w:w="2246"/>
            <w:tcMar>
              <w:top w:type="dxa" w:w="60"/>
              <w:left w:type="dxa" w:w="90"/>
              <w:bottom w:type="dxa" w:w="60"/>
              <w:right w:type="dxa" w:w="90"/>
            </w:tcMar>
            <w:vAlign w:val="top"/>
          </w:tcPr>
          <w:p>
            <w:pPr>
              <w:spacing w:after="0" w:line="240"/>
            </w:pPr>
            <w:r>
              <w:rPr>
                <w:rFonts w:ascii="Calibri" w:cs="Calibri" w:eastAsia="Calibri" w:hAnsi="Calibri"/>
                <w:sz w:val="16"/>
                <w:szCs w:val="16"/>
              </w:rPr>
              <w:t xml:space="preserve">Principal constraint</w:t>
            </w:r>
          </w:p>
        </w:tc>
        <w:tc>
          <w:tcPr>
            <w:tcW w:type="dxa" w:w="7114"/>
            <w:tcMar>
              <w:top w:type="dxa" w:w="60"/>
              <w:left w:type="dxa" w:w="90"/>
              <w:bottom w:type="dxa" w:w="60"/>
              <w:right w:type="dxa" w:w="90"/>
            </w:tcMar>
            <w:vAlign w:val="top"/>
          </w:tcPr>
          <w:p>
            <w:pPr>
              <w:spacing w:after="0" w:line="240"/>
            </w:pPr>
            <w:r>
              <w:rPr>
                <w:rFonts w:ascii="Calibri" w:cs="Calibri" w:eastAsia="Calibri" w:hAnsi="Calibri"/>
                <w:sz w:val="16"/>
                <w:szCs w:val="16"/>
              </w:rPr>
              <w:t xml:space="preserve">The obstacle most likely to prevent an action from being completed as described.</w:t>
            </w:r>
          </w:p>
        </w:tc>
      </w:tr>
    </w:tbl>
    <w:p>
      <w:pPr>
        <w:spacing w:after="160" w:before="0" w:line="276"/>
      </w:pPr>
      <w:r>
        <w:rPr>
          <w:rFonts w:ascii="Calibri" w:cs="Calibri" w:eastAsia="Calibri" w:hAnsi="Calibri"/>
          <w:sz w:val="21"/>
          <w:szCs w:val="21"/>
        </w:rPr>
        <w:t xml:space="preserve"/>
      </w:r>
    </w:p>
    <w:p>
      <w:r>
        <w:br w:type="page"/>
      </w:r>
    </w:p>
    <w:p>
      <w:pPr>
        <w:pStyle w:val="Heading1"/>
        <w:keepNext/>
        <w:pBdr>
          <w:bottom w:val="single" w:color="1F3864" w:sz="8" w:space="4"/>
        </w:pBdr>
        <w:spacing w:after="160" w:before="340"/>
      </w:pPr>
      <w:r>
        <w:rPr>
          <w:rFonts w:ascii="Calibri" w:cs="Calibri" w:eastAsia="Calibri" w:hAnsi="Calibri"/>
          <w:b/>
          <w:bCs/>
          <w:color w:val="1F3864"/>
          <w:sz w:val="30"/>
          <w:szCs w:val="30"/>
        </w:rPr>
        <w:t xml:space="preserve">Appendix C. Source reference citations</w:t>
      </w:r>
    </w:p>
    <w:p>
      <w:pPr>
        <w:spacing w:after="140" w:before="0" w:line="276"/>
      </w:pPr>
      <w:r>
        <w:rPr>
          <w:rFonts w:ascii="Calibri" w:cs="Calibri" w:eastAsia="Calibri" w:hAnsi="Calibri"/>
          <w:sz w:val="21"/>
          <w:szCs w:val="21"/>
        </w:rPr>
        <w:t xml:space="preserve">All sources are open and unrestricted. Each citation gives originator, title, date, and location. Access date for all web sources is 2 August 2026. Source summary: the assessment rests principally on four authoritative primary documents (endnotes 1 through 6), supported by conflict-context reporting from the Congressional Research Service and the Council on Foreign Relations (7 and 8), established journalism used for chronology and leads (9 through 13), threat-actor and threat-research material treated as claims rather than facts (14 through 16), transportation regulatory documents (17 through 20), and operator advisories and press reporting used as consequence analogues (21 through 24). Two general reference documents that inform methodology without supporting a specific claim are listed separately as appended reference citations. No vendor exposure telemetry, aggregation site, or unattributed social-media claim is cited as evidence.</w:t>
      </w:r>
    </w:p>
    <w:p>
      <w:pPr>
        <w:spacing w:after="80" w:line="240"/>
        <w:ind w:left="360" w:hanging="360"/>
      </w:pPr>
      <w:r>
        <w:rPr>
          <w:rFonts w:ascii="Calibri" w:cs="Calibri" w:eastAsia="Calibri" w:hAnsi="Calibri"/>
          <w:b/>
          <w:bCs/>
          <w:sz w:val="17"/>
          <w:szCs w:val="17"/>
        </w:rPr>
        <w:t xml:space="preserve">1. </w:t>
      </w:r>
      <w:r>
        <w:rPr>
          <w:rFonts w:ascii="Calibri" w:cs="Calibri" w:eastAsia="Calibri" w:hAnsi="Calibri"/>
          <w:sz w:val="17"/>
          <w:szCs w:val="17"/>
        </w:rPr>
        <w:t xml:space="preserve">Federal Bureau of Investigation and Environmental Protection Agency, "Malicious Cyber Actors Targeting Water and Wastewater Sector Internet-Facing Programmable Logic Controllers, Causing Operational Disruptions," Public Service Announcement I-073026-PSA, 30 July 2026. https://www.ic3.gov/PSA/2026/PSA260730.pdf</w:t>
      </w:r>
    </w:p>
    <w:p>
      <w:pPr>
        <w:spacing w:after="80" w:line="240"/>
        <w:ind w:left="360" w:hanging="360"/>
      </w:pPr>
      <w:r>
        <w:rPr>
          <w:rFonts w:ascii="Calibri" w:cs="Calibri" w:eastAsia="Calibri" w:hAnsi="Calibri"/>
          <w:b/>
          <w:bCs/>
          <w:sz w:val="17"/>
          <w:szCs w:val="17"/>
        </w:rPr>
        <w:t xml:space="preserve">2. </w:t>
      </w:r>
      <w:r>
        <w:rPr>
          <w:rFonts w:ascii="Calibri" w:cs="Calibri" w:eastAsia="Calibri" w:hAnsi="Calibri"/>
          <w:sz w:val="17"/>
          <w:szCs w:val="17"/>
        </w:rPr>
        <w:t xml:space="preserve">Cybersecurity and Infrastructure Security Agency, "CISA Urges Water and Wastewater Systems Sector to Protect OT Against Activity Targeting PLCs," alert, 30 July 2026. https://www.cisa.gov/news-events/alerts/2026/07/30/cisa-urges-water-and-wastewater-systems-sector-protect-ot-against-activity-targeting-plcs</w:t>
      </w:r>
    </w:p>
    <w:p>
      <w:pPr>
        <w:spacing w:after="80" w:line="240"/>
        <w:ind w:left="360" w:hanging="360"/>
      </w:pPr>
      <w:r>
        <w:rPr>
          <w:rFonts w:ascii="Calibri" w:cs="Calibri" w:eastAsia="Calibri" w:hAnsi="Calibri"/>
          <w:b/>
          <w:bCs/>
          <w:sz w:val="17"/>
          <w:szCs w:val="17"/>
        </w:rPr>
        <w:t xml:space="preserve">3. </w:t>
      </w:r>
      <w:r>
        <w:rPr>
          <w:rFonts w:ascii="Calibri" w:cs="Calibri" w:eastAsia="Calibri" w:hAnsi="Calibri"/>
          <w:sz w:val="17"/>
          <w:szCs w:val="17"/>
        </w:rPr>
        <w:t xml:space="preserve">Federal Bureau of Investigation, Cybersecurity and Infrastructure Security Agency, National Security Agency, Environmental Protection Agency, Department of Energy, U.S. Cyber Command Cyber National Mission Force, and Department of the Treasury, "Iranian-Affiliated Cyber Actors Exploit Programmable Logic Controllers Across US Critical Infrastructure," Joint Cybersecurity Advisory AA26-097A, published 7 April 2026, last updated 22 July 2026, TLP:CLEAR. https://www.ic3.gov/CSA/2026/260722.pdf</w:t>
      </w:r>
    </w:p>
    <w:p>
      <w:pPr>
        <w:spacing w:after="80" w:line="240"/>
        <w:ind w:left="360" w:hanging="360"/>
      </w:pPr>
      <w:r>
        <w:rPr>
          <w:rFonts w:ascii="Calibri" w:cs="Calibri" w:eastAsia="Calibri" w:hAnsi="Calibri"/>
          <w:b/>
          <w:bCs/>
          <w:sz w:val="17"/>
          <w:szCs w:val="17"/>
        </w:rPr>
        <w:t xml:space="preserve">4. </w:t>
      </w:r>
      <w:r>
        <w:rPr>
          <w:rFonts w:ascii="Calibri" w:cs="Calibri" w:eastAsia="Calibri" w:hAnsi="Calibri"/>
          <w:sz w:val="17"/>
          <w:szCs w:val="17"/>
        </w:rPr>
        <w:t xml:space="preserve">Cybersecurity and Infrastructure Security Agency, "CISA, FBI, EPA and U.S. Government Partners Update Warning of Iran-Affiliated Threat Actors Targeting Critical Infrastructure Programmable Logic Controllers," news release, 22 July 2026. https://www.cisa.gov/news-events/news/cisa-fbi-epa-and-us-government-partners-update-warning-iran-affiliated-threat-actors-targeting</w:t>
      </w:r>
    </w:p>
    <w:p>
      <w:pPr>
        <w:spacing w:after="80" w:line="240"/>
        <w:ind w:left="360" w:hanging="360"/>
      </w:pPr>
      <w:r>
        <w:rPr>
          <w:rFonts w:ascii="Calibri" w:cs="Calibri" w:eastAsia="Calibri" w:hAnsi="Calibri"/>
          <w:b/>
          <w:bCs/>
          <w:sz w:val="17"/>
          <w:szCs w:val="17"/>
        </w:rPr>
        <w:t xml:space="preserve">5. </w:t>
      </w:r>
      <w:r>
        <w:rPr>
          <w:rFonts w:ascii="Calibri" w:cs="Calibri" w:eastAsia="Calibri" w:hAnsi="Calibri"/>
          <w:sz w:val="17"/>
          <w:szCs w:val="17"/>
        </w:rPr>
        <w:t xml:space="preserve">U.S. Environmental Protection Agency, "EPA, FBI, CISA, NSA Issue Joint Cybersecurity Advisory to Water System Regarding Iranian-Affiliated Cyber Attacks," news release, 7 April 2026. https://www.epa.gov/newsreleases/epa-fbi-cisa-nsa-issue-joint-cybersecurity-advisory-water-system-regarding-iranian</w:t>
      </w:r>
    </w:p>
    <w:p>
      <w:pPr>
        <w:spacing w:after="80" w:line="240"/>
        <w:ind w:left="360" w:hanging="360"/>
      </w:pPr>
      <w:r>
        <w:rPr>
          <w:rFonts w:ascii="Calibri" w:cs="Calibri" w:eastAsia="Calibri" w:hAnsi="Calibri"/>
          <w:b/>
          <w:bCs/>
          <w:sz w:val="17"/>
          <w:szCs w:val="17"/>
        </w:rPr>
        <w:t xml:space="preserve">6. </w:t>
      </w:r>
      <w:r>
        <w:rPr>
          <w:rFonts w:ascii="Calibri" w:cs="Calibri" w:eastAsia="Calibri" w:hAnsi="Calibri"/>
          <w:sz w:val="17"/>
          <w:szCs w:val="17"/>
        </w:rPr>
        <w:t xml:space="preserve">Minnesota IT Services, "MNIT activates statewide cybersecurity response to support affected communities and protect critical infrastructure," press release, 28 July 2026. https://mn.gov/mnit/media/blog/?id=38-761869</w:t>
      </w:r>
    </w:p>
    <w:p>
      <w:pPr>
        <w:spacing w:after="80" w:line="240"/>
        <w:ind w:left="360" w:hanging="360"/>
      </w:pPr>
      <w:r>
        <w:rPr>
          <w:rFonts w:ascii="Calibri" w:cs="Calibri" w:eastAsia="Calibri" w:hAnsi="Calibri"/>
          <w:b/>
          <w:bCs/>
          <w:sz w:val="17"/>
          <w:szCs w:val="17"/>
        </w:rPr>
        <w:t xml:space="preserve">7. </w:t>
      </w:r>
      <w:r>
        <w:rPr>
          <w:rFonts w:ascii="Calibri" w:cs="Calibri" w:eastAsia="Calibri" w:hAnsi="Calibri"/>
          <w:sz w:val="17"/>
          <w:szCs w:val="17"/>
        </w:rPr>
        <w:t xml:space="preserve">Congressional Research Service, "U.S. Conflict with Iran," Report R48887. https://www.congress.gov/crs-product/R48887</w:t>
      </w:r>
    </w:p>
    <w:p>
      <w:pPr>
        <w:spacing w:after="80" w:line="240"/>
        <w:ind w:left="360" w:hanging="360"/>
      </w:pPr>
      <w:r>
        <w:rPr>
          <w:rFonts w:ascii="Calibri" w:cs="Calibri" w:eastAsia="Calibri" w:hAnsi="Calibri"/>
          <w:b/>
          <w:bCs/>
          <w:sz w:val="17"/>
          <w:szCs w:val="17"/>
        </w:rPr>
        <w:t xml:space="preserve">8. </w:t>
      </w:r>
      <w:r>
        <w:rPr>
          <w:rFonts w:ascii="Calibri" w:cs="Calibri" w:eastAsia="Calibri" w:hAnsi="Calibri"/>
          <w:sz w:val="17"/>
          <w:szCs w:val="17"/>
        </w:rPr>
        <w:t xml:space="preserve">Council on Foreign Relations, "Iran's War With Israel and the United States," Global Conflict Tracker. https://www.cfr.org/global-conflict-tracker/conflict/confrontation-between-united-states-and-iran</w:t>
      </w:r>
    </w:p>
    <w:p>
      <w:pPr>
        <w:spacing w:after="80" w:line="240"/>
        <w:ind w:left="360" w:hanging="360"/>
      </w:pPr>
      <w:r>
        <w:rPr>
          <w:rFonts w:ascii="Calibri" w:cs="Calibri" w:eastAsia="Calibri" w:hAnsi="Calibri"/>
          <w:b/>
          <w:bCs/>
          <w:sz w:val="17"/>
          <w:szCs w:val="17"/>
        </w:rPr>
        <w:t xml:space="preserve">9. </w:t>
      </w:r>
      <w:r>
        <w:rPr>
          <w:rFonts w:ascii="Calibri" w:cs="Calibri" w:eastAsia="Calibri" w:hAnsi="Calibri"/>
          <w:sz w:val="17"/>
          <w:szCs w:val="17"/>
        </w:rPr>
        <w:t xml:space="preserve">The Washington Post, "Several states report cyberattacks as spy agencies suspect Iran targeting water," 1 August 2026. https://www.washingtonpost.com/nation/2026/08/01/several-states-report-cyberattacks-spy-agencies-suspect-iran-targeting-water/</w:t>
      </w:r>
    </w:p>
    <w:p>
      <w:pPr>
        <w:spacing w:after="80" w:line="240"/>
        <w:ind w:left="360" w:hanging="360"/>
      </w:pPr>
      <w:r>
        <w:rPr>
          <w:rFonts w:ascii="Calibri" w:cs="Calibri" w:eastAsia="Calibri" w:hAnsi="Calibri"/>
          <w:b/>
          <w:bCs/>
          <w:sz w:val="17"/>
          <w:szCs w:val="17"/>
        </w:rPr>
        <w:t xml:space="preserve">10. </w:t>
      </w:r>
      <w:r>
        <w:rPr>
          <w:rFonts w:ascii="Calibri" w:cs="Calibri" w:eastAsia="Calibri" w:hAnsi="Calibri"/>
          <w:sz w:val="17"/>
          <w:szCs w:val="17"/>
        </w:rPr>
        <w:t xml:space="preserve">The Washington Post, "U.S. spy agencies suspect Iran launched cyberattack on Minnesota water facilities," 30 July 2026. https://www.washingtonpost.com/national-security/2026/07/30/us-spy-agencies-suspect-iran-launched-cyberattack-minnesota-water-facilities/</w:t>
      </w:r>
    </w:p>
    <w:p>
      <w:pPr>
        <w:spacing w:after="80" w:line="240"/>
        <w:ind w:left="360" w:hanging="360"/>
      </w:pPr>
      <w:r>
        <w:rPr>
          <w:rFonts w:ascii="Calibri" w:cs="Calibri" w:eastAsia="Calibri" w:hAnsi="Calibri"/>
          <w:b/>
          <w:bCs/>
          <w:sz w:val="17"/>
          <w:szCs w:val="17"/>
        </w:rPr>
        <w:t xml:space="preserve">11. </w:t>
      </w:r>
      <w:r>
        <w:rPr>
          <w:rFonts w:ascii="Calibri" w:cs="Calibri" w:eastAsia="Calibri" w:hAnsi="Calibri"/>
          <w:sz w:val="17"/>
          <w:szCs w:val="17"/>
        </w:rPr>
        <w:t xml:space="preserve">CBS News, "U.S. investigating if Iran was behind cyberattack on water systems in 7 states, including Minnesota and Michigan," 31 July 2026. https://www.cbsnews.com/news/us-investigating-iran-cyberattack-minnesota-water-systems/</w:t>
      </w:r>
    </w:p>
    <w:p>
      <w:pPr>
        <w:spacing w:after="80" w:line="240"/>
        <w:ind w:left="360" w:hanging="360"/>
      </w:pPr>
      <w:r>
        <w:rPr>
          <w:rFonts w:ascii="Calibri" w:cs="Calibri" w:eastAsia="Calibri" w:hAnsi="Calibri"/>
          <w:b/>
          <w:bCs/>
          <w:sz w:val="17"/>
          <w:szCs w:val="17"/>
        </w:rPr>
        <w:t xml:space="preserve">12. </w:t>
      </w:r>
      <w:r>
        <w:rPr>
          <w:rFonts w:ascii="Calibri" w:cs="Calibri" w:eastAsia="Calibri" w:hAnsi="Calibri"/>
          <w:sz w:val="17"/>
          <w:szCs w:val="17"/>
        </w:rPr>
        <w:t xml:space="preserve">CNN, "Sweeping cyberattack on water systems in multiple states has US officials on edge," 31 July 2026. https://www.cnn.com/2026/07/31/politics/sweeping-cyberattack-us-water-systems</w:t>
      </w:r>
    </w:p>
    <w:p>
      <w:pPr>
        <w:spacing w:after="80" w:line="240"/>
        <w:ind w:left="360" w:hanging="360"/>
      </w:pPr>
      <w:r>
        <w:rPr>
          <w:rFonts w:ascii="Calibri" w:cs="Calibri" w:eastAsia="Calibri" w:hAnsi="Calibri"/>
          <w:b/>
          <w:bCs/>
          <w:sz w:val="17"/>
          <w:szCs w:val="17"/>
        </w:rPr>
        <w:t xml:space="preserve">13. </w:t>
      </w:r>
      <w:r>
        <w:rPr>
          <w:rFonts w:ascii="Calibri" w:cs="Calibri" w:eastAsia="Calibri" w:hAnsi="Calibri"/>
          <w:sz w:val="17"/>
          <w:szCs w:val="17"/>
        </w:rPr>
        <w:t xml:space="preserve">United Press International, "Cyberattacks on water systems spread to 7 states," 1 August 2026. https://www.upi.com/Top_News/US/2026/08/01/cyberattacks-water-systems-7-states/5441785618113/</w:t>
      </w:r>
    </w:p>
    <w:p>
      <w:pPr>
        <w:spacing w:after="80" w:line="240"/>
        <w:ind w:left="360" w:hanging="360"/>
      </w:pPr>
      <w:r>
        <w:rPr>
          <w:rFonts w:ascii="Calibri" w:cs="Calibri" w:eastAsia="Calibri" w:hAnsi="Calibri"/>
          <w:b/>
          <w:bCs/>
          <w:sz w:val="17"/>
          <w:szCs w:val="17"/>
        </w:rPr>
        <w:t xml:space="preserve">14. </w:t>
      </w:r>
      <w:r>
        <w:rPr>
          <w:rFonts w:ascii="Calibri" w:cs="Calibri" w:eastAsia="Calibri" w:hAnsi="Calibri"/>
          <w:sz w:val="17"/>
          <w:szCs w:val="17"/>
        </w:rPr>
        <w:t xml:space="preserve">Press TV (Iranian state media), "Handala warns of expanded cyber campaign against US critical infrastructure," 23 July 2026. https://www.presstv.co.uk/Detail/2026/07/23/772859/Iran-US-Handala-Israel-Lebanon. Cited as the reporting channel for an unverified threat-actor claim, not as evidence of capability or responsibility. Source is state media of the government whose affiliated actors are the subject of this assessment; treat accordingly.</w:t>
      </w:r>
    </w:p>
    <w:p>
      <w:pPr>
        <w:spacing w:after="80" w:line="240"/>
        <w:ind w:left="360" w:hanging="360"/>
      </w:pPr>
      <w:r>
        <w:rPr>
          <w:rFonts w:ascii="Calibri" w:cs="Calibri" w:eastAsia="Calibri" w:hAnsi="Calibri"/>
          <w:b/>
          <w:bCs/>
          <w:sz w:val="17"/>
          <w:szCs w:val="17"/>
        </w:rPr>
        <w:t xml:space="preserve">15. </w:t>
      </w:r>
      <w:r>
        <w:rPr>
          <w:rFonts w:ascii="Calibri" w:cs="Calibri" w:eastAsia="Calibri" w:hAnsi="Calibri"/>
          <w:sz w:val="17"/>
          <w:szCs w:val="17"/>
        </w:rPr>
        <w:t xml:space="preserve">Recorded Future, Insikt Group, "Iran Expands Handala Brand to Physical Threats," June 2026. https://www.recordedfuture.com/research/iran-handala-physical-threats. Commercial threat research; cited for actor background only.</w:t>
      </w:r>
    </w:p>
    <w:p>
      <w:pPr>
        <w:spacing w:after="80" w:line="240"/>
        <w:ind w:left="360" w:hanging="360"/>
      </w:pPr>
      <w:r>
        <w:rPr>
          <w:rFonts w:ascii="Calibri" w:cs="Calibri" w:eastAsia="Calibri" w:hAnsi="Calibri"/>
          <w:b/>
          <w:bCs/>
          <w:sz w:val="17"/>
          <w:szCs w:val="17"/>
        </w:rPr>
        <w:t xml:space="preserve">16. </w:t>
      </w:r>
      <w:r>
        <w:rPr>
          <w:rFonts w:ascii="Calibri" w:cs="Calibri" w:eastAsia="Calibri" w:hAnsi="Calibri"/>
          <w:sz w:val="17"/>
          <w:szCs w:val="17"/>
        </w:rPr>
        <w:t xml:space="preserve">Foundation for Defense of Democracies, "6 Things To Know About Handala — Tehran's Hackers Making Front Page News," 1 April 2026. https://www.fdd.org/analysis/2026/04/01/6-things-to-know-about-handala-tehrans-hackers-making-front-page-news/. Advocacy-affiliated research organization; cited for actor background only, with that affiliation noted.</w:t>
      </w:r>
    </w:p>
    <w:p>
      <w:pPr>
        <w:spacing w:after="80" w:line="240"/>
        <w:ind w:left="360" w:hanging="360"/>
      </w:pPr>
      <w:r>
        <w:rPr>
          <w:rFonts w:ascii="Calibri" w:cs="Calibri" w:eastAsia="Calibri" w:hAnsi="Calibri"/>
          <w:b/>
          <w:bCs/>
          <w:sz w:val="17"/>
          <w:szCs w:val="17"/>
        </w:rPr>
        <w:t xml:space="preserve">17. </w:t>
      </w:r>
      <w:r>
        <w:rPr>
          <w:rFonts w:ascii="Calibri" w:cs="Calibri" w:eastAsia="Calibri" w:hAnsi="Calibri"/>
          <w:sz w:val="17"/>
          <w:szCs w:val="17"/>
        </w:rPr>
        <w:t xml:space="preserve">Transportation Security Administration, "Security Directives and Emergency Amendments." https://www.tsa.gov/sd-and-ea</w:t>
      </w:r>
    </w:p>
    <w:p>
      <w:pPr>
        <w:spacing w:after="80" w:line="240"/>
        <w:ind w:left="360" w:hanging="360"/>
      </w:pPr>
      <w:r>
        <w:rPr>
          <w:rFonts w:ascii="Calibri" w:cs="Calibri" w:eastAsia="Calibri" w:hAnsi="Calibri"/>
          <w:b/>
          <w:bCs/>
          <w:sz w:val="17"/>
          <w:szCs w:val="17"/>
        </w:rPr>
        <w:t xml:space="preserve">18. </w:t>
      </w:r>
      <w:r>
        <w:rPr>
          <w:rFonts w:ascii="Calibri" w:cs="Calibri" w:eastAsia="Calibri" w:hAnsi="Calibri"/>
          <w:sz w:val="17"/>
          <w:szCs w:val="17"/>
        </w:rPr>
        <w:t xml:space="preserve">Transportation Security Administration, Security Directive Pipeline-2021-01G and transmittal memorandum. https://www.tsa.gov/sites/default/files/signed_security-directive-pipeline-2021-01g-and-transmittal-memo_508c.pdf</w:t>
      </w:r>
    </w:p>
    <w:p>
      <w:pPr>
        <w:spacing w:after="80" w:line="240"/>
        <w:ind w:left="360" w:hanging="360"/>
      </w:pPr>
      <w:r>
        <w:rPr>
          <w:rFonts w:ascii="Calibri" w:cs="Calibri" w:eastAsia="Calibri" w:hAnsi="Calibri"/>
          <w:b/>
          <w:bCs/>
          <w:sz w:val="17"/>
          <w:szCs w:val="17"/>
        </w:rPr>
        <w:t xml:space="preserve">19. </w:t>
      </w:r>
      <w:r>
        <w:rPr>
          <w:rFonts w:ascii="Calibri" w:cs="Calibri" w:eastAsia="Calibri" w:hAnsi="Calibri"/>
          <w:sz w:val="17"/>
          <w:szCs w:val="17"/>
        </w:rPr>
        <w:t xml:space="preserve">Transportation Security Administration, Security Directive 1580-21-01C, "Enhancing Rail Cybersecurity," and transmittal memorandum. https://www.tsa.gov/sites/default/files/security_directive_1580-21-01c_and_memo_508c.pdf</w:t>
      </w:r>
    </w:p>
    <w:p>
      <w:pPr>
        <w:spacing w:after="80" w:line="240"/>
        <w:ind w:left="360" w:hanging="360"/>
      </w:pPr>
      <w:r>
        <w:rPr>
          <w:rFonts w:ascii="Calibri" w:cs="Calibri" w:eastAsia="Calibri" w:hAnsi="Calibri"/>
          <w:b/>
          <w:bCs/>
          <w:sz w:val="17"/>
          <w:szCs w:val="17"/>
        </w:rPr>
        <w:t xml:space="preserve">20. </w:t>
      </w:r>
      <w:r>
        <w:rPr>
          <w:rFonts w:ascii="Calibri" w:cs="Calibri" w:eastAsia="Calibri" w:hAnsi="Calibri"/>
          <w:sz w:val="17"/>
          <w:szCs w:val="17"/>
        </w:rPr>
        <w:t xml:space="preserve">U.S. Government Accountability Office, "Surface Transportation: TSA Is Taking Steps to Enhance Cybersecurity, but Additional Actions Are Needed," GAO-25-107947. https://files.gao.gov/reports/GAO-25-107947/index.html</w:t>
      </w:r>
    </w:p>
    <w:p>
      <w:pPr>
        <w:spacing w:after="80" w:line="240"/>
        <w:ind w:left="360" w:hanging="360"/>
      </w:pPr>
      <w:r>
        <w:rPr>
          <w:rFonts w:ascii="Calibri" w:cs="Calibri" w:eastAsia="Calibri" w:hAnsi="Calibri"/>
          <w:b/>
          <w:bCs/>
          <w:sz w:val="17"/>
          <w:szCs w:val="17"/>
        </w:rPr>
        <w:t xml:space="preserve">21. </w:t>
      </w:r>
      <w:r>
        <w:rPr>
          <w:rFonts w:ascii="Calibri" w:cs="Calibri" w:eastAsia="Calibri" w:hAnsi="Calibri"/>
          <w:sz w:val="17"/>
          <w:szCs w:val="17"/>
        </w:rPr>
        <w:t xml:space="preserve">Simple Flying, "London Gatwick Airport Loses All Running Water At Height Of Summer Holidays," 26–27 July 2026. https://simpleflying.com/london-gatwick-airport-no-running-water-summer-2026/. Press reporting of a non-cyber event, cited as a consequence analogue. The utility's own statement was not independently retrieved; this limitation is noted in the limitations section.</w:t>
      </w:r>
    </w:p>
    <w:p>
      <w:pPr>
        <w:spacing w:after="80" w:line="240"/>
        <w:ind w:left="360" w:hanging="360"/>
      </w:pPr>
      <w:r>
        <w:rPr>
          <w:rFonts w:ascii="Calibri" w:cs="Calibri" w:eastAsia="Calibri" w:hAnsi="Calibri"/>
          <w:b/>
          <w:bCs/>
          <w:sz w:val="17"/>
          <w:szCs w:val="17"/>
        </w:rPr>
        <w:t xml:space="preserve">22. </w:t>
      </w:r>
      <w:r>
        <w:rPr>
          <w:rFonts w:ascii="Calibri" w:cs="Calibri" w:eastAsia="Calibri" w:hAnsi="Calibri"/>
          <w:sz w:val="17"/>
          <w:szCs w:val="17"/>
        </w:rPr>
        <w:t xml:space="preserve">Wilmington International Airport, "Airport Advisory — Water Outage," operator advisory. https://flyilm.com/airport-advisory-water-outage/. Operator primary source, cited as a consequence analogue.</w:t>
      </w:r>
    </w:p>
    <w:p>
      <w:pPr>
        <w:spacing w:after="80" w:line="240"/>
        <w:ind w:left="360" w:hanging="360"/>
      </w:pPr>
      <w:r>
        <w:rPr>
          <w:rFonts w:ascii="Calibri" w:cs="Calibri" w:eastAsia="Calibri" w:hAnsi="Calibri"/>
          <w:b/>
          <w:bCs/>
          <w:sz w:val="17"/>
          <w:szCs w:val="17"/>
        </w:rPr>
        <w:t xml:space="preserve">23. </w:t>
      </w:r>
      <w:r>
        <w:rPr>
          <w:rFonts w:ascii="Calibri" w:cs="Calibri" w:eastAsia="Calibri" w:hAnsi="Calibri"/>
          <w:sz w:val="17"/>
          <w:szCs w:val="17"/>
        </w:rPr>
        <w:t xml:space="preserve">CBS Los Angeles, "Cross-Contamination Leaves LAX Terminal Without Water." https://www.cbsnews.com/losangeles/news/cross-contamination-leaves-lax-terminal-without-water/. Cited as a consequence analogue for a non-cyber potable-water contamination event.</w:t>
      </w:r>
    </w:p>
    <w:p>
      <w:pPr>
        <w:spacing w:after="80" w:line="240"/>
        <w:ind w:left="360" w:hanging="360"/>
      </w:pPr>
      <w:r>
        <w:rPr>
          <w:rFonts w:ascii="Calibri" w:cs="Calibri" w:eastAsia="Calibri" w:hAnsi="Calibri"/>
          <w:b/>
          <w:bCs/>
          <w:sz w:val="17"/>
          <w:szCs w:val="17"/>
        </w:rPr>
        <w:t xml:space="preserve">24. </w:t>
      </w:r>
      <w:r>
        <w:rPr>
          <w:rFonts w:ascii="Calibri" w:cs="Calibri" w:eastAsia="Calibri" w:hAnsi="Calibri"/>
          <w:sz w:val="17"/>
          <w:szCs w:val="17"/>
        </w:rPr>
        <w:t xml:space="preserve">Orlando International Airport operator advisory regarding a water system outage affecting Terminals A and B, as reported 7 June 2025. https://www.yahoo.com/news/orlando-airport-faces-water-outage-171432068.html. Operator advisory carried by press; cited as a consequence analogue.</w:t>
      </w:r>
    </w:p>
    <w:p>
      <w:pPr>
        <w:pStyle w:val="Heading3"/>
        <w:keepNext/>
        <w:spacing w:after="90" w:before="190"/>
      </w:pPr>
      <w:r>
        <w:rPr>
          <w:rFonts w:ascii="Calibri" w:cs="Calibri" w:eastAsia="Calibri" w:hAnsi="Calibri"/>
          <w:b/>
          <w:bCs/>
          <w:color w:val="2F2F2F"/>
          <w:sz w:val="21"/>
          <w:szCs w:val="21"/>
        </w:rPr>
        <w:t xml:space="preserve">Appended reference citations</w:t>
      </w:r>
    </w:p>
    <w:p>
      <w:pPr>
        <w:spacing w:after="160" w:before="0" w:line="276"/>
      </w:pPr>
      <w:r>
        <w:rPr>
          <w:rFonts w:ascii="Calibri" w:cs="Calibri" w:eastAsia="Calibri" w:hAnsi="Calibri"/>
          <w:i/>
          <w:iCs/>
          <w:color w:val="525252"/>
          <w:sz w:val="18"/>
          <w:szCs w:val="18"/>
        </w:rPr>
        <w:t xml:space="preserve">The following inform methodology and general context but do not support any specific claim in this product, and are therefore listed as appended reference citations rather than numbered source reference citations.</w:t>
      </w:r>
    </w:p>
    <w:p>
      <w:pPr>
        <w:spacing w:after="80" w:line="240"/>
        <w:ind w:left="360" w:hanging="360"/>
      </w:pPr>
      <w:r>
        <w:rPr>
          <w:rFonts w:ascii="Calibri" w:cs="Calibri" w:eastAsia="Calibri" w:hAnsi="Calibri"/>
          <w:b/>
          <w:bCs/>
          <w:sz w:val="17"/>
          <w:szCs w:val="17"/>
        </w:rPr>
        <w:t xml:space="preserve">A1. </w:t>
      </w:r>
      <w:r>
        <w:rPr>
          <w:rFonts w:ascii="Calibri" w:cs="Calibri" w:eastAsia="Calibri" w:hAnsi="Calibri"/>
          <w:sz w:val="17"/>
          <w:szCs w:val="17"/>
        </w:rPr>
        <w:t xml:space="preserve">Cybersecurity and Infrastructure Security Agency, "Critical Infrastructure Systems," Infrastructure Dependency Primer. https://www.cisa.gov/topics/critical-infrastructure-security-and-resilience/resilience-services/infrastructure-dependency-primer/learn/critical-infrastructure-systems</w:t>
      </w:r>
    </w:p>
    <w:p>
      <w:pPr>
        <w:spacing w:after="80" w:line="240"/>
        <w:ind w:left="360" w:hanging="360"/>
      </w:pPr>
      <w:r>
        <w:rPr>
          <w:rFonts w:ascii="Calibri" w:cs="Calibri" w:eastAsia="Calibri" w:hAnsi="Calibri"/>
          <w:b/>
          <w:bCs/>
          <w:sz w:val="17"/>
          <w:szCs w:val="17"/>
        </w:rPr>
        <w:t xml:space="preserve">A2. </w:t>
      </w:r>
      <w:r>
        <w:rPr>
          <w:rFonts w:ascii="Calibri" w:cs="Calibri" w:eastAsia="Calibri" w:hAnsi="Calibri"/>
          <w:sz w:val="17"/>
          <w:szCs w:val="17"/>
        </w:rPr>
        <w:t xml:space="preserve">Transportation Security Administration, "Cybersecurity OT Smart Practice Guide," version 3. https://www.tsa.gov/sites/default/files/cybersecurity-ot-smart-practice-guide-v3.pdf</w:t>
      </w:r>
    </w:p>
    <w:p>
      <w:pPr>
        <w:spacing w:after="300" w:before="0" w:line="276"/>
      </w:pPr>
      <w:r>
        <w:rPr>
          <w:rFonts w:ascii="Calibri" w:cs="Calibri" w:eastAsia="Calibri" w:hAnsi="Calibri"/>
          <w:sz w:val="21"/>
          <w:szCs w:val="21"/>
        </w:rPr>
        <w:t xml:space="preserve"/>
      </w:r>
    </w:p>
    <w:p>
      <w:pPr>
        <w:spacing w:after="140" w:before="0" w:line="276"/>
        <w:jc w:val="center"/>
      </w:pPr>
      <w:r>
        <w:rPr>
          <w:rFonts w:ascii="Calibri" w:cs="Calibri" w:eastAsia="Calibri" w:hAnsi="Calibri"/>
          <w:b/>
          <w:bCs/>
          <w:sz w:val="21"/>
          <w:szCs w:val="21"/>
        </w:rPr>
        <w:t xml:space="preserve">— End of assessment —</w:t>
      </w:r>
    </w:p>
    <w:p>
      <w:pPr>
        <w:spacing w:after="200" w:before="0" w:line="276"/>
      </w:pPr>
      <w:r>
        <w:rPr>
          <w:rFonts w:ascii="Calibri" w:cs="Calibri" w:eastAsia="Calibri" w:hAnsi="Calibri"/>
          <w:sz w:val="21"/>
          <w:szCs w:val="21"/>
        </w:rPr>
        <w:t xml:space="preserve"/>
      </w:r>
    </w:p>
    <w:p>
      <w:pPr>
        <w:pBdr>
          <w:top w:val="single" w:color="1F3864" w:sz="6" w:space="6"/>
          <w:bottom w:val="single" w:color="1F3864" w:sz="6" w:space="6"/>
          <w:left w:val="single" w:color="1F3864" w:sz="6" w:space="6"/>
          <w:right w:val="single" w:color="1F3864" w:sz="6" w:space="6"/>
        </w:pBdr>
        <w:shd w:fill="EDF1F8" w:color="auto" w:val="clear"/>
        <w:spacing w:after="200" w:before="140" w:line="264"/>
      </w:pPr>
      <w:r>
        <w:rPr>
          <w:rFonts w:ascii="Calibri" w:cs="Calibri" w:eastAsia="Calibri" w:hAnsi="Calibri"/>
          <w:b/>
          <w:bCs/>
          <w:sz w:val="19"/>
          <w:szCs w:val="19"/>
        </w:rPr>
        <w:t xml:space="preserve">Closing disclaimer. This is independent open-source analysis with no official U.S. government standing. It was not produced by, reviewed by, coordinated with, or approved by the Transportation Security Administration, the Department of Homeland Security, or any other federal agency, and it does not represent the position of any agency. Intelligence Community analytic conventions, including ICD 203 and ICD 206 standards, probability and confidence conventions, and structured analytic techniques, are applied as professional methodology and not as a claim of official standing. All source material is publicly available. Nothing in this product is classified, sensitive security information, or for official use only. Operational thresholds, probability judgments, and priority weightings are the author's analytic judgments and should be replaced with facility-specific and agency-approved values before being used for any operational decision.</w:t>
      </w:r>
    </w:p>
    <w:sectPr>
      <w:headerReference w:type="default" r:id="rId7"/>
      <w:footerReference w:type="default" r:id="rId8"/>
      <w:pgSz w:w="12240" w:h="15840" w:orient="portrait"/>
      <w:pgMar w:top="1080" w:right="1440" w:bottom="1080" w:left="144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spacing w:before="60"/>
      <w:jc w:val="center"/>
    </w:pPr>
    <w:r>
      <w:rPr>
        <w:rFonts w:ascii="Calibri" w:cs="Calibri" w:eastAsia="Calibri" w:hAnsi="Calibri"/>
        <w:color w:val="595959"/>
        <w:sz w:val="15"/>
        <w:szCs w:val="15"/>
      </w:rPr>
      <w:t xml:space="preserve">OPEN-SOURCE ANALYSIS — NOT AN OFFICIAL U.S. GOVERNMENT PRODUCT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spacing w:after="60"/>
      <w:jc w:val="center"/>
    </w:pPr>
    <w:r>
      <w:rPr>
        <w:rFonts w:ascii="Calibri" w:cs="Calibri" w:eastAsia="Calibri" w:hAnsi="Calibri"/>
        <w:b/>
        <w:bCs/>
        <w:color w:val="8B1A1A"/>
        <w:sz w:val="15"/>
        <w:szCs w:val="15"/>
      </w:rPr>
      <w:t xml:space="preserve">OPEN-SOURCE ANALYSIS — NOT AN OFFICIAL U.S. GOVERNMENT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2026-08-02T20:25:30.682Z</dcterms:created>
  <dcterms:modified xsi:type="dcterms:W3CDTF">2026-08-02T20:25:30.683Z</dcterms:modified>
</cp:coreProperties>
</file>

<file path=docProps/custom.xml><?xml version="1.0" encoding="utf-8"?>
<Properties xmlns="http://schemas.openxmlformats.org/officeDocument/2006/custom-properties" xmlns:vt="http://schemas.openxmlformats.org/officeDocument/2006/docPropsVTypes"/>
</file>