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2"/>
        </w:rPr>
        <w:t>TSSRA Open-Source AI Pilot</w:t>
      </w:r>
    </w:p>
    <w:p>
      <w:pPr>
        <w:jc w:val="center"/>
      </w:pPr>
      <w:r>
        <w:rPr>
          <w:b/>
          <w:color w:val="2F75B5"/>
          <w:sz w:val="32"/>
        </w:rPr>
        <w:t>Sources, Methodology, Assumptions, and Initial Conditional Estimates</w:t>
      </w:r>
    </w:p>
    <w:p>
      <w:pPr>
        <w:spacing w:before="360"/>
        <w:jc w:val="center"/>
      </w:pPr>
      <w:r>
        <w:rPr>
          <w:sz w:val="22"/>
        </w:rPr>
        <w:t>Covers all 16 listed TSSRA 9.0 outcome families and five consequence target archetypes</w:t>
      </w:r>
    </w:p>
    <w:p>
      <w:pPr>
        <w:spacing w:before="600"/>
        <w:jc w:val="center"/>
      </w:pPr>
      <w:r>
        <w:t>Pilot version 1.5</w:t>
        <w:br/>
        <w:t>Generated August 3, 2026</w:t>
      </w:r>
    </w:p>
    <w:p>
      <w:pPr>
        <w:spacing w:before="800"/>
        <w:jc w:val="center"/>
      </w:pPr>
      <w:r>
        <w:rPr>
          <w:b/>
          <w:color w:val="C00000"/>
          <w:sz w:val="24"/>
        </w:rPr>
        <w:t>OPEN-SOURCE EXPLORATORY PRODUCT</w:t>
      </w:r>
    </w:p>
    <w:p>
      <w:pPr>
        <w:jc w:val="center"/>
      </w:pPr>
      <w:r>
        <w:t>Not an approved TSSRA estimate, threat assessment, operational plan, or substitute for DHS/SRAD analytic judgment.</w:t>
      </w:r>
    </w:p>
    <w:p>
      <w:r>
        <w:rPr>
          <w:i/>
        </w:rPr>
        <w:t xml:space="preserve">Revision note (v1.5, cross-sector detail): Section 7.3 is disaggregated to show each target effect across every CISA sector; the aggregated sector list is replaced by the full target-by-sector matrix. No estimates changed.</w:t>
      </w:r>
    </w:p>
    <w:p>
      <w:r>
        <w:t xml:space="preserve">Revision 1.3 supersedes 1.0 through 1.2. The estimate values in this revision differ from 1.0: the weapon-class injury method and the regulatory-delay restoration method, documented in revisions 1.1 and 1.2, are now applied in the calculations rather than described alongside them. Scenario P50 direct cost rises 33.3 percent and target consequences rise 13.8 percent on comparable durations. No underlying casualty, property-damage, or throughput input was changed.</w:t>
      </w:r>
    </w:p>
    <w:p>
      <w:r>
        <w:br w:type="page"/>
      </w:r>
    </w:p>
    <w:p>
      <w:pPr>
        <w:pStyle w:val="Heading1"/>
      </w:pPr>
      <w:r>
        <w:t>Contents</w:t>
      </w:r>
    </w:p>
    <w:p>
      <w:r>
        <w:t>1. Executive Summary</w:t>
      </w:r>
    </w:p>
    <w:p>
      <w:r>
        <w:t>2. Purpose, Scope, and Security Boundary</w:t>
      </w:r>
    </w:p>
    <w:p>
      <w:r>
        <w:t>3. Analytic Architecture</w:t>
      </w:r>
    </w:p>
    <w:p>
      <w:r>
        <w:t>4. Data and Source Methodology</w:t>
      </w:r>
    </w:p>
    <w:p>
      <w:r>
        <w:t>5. Outcome Estimation Method</w:t>
      </w:r>
    </w:p>
    <w:p>
      <w:r>
        <w:t>6. Consequence Estimation Method</w:t>
      </w:r>
    </w:p>
    <w:p>
      <w:r>
        <w:t>7. Cross-Sector Impacts</w:t>
      </w:r>
    </w:p>
    <w:p>
      <w:r>
        <w:t>8. Scenario-by-Scenario Pilot Results</w:t>
      </w:r>
    </w:p>
    <w:p>
      <w:r>
        <w:t>9. Consequence Target Results</w:t>
      </w:r>
    </w:p>
    <w:p>
      <w:r>
        <w:t>10. Key Judgments and Decisions Required</w:t>
      </w:r>
    </w:p>
    <w:p>
      <w:r>
        <w:t>11. Limitations and Validation Plan</w:t>
      </w:r>
    </w:p>
    <w:p>
      <w:r>
        <w:t>Endnotes</w:t>
      </w:r>
    </w:p>
    <w:p>
      <w:r>
        <w:br w:type="page"/>
      </w:r>
    </w:p>
    <w:p>
      <w:pPr>
        <w:pStyle w:val="Heading1"/>
      </w:pPr>
      <w:r>
        <w:t>1. Executive Summary</w:t>
      </w:r>
    </w:p>
    <w:p>
      <w:r>
        <w:rPr>
          <w:b/>
        </w:rPr>
        <w:t xml:space="preserve">This pilot applies a consistent, traceable open-source method to every scenario supplied by the user. </w:t>
      </w:r>
      <w:r>
        <w:t>It generates conditional P10, P50, and P90 estimates for deaths, injuries, property damage, and direct monetary consequence, and it separately estimates first- and second-order consequences for five transportation target archetypes across outages from four hours to 30 days.</w:t>
      </w:r>
    </w:p>
    <w:p>
      <w:r>
        <w:t xml:space="preserve">The analysis uses the U.S. Department of Transportation's current $14.2 million value of a statistical life in 2025 dollars. Injury value is derived from weapon-class severity mixes rather than a single averaged injury-severity fraction, and second-order consequence uses effective outage duration that adds the federal regulatory-delay lifecycle to engineering restoration. </w:t>
      </w:r>
      <w:r>
        <w:rPr>
          <w:sz w:val="14"/>
          <w:vertAlign w:val="superscript"/>
        </w:rPr>
        <w:t>[1]</w:t>
      </w:r>
      <w:r>
        <w:t xml:space="preserve"> Second-order consequence methods are structured around BEA input-output relationships, CISA's 16-sector taxonomy, aviation economic-impact methods, and freight-flow data. </w:t>
      </w:r>
      <w:r>
        <w:rPr>
          <w:sz w:val="14"/>
          <w:vertAlign w:val="superscript"/>
        </w:rPr>
        <w:t>[2,3,19,20]</w:t>
      </w:r>
    </w:p>
    <w:p>
      <w:pPr>
        <w:pStyle w:val="ListBullet"/>
      </w:pPr>
      <w:r>
        <w:t>All 16 listed outcome families are represented. Their combined P50 direct cost is $3.71 billion.</w:t>
      </w:r>
    </w:p>
    <w:p>
      <w:pPr>
        <w:pStyle w:val="ListBullet"/>
      </w:pPr>
      <w:r>
        <w:t>All five consequence target archetypes are represented: pipeline segment, pump station, compressor station, airport terminal, and freight rail, each across nine outage durations from four hours to 90 days.</w:t>
      </w:r>
    </w:p>
    <w:p>
      <w:pPr>
        <w:pStyle w:val="ListBullet"/>
      </w:pPr>
      <w:r>
        <w:t>The model explicitly separates observed evidence, analogous evidence, mechanistic estimates, and analyst assumptions.</w:t>
      </w:r>
    </w:p>
    <w:p>
      <w:pPr>
        <w:pStyle w:val="ListBullet"/>
      </w:pPr>
      <w:r>
        <w:t>Sparse-event families—particularly UAS, cargo/public-charter hijacking, pipeline ICS assault, and chemical/biological scenarios—remain low confidence.</w:t>
      </w:r>
    </w:p>
    <w:p>
      <w:pPr>
        <w:pStyle w:val="ListBullet"/>
      </w:pPr>
      <w:r>
        <w:t>The estimates are conditional consequences, not attack probabilities, frequencies, or expected annual losses.</w:t>
      </w:r>
    </w:p>
    <w:p>
      <w:pPr>
        <w:pStyle w:val="ListBullet"/>
      </w:pPr>
      <w:r>
        <w:t>All values are editable in the companion spreadsheet so DHS-approved internal inputs can replace the public pilot parameters.</w:t>
      </w:r>
    </w:p>
    <w:p>
      <w:pPr>
        <w:pStyle w:val="Heading2"/>
      </w:pPr>
      <w:r>
        <w:t>Pilot-level central estimates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2F75B5"/>
          </w:tcPr>
          <w:p>
            <w:r>
              <w:rPr>
                <w:color w:val="FFFFFF"/>
              </w:rPr>
              <w:t>ID</w:t>
            </w:r>
          </w:p>
        </w:tc>
        <w:tc>
          <w:tcPr>
            <w:tcW w:type="dxa" w:w="2045"/>
            <w:shd w:fill="2F75B5"/>
          </w:tcPr>
          <w:p>
            <w:r>
              <w:rPr>
                <w:color w:val="FFFFFF"/>
              </w:rPr>
              <w:t>Scenario</w:t>
            </w:r>
          </w:p>
        </w:tc>
        <w:tc>
          <w:tcPr>
            <w:tcW w:type="dxa" w:w="2045"/>
            <w:shd w:fill="2F75B5"/>
          </w:tcPr>
          <w:p>
            <w:r>
              <w:rPr>
                <w:color w:val="FFFFFF"/>
              </w:rPr>
              <w:t>P50 Deaths</w:t>
            </w:r>
          </w:p>
        </w:tc>
        <w:tc>
          <w:tcPr>
            <w:tcW w:type="dxa" w:w="2045"/>
            <w:shd w:fill="2F75B5"/>
          </w:tcPr>
          <w:p>
            <w:r>
              <w:rPr>
                <w:color w:val="FFFFFF"/>
              </w:rPr>
              <w:t>P50 Injuries</w:t>
            </w:r>
          </w:p>
        </w:tc>
        <w:tc>
          <w:tcPr>
            <w:tcW w:type="dxa" w:w="2045"/>
            <w:shd w:fill="2F75B5"/>
          </w:tcPr>
          <w:p>
            <w:r>
              <w:rPr>
                <w:color w:val="FFFFFF"/>
              </w:rPr>
              <w:t>P50 Direct Cost</w:t>
            </w:r>
          </w:p>
        </w:tc>
      </w:tr>
      <w:tr>
        <w:tc>
          <w:tcPr>
            <w:tcW w:type="dxa" w:w="2045"/>
            <w:vAlign w:val="center"/>
            <w:tcMar>
              <w:top w:w="80" w:type="dxa"/>
              <w:start w:w="80" w:type="dxa"/>
              <w:bottom w:w="80" w:type="dxa"/>
              <w:end w:w="80" w:type="dxa"/>
            </w:tcMar>
          </w:tcPr>
          <w:p>
            <w:pPr>
              <w:pStyle w:val="TableSmall"/>
            </w:pPr>
            <w:r>
              <w:t>AV-01</w:t>
            </w:r>
          </w:p>
        </w:tc>
        <w:tc>
          <w:tcPr>
            <w:tcW w:type="dxa" w:w="2045"/>
            <w:vAlign w:val="center"/>
            <w:tcMar>
              <w:top w:w="80" w:type="dxa"/>
              <w:start w:w="80" w:type="dxa"/>
              <w:bottom w:w="80" w:type="dxa"/>
              <w:end w:w="80" w:type="dxa"/>
            </w:tcMar>
          </w:tcPr>
          <w:p>
            <w:pPr>
              <w:pStyle w:val="TableSmall"/>
            </w:pPr>
            <w:r>
              <w:t>All UAS against aviation</w:t>
            </w:r>
          </w:p>
        </w:tc>
        <w:tc>
          <w:tcPr>
            <w:tcW w:type="dxa" w:w="2045"/>
            <w:vAlign w:val="center"/>
            <w:tcMar>
              <w:top w:w="80" w:type="dxa"/>
              <w:start w:w="80" w:type="dxa"/>
              <w:bottom w:w="80" w:type="dxa"/>
              <w:end w:w="80" w:type="dxa"/>
            </w:tcMar>
          </w:tcPr>
          <w:p>
            <w:pPr>
              <w:pStyle w:val="TableSmall"/>
            </w:pPr>
            <w:r>
              <w:t>1</w:t>
            </w:r>
          </w:p>
        </w:tc>
        <w:tc>
          <w:tcPr>
            <w:tcW w:type="dxa" w:w="2045"/>
            <w:vAlign w:val="center"/>
            <w:tcMar>
              <w:top w:w="80" w:type="dxa"/>
              <w:start w:w="80" w:type="dxa"/>
              <w:bottom w:w="80" w:type="dxa"/>
              <w:end w:w="80" w:type="dxa"/>
            </w:tcMar>
          </w:tcPr>
          <w:p>
            <w:pPr>
              <w:pStyle w:val="TableSmall"/>
            </w:pPr>
            <w:r>
              <w:t>15</w:t>
            </w:r>
          </w:p>
        </w:tc>
        <w:tc>
          <w:tcPr>
            <w:tcW w:type="dxa" w:w="2045"/>
            <w:vAlign w:val="center"/>
            <w:tcMar>
              <w:top w:w="80" w:type="dxa"/>
              <w:start w:w="80" w:type="dxa"/>
              <w:bottom w:w="80" w:type="dxa"/>
              <w:end w:w="80" w:type="dxa"/>
            </w:tcMar>
          </w:tcPr>
          <w:p>
            <w:pPr>
              <w:pStyle w:val="TableSmall"/>
            </w:pPr>
            <w:r>
              <w:t>$58.5M</w:t>
            </w:r>
          </w:p>
        </w:tc>
      </w:tr>
      <w:tr>
        <w:tc>
          <w:tcPr>
            <w:tcW w:type="dxa" w:w="2045"/>
            <w:vAlign w:val="center"/>
            <w:tcMar>
              <w:top w:w="80" w:type="dxa"/>
              <w:start w:w="80" w:type="dxa"/>
              <w:bottom w:w="80" w:type="dxa"/>
              <w:end w:w="80" w:type="dxa"/>
            </w:tcMar>
          </w:tcPr>
          <w:p>
            <w:pPr>
              <w:pStyle w:val="TableSmall"/>
            </w:pPr>
            <w:r>
              <w:t>AV-02</w:t>
            </w:r>
          </w:p>
        </w:tc>
        <w:tc>
          <w:tcPr>
            <w:tcW w:type="dxa" w:w="2045"/>
            <w:vAlign w:val="center"/>
            <w:tcMar>
              <w:top w:w="80" w:type="dxa"/>
              <w:start w:w="80" w:type="dxa"/>
              <w:bottom w:w="80" w:type="dxa"/>
              <w:end w:w="80" w:type="dxa"/>
            </w:tcMar>
          </w:tcPr>
          <w:p>
            <w:pPr>
              <w:pStyle w:val="TableSmall"/>
            </w:pPr>
            <w:r>
              <w:t>Aircraft assault on ground</w:t>
            </w:r>
          </w:p>
        </w:tc>
        <w:tc>
          <w:tcPr>
            <w:tcW w:type="dxa" w:w="2045"/>
            <w:vAlign w:val="center"/>
            <w:tcMar>
              <w:top w:w="80" w:type="dxa"/>
              <w:start w:w="80" w:type="dxa"/>
              <w:bottom w:w="80" w:type="dxa"/>
              <w:end w:w="80" w:type="dxa"/>
            </w:tcMar>
          </w:tcPr>
          <w:p>
            <w:pPr>
              <w:pStyle w:val="TableSmall"/>
            </w:pPr>
            <w:r>
              <w:t>8</w:t>
            </w:r>
          </w:p>
        </w:tc>
        <w:tc>
          <w:tcPr>
            <w:tcW w:type="dxa" w:w="2045"/>
            <w:vAlign w:val="center"/>
            <w:tcMar>
              <w:top w:w="80" w:type="dxa"/>
              <w:start w:w="80" w:type="dxa"/>
              <w:bottom w:w="80" w:type="dxa"/>
              <w:end w:w="80" w:type="dxa"/>
            </w:tcMar>
          </w:tcPr>
          <w:p>
            <w:pPr>
              <w:pStyle w:val="TableSmall"/>
            </w:pPr>
            <w:r>
              <w:t>25</w:t>
            </w:r>
          </w:p>
        </w:tc>
        <w:tc>
          <w:tcPr>
            <w:tcW w:type="dxa" w:w="2045"/>
            <w:vAlign w:val="center"/>
            <w:tcMar>
              <w:top w:w="80" w:type="dxa"/>
              <w:start w:w="80" w:type="dxa"/>
              <w:bottom w:w="80" w:type="dxa"/>
              <w:end w:w="80" w:type="dxa"/>
            </w:tcMar>
          </w:tcPr>
          <w:p>
            <w:pPr>
              <w:pStyle w:val="TableSmall"/>
            </w:pPr>
            <w:r>
              <w:t>$169.9M</w:t>
            </w:r>
          </w:p>
        </w:tc>
      </w:tr>
      <w:tr>
        <w:tc>
          <w:tcPr>
            <w:tcW w:type="dxa" w:w="2045"/>
            <w:vAlign w:val="center"/>
            <w:tcMar>
              <w:top w:w="80" w:type="dxa"/>
              <w:start w:w="80" w:type="dxa"/>
              <w:bottom w:w="80" w:type="dxa"/>
              <w:end w:w="80" w:type="dxa"/>
            </w:tcMar>
          </w:tcPr>
          <w:p>
            <w:pPr>
              <w:pStyle w:val="TableSmall"/>
            </w:pPr>
            <w:r>
              <w:t>AV-03</w:t>
            </w:r>
          </w:p>
        </w:tc>
        <w:tc>
          <w:tcPr>
            <w:tcW w:type="dxa" w:w="2045"/>
            <w:vAlign w:val="center"/>
            <w:tcMar>
              <w:top w:w="80" w:type="dxa"/>
              <w:start w:w="80" w:type="dxa"/>
              <w:bottom w:w="80" w:type="dxa"/>
              <w:end w:w="80" w:type="dxa"/>
            </w:tcMar>
          </w:tcPr>
          <w:p>
            <w:pPr>
              <w:pStyle w:val="TableSmall"/>
            </w:pPr>
            <w:r>
              <w:t>Aircraft passenger assault with bladed weapons</w:t>
            </w:r>
          </w:p>
        </w:tc>
        <w:tc>
          <w:tcPr>
            <w:tcW w:type="dxa" w:w="2045"/>
            <w:vAlign w:val="center"/>
            <w:tcMar>
              <w:top w:w="80" w:type="dxa"/>
              <w:start w:w="80" w:type="dxa"/>
              <w:bottom w:w="80" w:type="dxa"/>
              <w:end w:w="80" w:type="dxa"/>
            </w:tcMar>
          </w:tcPr>
          <w:p>
            <w:pPr>
              <w:pStyle w:val="TableSmall"/>
            </w:pPr>
            <w:r>
              <w:t>2</w:t>
            </w:r>
          </w:p>
        </w:tc>
        <w:tc>
          <w:tcPr>
            <w:tcW w:type="dxa" w:w="2045"/>
            <w:vAlign w:val="center"/>
            <w:tcMar>
              <w:top w:w="80" w:type="dxa"/>
              <w:start w:w="80" w:type="dxa"/>
              <w:bottom w:w="80" w:type="dxa"/>
              <w:end w:w="80" w:type="dxa"/>
            </w:tcMar>
          </w:tcPr>
          <w:p>
            <w:pPr>
              <w:pStyle w:val="TableSmall"/>
            </w:pPr>
            <w:r>
              <w:t>8</w:t>
            </w:r>
          </w:p>
        </w:tc>
        <w:tc>
          <w:tcPr>
            <w:tcW w:type="dxa" w:w="2045"/>
            <w:vAlign w:val="center"/>
            <w:tcMar>
              <w:top w:w="80" w:type="dxa"/>
              <w:start w:w="80" w:type="dxa"/>
              <w:bottom w:w="80" w:type="dxa"/>
              <w:end w:w="80" w:type="dxa"/>
            </w:tcMar>
          </w:tcPr>
          <w:p>
            <w:pPr>
              <w:pStyle w:val="TableSmall"/>
            </w:pPr>
            <w:r>
              <w:t>$40.5M</w:t>
            </w:r>
          </w:p>
        </w:tc>
      </w:tr>
      <w:tr>
        <w:tc>
          <w:tcPr>
            <w:tcW w:type="dxa" w:w="2045"/>
            <w:vAlign w:val="center"/>
            <w:tcMar>
              <w:top w:w="80" w:type="dxa"/>
              <w:start w:w="80" w:type="dxa"/>
              <w:bottom w:w="80" w:type="dxa"/>
              <w:end w:w="80" w:type="dxa"/>
            </w:tcMar>
          </w:tcPr>
          <w:p>
            <w:pPr>
              <w:pStyle w:val="TableSmall"/>
            </w:pPr>
            <w:r>
              <w:t>AV-04</w:t>
            </w:r>
          </w:p>
        </w:tc>
        <w:tc>
          <w:tcPr>
            <w:tcW w:type="dxa" w:w="2045"/>
            <w:vAlign w:val="center"/>
            <w:tcMar>
              <w:top w:w="80" w:type="dxa"/>
              <w:start w:w="80" w:type="dxa"/>
              <w:bottom w:w="80" w:type="dxa"/>
              <w:end w:w="80" w:type="dxa"/>
            </w:tcMar>
          </w:tcPr>
          <w:p>
            <w:pPr>
              <w:pStyle w:val="TableSmall"/>
            </w:pPr>
            <w:r>
              <w:t>Airport passenger assembly assault</w:t>
            </w:r>
          </w:p>
        </w:tc>
        <w:tc>
          <w:tcPr>
            <w:tcW w:type="dxa" w:w="2045"/>
            <w:vAlign w:val="center"/>
            <w:tcMar>
              <w:top w:w="80" w:type="dxa"/>
              <w:start w:w="80" w:type="dxa"/>
              <w:bottom w:w="80" w:type="dxa"/>
              <w:end w:w="80" w:type="dxa"/>
            </w:tcMar>
          </w:tcPr>
          <w:p>
            <w:pPr>
              <w:pStyle w:val="TableSmall"/>
            </w:pPr>
            <w:r>
              <w:t>10</w:t>
            </w:r>
          </w:p>
        </w:tc>
        <w:tc>
          <w:tcPr>
            <w:tcW w:type="dxa" w:w="2045"/>
            <w:vAlign w:val="center"/>
            <w:tcMar>
              <w:top w:w="80" w:type="dxa"/>
              <w:start w:w="80" w:type="dxa"/>
              <w:bottom w:w="80" w:type="dxa"/>
              <w:end w:w="80" w:type="dxa"/>
            </w:tcMar>
          </w:tcPr>
          <w:p>
            <w:pPr>
              <w:pStyle w:val="TableSmall"/>
            </w:pPr>
            <w:r>
              <w:t>45</w:t>
            </w:r>
          </w:p>
        </w:tc>
        <w:tc>
          <w:tcPr>
            <w:tcW w:type="dxa" w:w="2045"/>
            <w:vAlign w:val="center"/>
            <w:tcMar>
              <w:top w:w="80" w:type="dxa"/>
              <w:start w:w="80" w:type="dxa"/>
              <w:bottom w:w="80" w:type="dxa"/>
              <w:end w:w="80" w:type="dxa"/>
            </w:tcMar>
          </w:tcPr>
          <w:p>
            <w:pPr>
              <w:pStyle w:val="TableSmall"/>
            </w:pPr>
            <w:r>
              <w:t>$212.4M</w:t>
            </w:r>
          </w:p>
        </w:tc>
      </w:tr>
      <w:tr>
        <w:tc>
          <w:tcPr>
            <w:tcW w:type="dxa" w:w="2045"/>
            <w:vAlign w:val="center"/>
            <w:tcMar>
              <w:top w:w="80" w:type="dxa"/>
              <w:start w:w="80" w:type="dxa"/>
              <w:bottom w:w="80" w:type="dxa"/>
              <w:end w:w="80" w:type="dxa"/>
            </w:tcMar>
          </w:tcPr>
          <w:p>
            <w:pPr>
              <w:pStyle w:val="TableSmall"/>
            </w:pPr>
            <w:r>
              <w:t xml:space="preserve">AV-05a</w:t>
            </w:r>
          </w:p>
        </w:tc>
        <w:tc>
          <w:tcPr>
            <w:tcW w:type="dxa" w:w="2045"/>
            <w:vAlign w:val="center"/>
            <w:tcMar>
              <w:top w:w="80" w:type="dxa"/>
              <w:start w:w="80" w:type="dxa"/>
              <w:bottom w:w="80" w:type="dxa"/>
              <w:end w:w="80" w:type="dxa"/>
            </w:tcMar>
          </w:tcPr>
          <w:p>
            <w:pPr>
              <w:pStyle w:val="TableSmall"/>
            </w:pPr>
            <w:r>
              <w:t xml:space="preserve">Passenger hijacking - traditional</w:t>
            </w:r>
          </w:p>
        </w:tc>
        <w:tc>
          <w:tcPr>
            <w:tcW w:type="dxa" w:w="2045"/>
            <w:vAlign w:val="center"/>
            <w:tcMar>
              <w:top w:w="80" w:type="dxa"/>
              <w:start w:w="80" w:type="dxa"/>
              <w:bottom w:w="80" w:type="dxa"/>
              <w:end w:w="80" w:type="dxa"/>
            </w:tcMar>
          </w:tcPr>
          <w:p>
            <w:pPr>
              <w:pStyle w:val="TableSmall"/>
            </w:pPr>
            <w:r>
              <w:t xml:space="preserve">2</w:t>
            </w:r>
          </w:p>
        </w:tc>
        <w:tc>
          <w:tcPr>
            <w:tcW w:type="dxa" w:w="2045"/>
            <w:vAlign w:val="center"/>
            <w:tcMar>
              <w:top w:w="80" w:type="dxa"/>
              <w:start w:w="80" w:type="dxa"/>
              <w:bottom w:w="80" w:type="dxa"/>
              <w:end w:w="80" w:type="dxa"/>
            </w:tcMar>
          </w:tcPr>
          <w:p>
            <w:pPr>
              <w:pStyle w:val="TableSmall"/>
            </w:pPr>
            <w:r>
              <w:t xml:space="preserve">15</w:t>
            </w:r>
          </w:p>
        </w:tc>
        <w:tc>
          <w:tcPr>
            <w:tcW w:type="dxa" w:w="2045"/>
            <w:vAlign w:val="center"/>
            <w:tcMar>
              <w:top w:w="80" w:type="dxa"/>
              <w:start w:w="80" w:type="dxa"/>
              <w:bottom w:w="80" w:type="dxa"/>
              <w:end w:w="80" w:type="dxa"/>
            </w:tcMar>
          </w:tcPr>
          <w:p>
            <w:pPr>
              <w:pStyle w:val="TableSmall"/>
            </w:pPr>
            <w:r>
              <w:t xml:space="preserve">$70.2M</w:t>
            </w:r>
          </w:p>
        </w:tc>
      </w:tr>
      <w:tr>
        <w:tc>
          <w:tcPr>
            <w:tcW w:type="dxa" w:w="2045"/>
            <w:vAlign w:val="center"/>
            <w:tcMar>
              <w:top w:w="80" w:type="dxa"/>
              <w:start w:w="80" w:type="dxa"/>
              <w:bottom w:w="80" w:type="dxa"/>
              <w:end w:w="80" w:type="dxa"/>
            </w:tcMar>
          </w:tcPr>
          <w:p>
            <w:pPr>
              <w:pStyle w:val="TableSmall"/>
            </w:pPr>
            <w:r>
              <w:t xml:space="preserve">AV-05b</w:t>
            </w:r>
          </w:p>
        </w:tc>
        <w:tc>
          <w:tcPr>
            <w:tcW w:type="dxa" w:w="2045"/>
            <w:vAlign w:val="center"/>
            <w:tcMar>
              <w:top w:w="80" w:type="dxa"/>
              <w:start w:w="80" w:type="dxa"/>
              <w:bottom w:w="80" w:type="dxa"/>
              <w:end w:w="80" w:type="dxa"/>
            </w:tcMar>
          </w:tcPr>
          <w:p>
            <w:pPr>
              <w:pStyle w:val="TableSmall"/>
            </w:pPr>
            <w:r>
              <w:t xml:space="preserve">Passenger hijacking - aircraft as weapon (9/11-style)</w:t>
            </w:r>
          </w:p>
        </w:tc>
        <w:tc>
          <w:tcPr>
            <w:tcW w:type="dxa" w:w="2045"/>
            <w:vAlign w:val="center"/>
            <w:tcMar>
              <w:top w:w="80" w:type="dxa"/>
              <w:start w:w="80" w:type="dxa"/>
              <w:bottom w:w="80" w:type="dxa"/>
              <w:end w:w="80" w:type="dxa"/>
            </w:tcMar>
          </w:tcPr>
          <w:p>
            <w:pPr>
              <w:pStyle w:val="TableSmall"/>
            </w:pPr>
            <w:r>
              <w:t xml:space="preserve">500</w:t>
            </w:r>
          </w:p>
        </w:tc>
        <w:tc>
          <w:tcPr>
            <w:tcW w:type="dxa" w:w="2045"/>
            <w:vAlign w:val="center"/>
            <w:tcMar>
              <w:top w:w="80" w:type="dxa"/>
              <w:start w:w="80" w:type="dxa"/>
              <w:bottom w:w="80" w:type="dxa"/>
              <w:end w:w="80" w:type="dxa"/>
            </w:tcMar>
          </w:tcPr>
          <w:p>
            <w:pPr>
              <w:pStyle w:val="TableSmall"/>
            </w:pPr>
            <w:r>
              <w:t xml:space="preserve">800</w:t>
            </w:r>
          </w:p>
        </w:tc>
        <w:tc>
          <w:tcPr>
            <w:tcW w:type="dxa" w:w="2045"/>
            <w:vAlign w:val="center"/>
            <w:tcMar>
              <w:top w:w="80" w:type="dxa"/>
              <w:start w:w="80" w:type="dxa"/>
              <w:bottom w:w="80" w:type="dxa"/>
              <w:end w:w="80" w:type="dxa"/>
            </w:tcMar>
          </w:tcPr>
          <w:p>
            <w:pPr>
              <w:pStyle w:val="TableSmall"/>
            </w:pPr>
            <w:r>
              <w:t xml:space="preserve">$13.93B</w:t>
            </w:r>
          </w:p>
        </w:tc>
      </w:tr>
      <w:tr>
        <w:tc>
          <w:tcPr>
            <w:tcW w:type="dxa" w:w="2045"/>
            <w:vAlign w:val="center"/>
            <w:tcMar>
              <w:top w:w="80" w:type="dxa"/>
              <w:start w:w="80" w:type="dxa"/>
              <w:bottom w:w="80" w:type="dxa"/>
              <w:end w:w="80" w:type="dxa"/>
            </w:tcMar>
          </w:tcPr>
          <w:p>
            <w:pPr>
              <w:pStyle w:val="TableSmall"/>
            </w:pPr>
            <w:r>
              <w:t xml:space="preserve">AV-06a</w:t>
            </w:r>
          </w:p>
        </w:tc>
        <w:tc>
          <w:tcPr>
            <w:tcW w:type="dxa" w:w="2045"/>
            <w:vAlign w:val="center"/>
            <w:tcMar>
              <w:top w:w="80" w:type="dxa"/>
              <w:start w:w="80" w:type="dxa"/>
              <w:bottom w:w="80" w:type="dxa"/>
              <w:end w:w="80" w:type="dxa"/>
            </w:tcMar>
          </w:tcPr>
          <w:p>
            <w:pPr>
              <w:pStyle w:val="TableSmall"/>
            </w:pPr>
            <w:r>
              <w:t xml:space="preserve">Cargo hijacking - traditional</w:t>
            </w:r>
          </w:p>
        </w:tc>
        <w:tc>
          <w:tcPr>
            <w:tcW w:type="dxa" w:w="2045"/>
            <w:vAlign w:val="center"/>
            <w:tcMar>
              <w:top w:w="80" w:type="dxa"/>
              <w:start w:w="80" w:type="dxa"/>
              <w:bottom w:w="80" w:type="dxa"/>
              <w:end w:w="80" w:type="dxa"/>
            </w:tcMar>
          </w:tcPr>
          <w:p>
            <w:pPr>
              <w:pStyle w:val="TableSmall"/>
            </w:pPr>
            <w:r>
              <w:t xml:space="preserve">1</w:t>
            </w:r>
          </w:p>
        </w:tc>
        <w:tc>
          <w:tcPr>
            <w:tcW w:type="dxa" w:w="2045"/>
            <w:vAlign w:val="center"/>
            <w:tcMar>
              <w:top w:w="80" w:type="dxa"/>
              <w:start w:w="80" w:type="dxa"/>
              <w:bottom w:w="80" w:type="dxa"/>
              <w:end w:w="80" w:type="dxa"/>
            </w:tcMar>
          </w:tcPr>
          <w:p>
            <w:pPr>
              <w:pStyle w:val="TableSmall"/>
            </w:pPr>
            <w:r>
              <w:t xml:space="preserve">4</w:t>
            </w:r>
          </w:p>
        </w:tc>
        <w:tc>
          <w:tcPr>
            <w:tcW w:type="dxa" w:w="2045"/>
            <w:vAlign w:val="center"/>
            <w:tcMar>
              <w:top w:w="80" w:type="dxa"/>
              <w:start w:w="80" w:type="dxa"/>
              <w:bottom w:w="80" w:type="dxa"/>
              <w:end w:w="80" w:type="dxa"/>
            </w:tcMar>
          </w:tcPr>
          <w:p>
            <w:pPr>
              <w:pStyle w:val="TableSmall"/>
            </w:pPr>
            <w:r>
              <w:t xml:space="preserve">$45.0M</w:t>
            </w:r>
          </w:p>
        </w:tc>
      </w:tr>
      <w:tr>
        <w:tc>
          <w:tcPr>
            <w:tcW w:type="dxa" w:w="2045"/>
            <w:vAlign w:val="center"/>
            <w:tcMar>
              <w:top w:w="80" w:type="dxa"/>
              <w:start w:w="80" w:type="dxa"/>
              <w:bottom w:w="80" w:type="dxa"/>
              <w:end w:w="80" w:type="dxa"/>
            </w:tcMar>
          </w:tcPr>
          <w:p>
            <w:pPr>
              <w:pStyle w:val="TableSmall"/>
            </w:pPr>
            <w:r>
              <w:t xml:space="preserve">AV-06b</w:t>
            </w:r>
          </w:p>
        </w:tc>
        <w:tc>
          <w:tcPr>
            <w:tcW w:type="dxa" w:w="2045"/>
            <w:vAlign w:val="center"/>
            <w:tcMar>
              <w:top w:w="80" w:type="dxa"/>
              <w:start w:w="80" w:type="dxa"/>
              <w:bottom w:w="80" w:type="dxa"/>
              <w:end w:w="80" w:type="dxa"/>
            </w:tcMar>
          </w:tcPr>
          <w:p>
            <w:pPr>
              <w:pStyle w:val="TableSmall"/>
            </w:pPr>
            <w:r>
              <w:t xml:space="preserve">Cargo hijacking - aircraft as weapon</w:t>
            </w:r>
          </w:p>
        </w:tc>
        <w:tc>
          <w:tcPr>
            <w:tcW w:type="dxa" w:w="2045"/>
            <w:vAlign w:val="center"/>
            <w:tcMar>
              <w:top w:w="80" w:type="dxa"/>
              <w:start w:w="80" w:type="dxa"/>
              <w:bottom w:w="80" w:type="dxa"/>
              <w:end w:w="80" w:type="dxa"/>
            </w:tcMar>
          </w:tcPr>
          <w:p>
            <w:pPr>
              <w:pStyle w:val="TableSmall"/>
            </w:pPr>
            <w:r>
              <w:t xml:space="preserve">300</w:t>
            </w:r>
          </w:p>
        </w:tc>
        <w:tc>
          <w:tcPr>
            <w:tcW w:type="dxa" w:w="2045"/>
            <w:vAlign w:val="center"/>
            <w:tcMar>
              <w:top w:w="80" w:type="dxa"/>
              <w:start w:w="80" w:type="dxa"/>
              <w:bottom w:w="80" w:type="dxa"/>
              <w:end w:w="80" w:type="dxa"/>
            </w:tcMar>
          </w:tcPr>
          <w:p>
            <w:pPr>
              <w:pStyle w:val="TableSmall"/>
            </w:pPr>
            <w:r>
              <w:t xml:space="preserve">500</w:t>
            </w:r>
          </w:p>
        </w:tc>
        <w:tc>
          <w:tcPr>
            <w:tcW w:type="dxa" w:w="2045"/>
            <w:vAlign w:val="center"/>
            <w:tcMar>
              <w:top w:w="80" w:type="dxa"/>
              <w:start w:w="80" w:type="dxa"/>
              <w:bottom w:w="80" w:type="dxa"/>
              <w:end w:w="80" w:type="dxa"/>
            </w:tcMar>
          </w:tcPr>
          <w:p>
            <w:pPr>
              <w:pStyle w:val="TableSmall"/>
            </w:pPr>
            <w:r>
              <w:t xml:space="preserve">$8.40B</w:t>
            </w:r>
          </w:p>
        </w:tc>
      </w:tr>
      <w:tr>
        <w:tc>
          <w:tcPr>
            <w:tcW w:type="dxa" w:w="2045"/>
            <w:vAlign w:val="center"/>
            <w:tcMar>
              <w:top w:w="80" w:type="dxa"/>
              <w:start w:w="80" w:type="dxa"/>
              <w:bottom w:w="80" w:type="dxa"/>
              <w:end w:w="80" w:type="dxa"/>
            </w:tcMar>
          </w:tcPr>
          <w:p>
            <w:pPr>
              <w:pStyle w:val="TableSmall"/>
            </w:pPr>
            <w:r>
              <w:t>AV-07</w:t>
            </w:r>
          </w:p>
        </w:tc>
        <w:tc>
          <w:tcPr>
            <w:tcW w:type="dxa" w:w="2045"/>
            <w:vAlign w:val="center"/>
            <w:tcMar>
              <w:top w:w="80" w:type="dxa"/>
              <w:start w:w="80" w:type="dxa"/>
              <w:bottom w:w="80" w:type="dxa"/>
              <w:end w:w="80" w:type="dxa"/>
            </w:tcMar>
          </w:tcPr>
          <w:p>
            <w:pPr>
              <w:pStyle w:val="TableSmall"/>
            </w:pPr>
            <w:r>
              <w:t>Public charter hijacking</w:t>
            </w:r>
          </w:p>
        </w:tc>
        <w:tc>
          <w:tcPr>
            <w:tcW w:type="dxa" w:w="2045"/>
            <w:vAlign w:val="center"/>
            <w:tcMar>
              <w:top w:w="80" w:type="dxa"/>
              <w:start w:w="80" w:type="dxa"/>
              <w:bottom w:w="80" w:type="dxa"/>
              <w:end w:w="80" w:type="dxa"/>
            </w:tcMar>
          </w:tcPr>
          <w:p>
            <w:pPr>
              <w:pStyle w:val="TableSmall"/>
            </w:pPr>
            <w:r>
              <w:t>10</w:t>
            </w:r>
          </w:p>
        </w:tc>
        <w:tc>
          <w:tcPr>
            <w:tcW w:type="dxa" w:w="2045"/>
            <w:vAlign w:val="center"/>
            <w:tcMar>
              <w:top w:w="80" w:type="dxa"/>
              <w:start w:w="80" w:type="dxa"/>
              <w:bottom w:w="80" w:type="dxa"/>
              <w:end w:w="80" w:type="dxa"/>
            </w:tcMar>
          </w:tcPr>
          <w:p>
            <w:pPr>
              <w:pStyle w:val="TableSmall"/>
            </w:pPr>
            <w:r>
              <w:t>25</w:t>
            </w:r>
          </w:p>
        </w:tc>
        <w:tc>
          <w:tcPr>
            <w:tcW w:type="dxa" w:w="2045"/>
            <w:vAlign w:val="center"/>
            <w:tcMar>
              <w:top w:w="80" w:type="dxa"/>
              <w:start w:w="80" w:type="dxa"/>
              <w:bottom w:w="80" w:type="dxa"/>
              <w:end w:w="80" w:type="dxa"/>
            </w:tcMar>
          </w:tcPr>
          <w:p>
            <w:pPr>
              <w:pStyle w:val="TableSmall"/>
            </w:pPr>
            <w:r>
              <w:t>$208.3M</w:t>
            </w:r>
          </w:p>
        </w:tc>
      </w:tr>
      <w:tr>
        <w:tc>
          <w:tcPr>
            <w:tcW w:type="dxa" w:w="2045"/>
            <w:vAlign w:val="center"/>
            <w:tcMar>
              <w:top w:w="80" w:type="dxa"/>
              <w:start w:w="80" w:type="dxa"/>
              <w:bottom w:w="80" w:type="dxa"/>
              <w:end w:w="80" w:type="dxa"/>
            </w:tcMar>
          </w:tcPr>
          <w:p>
            <w:pPr>
              <w:pStyle w:val="TableSmall"/>
            </w:pPr>
            <w:r>
              <w:t>AV-08</w:t>
            </w:r>
          </w:p>
        </w:tc>
        <w:tc>
          <w:tcPr>
            <w:tcW w:type="dxa" w:w="2045"/>
            <w:vAlign w:val="center"/>
            <w:tcMar>
              <w:top w:w="80" w:type="dxa"/>
              <w:start w:w="80" w:type="dxa"/>
              <w:bottom w:w="80" w:type="dxa"/>
              <w:end w:w="80" w:type="dxa"/>
            </w:tcMar>
          </w:tcPr>
          <w:p>
            <w:pPr>
              <w:pStyle w:val="TableSmall"/>
            </w:pPr>
            <w:r>
              <w:t>All IID on commercial passenger aircraft</w:t>
            </w:r>
          </w:p>
        </w:tc>
        <w:tc>
          <w:tcPr>
            <w:tcW w:type="dxa" w:w="2045"/>
            <w:vAlign w:val="center"/>
            <w:tcMar>
              <w:top w:w="80" w:type="dxa"/>
              <w:start w:w="80" w:type="dxa"/>
              <w:bottom w:w="80" w:type="dxa"/>
              <w:end w:w="80" w:type="dxa"/>
            </w:tcMar>
          </w:tcPr>
          <w:p>
            <w:pPr>
              <w:pStyle w:val="TableSmall"/>
            </w:pPr>
            <w:r>
              <w:t>8</w:t>
            </w:r>
          </w:p>
        </w:tc>
        <w:tc>
          <w:tcPr>
            <w:tcW w:type="dxa" w:w="2045"/>
            <w:vAlign w:val="center"/>
            <w:tcMar>
              <w:top w:w="80" w:type="dxa"/>
              <w:start w:w="80" w:type="dxa"/>
              <w:bottom w:w="80" w:type="dxa"/>
              <w:end w:w="80" w:type="dxa"/>
            </w:tcMar>
          </w:tcPr>
          <w:p>
            <w:pPr>
              <w:pStyle w:val="TableSmall"/>
            </w:pPr>
            <w:r>
              <w:t>40</w:t>
            </w:r>
          </w:p>
        </w:tc>
        <w:tc>
          <w:tcPr>
            <w:tcW w:type="dxa" w:w="2045"/>
            <w:vAlign w:val="center"/>
            <w:tcMar>
              <w:top w:w="80" w:type="dxa"/>
              <w:start w:w="80" w:type="dxa"/>
              <w:bottom w:w="80" w:type="dxa"/>
              <w:end w:w="80" w:type="dxa"/>
            </w:tcMar>
          </w:tcPr>
          <w:p>
            <w:pPr>
              <w:pStyle w:val="TableSmall"/>
            </w:pPr>
            <w:r>
              <w:t>$230.0M</w:t>
            </w:r>
          </w:p>
        </w:tc>
      </w:tr>
      <w:tr>
        <w:tc>
          <w:tcPr>
            <w:tcW w:type="dxa" w:w="2045"/>
            <w:vAlign w:val="center"/>
            <w:tcMar>
              <w:top w:w="80" w:type="dxa"/>
              <w:start w:w="80" w:type="dxa"/>
              <w:bottom w:w="80" w:type="dxa"/>
              <w:end w:w="80" w:type="dxa"/>
            </w:tcMar>
          </w:tcPr>
          <w:p>
            <w:pPr>
              <w:pStyle w:val="TableSmall"/>
            </w:pPr>
            <w:r>
              <w:t>AV-09</w:t>
            </w:r>
          </w:p>
        </w:tc>
        <w:tc>
          <w:tcPr>
            <w:tcW w:type="dxa" w:w="2045"/>
            <w:vAlign w:val="center"/>
            <w:tcMar>
              <w:top w:w="80" w:type="dxa"/>
              <w:start w:w="80" w:type="dxa"/>
              <w:bottom w:w="80" w:type="dxa"/>
              <w:end w:w="80" w:type="dxa"/>
            </w:tcMar>
          </w:tcPr>
          <w:p>
            <w:pPr>
              <w:pStyle w:val="TableSmall"/>
            </w:pPr>
            <w:r>
              <w:t>All IID on cargo aircraft</w:t>
            </w:r>
          </w:p>
        </w:tc>
        <w:tc>
          <w:tcPr>
            <w:tcW w:type="dxa" w:w="2045"/>
            <w:vAlign w:val="center"/>
            <w:tcMar>
              <w:top w:w="80" w:type="dxa"/>
              <w:start w:w="80" w:type="dxa"/>
              <w:bottom w:w="80" w:type="dxa"/>
              <w:end w:w="80" w:type="dxa"/>
            </w:tcMar>
          </w:tcPr>
          <w:p>
            <w:pPr>
              <w:pStyle w:val="TableSmall"/>
            </w:pPr>
            <w:r>
              <w:t>2</w:t>
            </w:r>
          </w:p>
        </w:tc>
        <w:tc>
          <w:tcPr>
            <w:tcW w:type="dxa" w:w="2045"/>
            <w:vAlign w:val="center"/>
            <w:tcMar>
              <w:top w:w="80" w:type="dxa"/>
              <w:start w:w="80" w:type="dxa"/>
              <w:bottom w:w="80" w:type="dxa"/>
              <w:end w:w="80" w:type="dxa"/>
            </w:tcMar>
          </w:tcPr>
          <w:p>
            <w:pPr>
              <w:pStyle w:val="TableSmall"/>
            </w:pPr>
            <w:r>
              <w:t>8</w:t>
            </w:r>
          </w:p>
        </w:tc>
        <w:tc>
          <w:tcPr>
            <w:tcW w:type="dxa" w:w="2045"/>
            <w:vAlign w:val="center"/>
            <w:tcMar>
              <w:top w:w="80" w:type="dxa"/>
              <w:start w:w="80" w:type="dxa"/>
              <w:bottom w:w="80" w:type="dxa"/>
              <w:end w:w="80" w:type="dxa"/>
            </w:tcMar>
          </w:tcPr>
          <w:p>
            <w:pPr>
              <w:pStyle w:val="TableSmall"/>
            </w:pPr>
            <w:r>
              <w:t>$81.7M</w:t>
            </w:r>
          </w:p>
        </w:tc>
      </w:tr>
      <w:tr>
        <w:tc>
          <w:tcPr>
            <w:tcW w:type="dxa" w:w="2045"/>
            <w:vAlign w:val="center"/>
            <w:tcMar>
              <w:top w:w="80" w:type="dxa"/>
              <w:start w:w="80" w:type="dxa"/>
              <w:bottom w:w="80" w:type="dxa"/>
              <w:end w:w="80" w:type="dxa"/>
            </w:tcMar>
          </w:tcPr>
          <w:p>
            <w:pPr>
              <w:pStyle w:val="TableSmall"/>
            </w:pPr>
            <w:r>
              <w:t>AV-10</w:t>
            </w:r>
          </w:p>
        </w:tc>
        <w:tc>
          <w:tcPr>
            <w:tcW w:type="dxa" w:w="2045"/>
            <w:vAlign w:val="center"/>
            <w:tcMar>
              <w:top w:w="80" w:type="dxa"/>
              <w:start w:w="80" w:type="dxa"/>
              <w:bottom w:w="80" w:type="dxa"/>
              <w:end w:w="80" w:type="dxa"/>
            </w:tcMar>
          </w:tcPr>
          <w:p>
            <w:pPr>
              <w:pStyle w:val="TableSmall"/>
            </w:pPr>
            <w:r>
              <w:t>All Chem/Bio on commercial passenger aircraft</w:t>
            </w:r>
          </w:p>
        </w:tc>
        <w:tc>
          <w:tcPr>
            <w:tcW w:type="dxa" w:w="2045"/>
            <w:vAlign w:val="center"/>
            <w:tcMar>
              <w:top w:w="80" w:type="dxa"/>
              <w:start w:w="80" w:type="dxa"/>
              <w:bottom w:w="80" w:type="dxa"/>
              <w:end w:w="80" w:type="dxa"/>
            </w:tcMar>
          </w:tcPr>
          <w:p>
            <w:pPr>
              <w:pStyle w:val="TableSmall"/>
            </w:pPr>
            <w:r>
              <w:t>5</w:t>
            </w:r>
          </w:p>
        </w:tc>
        <w:tc>
          <w:tcPr>
            <w:tcW w:type="dxa" w:w="2045"/>
            <w:vAlign w:val="center"/>
            <w:tcMar>
              <w:top w:w="80" w:type="dxa"/>
              <w:start w:w="80" w:type="dxa"/>
              <w:bottom w:w="80" w:type="dxa"/>
              <w:end w:w="80" w:type="dxa"/>
            </w:tcMar>
          </w:tcPr>
          <w:p>
            <w:pPr>
              <w:pStyle w:val="TableSmall"/>
            </w:pPr>
            <w:r>
              <w:t>100</w:t>
            </w:r>
          </w:p>
        </w:tc>
        <w:tc>
          <w:tcPr>
            <w:tcW w:type="dxa" w:w="2045"/>
            <w:vAlign w:val="center"/>
            <w:tcMar>
              <w:top w:w="80" w:type="dxa"/>
              <w:start w:w="80" w:type="dxa"/>
              <w:bottom w:w="80" w:type="dxa"/>
              <w:end w:w="80" w:type="dxa"/>
            </w:tcMar>
          </w:tcPr>
          <w:p>
            <w:pPr>
              <w:pStyle w:val="TableSmall"/>
            </w:pPr>
            <w:r>
              <w:t>$267.6M</w:t>
            </w:r>
          </w:p>
        </w:tc>
      </w:tr>
      <w:tr>
        <w:tc>
          <w:tcPr>
            <w:tcW w:type="dxa" w:w="2045"/>
            <w:vAlign w:val="center"/>
            <w:tcMar>
              <w:top w:w="80" w:type="dxa"/>
              <w:start w:w="80" w:type="dxa"/>
              <w:bottom w:w="80" w:type="dxa"/>
              <w:end w:w="80" w:type="dxa"/>
            </w:tcMar>
          </w:tcPr>
          <w:p>
            <w:pPr>
              <w:pStyle w:val="TableSmall"/>
            </w:pPr>
            <w:r>
              <w:t>AV-11</w:t>
            </w:r>
          </w:p>
        </w:tc>
        <w:tc>
          <w:tcPr>
            <w:tcW w:type="dxa" w:w="2045"/>
            <w:vAlign w:val="center"/>
            <w:tcMar>
              <w:top w:w="80" w:type="dxa"/>
              <w:start w:w="80" w:type="dxa"/>
              <w:bottom w:w="80" w:type="dxa"/>
              <w:end w:w="80" w:type="dxa"/>
            </w:tcMar>
          </w:tcPr>
          <w:p>
            <w:pPr>
              <w:pStyle w:val="TableSmall"/>
            </w:pPr>
            <w:r>
              <w:t>All Chem/Bio at airport</w:t>
            </w:r>
          </w:p>
        </w:tc>
        <w:tc>
          <w:tcPr>
            <w:tcW w:type="dxa" w:w="2045"/>
            <w:vAlign w:val="center"/>
            <w:tcMar>
              <w:top w:w="80" w:type="dxa"/>
              <w:start w:w="80" w:type="dxa"/>
              <w:bottom w:w="80" w:type="dxa"/>
              <w:end w:w="80" w:type="dxa"/>
            </w:tcMar>
          </w:tcPr>
          <w:p>
            <w:pPr>
              <w:pStyle w:val="TableSmall"/>
            </w:pPr>
            <w:r>
              <w:t>15</w:t>
            </w:r>
          </w:p>
        </w:tc>
        <w:tc>
          <w:tcPr>
            <w:tcW w:type="dxa" w:w="2045"/>
            <w:vAlign w:val="center"/>
            <w:tcMar>
              <w:top w:w="80" w:type="dxa"/>
              <w:start w:w="80" w:type="dxa"/>
              <w:bottom w:w="80" w:type="dxa"/>
              <w:end w:w="80" w:type="dxa"/>
            </w:tcMar>
          </w:tcPr>
          <w:p>
            <w:pPr>
              <w:pStyle w:val="TableSmall"/>
            </w:pPr>
            <w:r>
              <w:t>300</w:t>
            </w:r>
          </w:p>
        </w:tc>
        <w:tc>
          <w:tcPr>
            <w:tcW w:type="dxa" w:w="2045"/>
            <w:vAlign w:val="center"/>
            <w:tcMar>
              <w:top w:w="80" w:type="dxa"/>
              <w:start w:w="80" w:type="dxa"/>
              <w:bottom w:w="80" w:type="dxa"/>
              <w:end w:w="80" w:type="dxa"/>
            </w:tcMar>
          </w:tcPr>
          <w:p>
            <w:pPr>
              <w:pStyle w:val="TableSmall"/>
            </w:pPr>
            <w:r>
              <w:t>$802.8M</w:t>
            </w:r>
          </w:p>
        </w:tc>
      </w:tr>
      <w:tr>
        <w:tc>
          <w:tcPr>
            <w:tcW w:type="dxa" w:w="2045"/>
            <w:vAlign w:val="center"/>
            <w:tcMar>
              <w:top w:w="80" w:type="dxa"/>
              <w:start w:w="80" w:type="dxa"/>
              <w:bottom w:w="80" w:type="dxa"/>
              <w:end w:w="80" w:type="dxa"/>
            </w:tcMar>
          </w:tcPr>
          <w:p>
            <w:pPr>
              <w:pStyle w:val="TableSmall"/>
            </w:pPr>
            <w:r>
              <w:t>SU-01</w:t>
            </w:r>
          </w:p>
        </w:tc>
        <w:tc>
          <w:tcPr>
            <w:tcW w:type="dxa" w:w="2045"/>
            <w:vAlign w:val="center"/>
            <w:tcMar>
              <w:top w:w="80" w:type="dxa"/>
              <w:start w:w="80" w:type="dxa"/>
              <w:bottom w:w="80" w:type="dxa"/>
              <w:end w:w="80" w:type="dxa"/>
            </w:tcMar>
          </w:tcPr>
          <w:p>
            <w:pPr>
              <w:pStyle w:val="TableSmall"/>
            </w:pPr>
            <w:r>
              <w:t>Assault on surface passenger vessels/stations</w:t>
            </w:r>
          </w:p>
        </w:tc>
        <w:tc>
          <w:tcPr>
            <w:tcW w:type="dxa" w:w="2045"/>
            <w:vAlign w:val="center"/>
            <w:tcMar>
              <w:top w:w="80" w:type="dxa"/>
              <w:start w:w="80" w:type="dxa"/>
              <w:bottom w:w="80" w:type="dxa"/>
              <w:end w:w="80" w:type="dxa"/>
            </w:tcMar>
          </w:tcPr>
          <w:p>
            <w:pPr>
              <w:pStyle w:val="TableSmall"/>
            </w:pPr>
            <w:r>
              <w:t>10</w:t>
            </w:r>
          </w:p>
        </w:tc>
        <w:tc>
          <w:tcPr>
            <w:tcW w:type="dxa" w:w="2045"/>
            <w:vAlign w:val="center"/>
            <w:tcMar>
              <w:top w:w="80" w:type="dxa"/>
              <w:start w:w="80" w:type="dxa"/>
              <w:bottom w:w="80" w:type="dxa"/>
              <w:end w:w="80" w:type="dxa"/>
            </w:tcMar>
          </w:tcPr>
          <w:p>
            <w:pPr>
              <w:pStyle w:val="TableSmall"/>
            </w:pPr>
            <w:r>
              <w:t>50</w:t>
            </w:r>
          </w:p>
        </w:tc>
        <w:tc>
          <w:tcPr>
            <w:tcW w:type="dxa" w:w="2045"/>
            <w:vAlign w:val="center"/>
            <w:tcMar>
              <w:top w:w="80" w:type="dxa"/>
              <w:start w:w="80" w:type="dxa"/>
              <w:bottom w:w="80" w:type="dxa"/>
              <w:end w:w="80" w:type="dxa"/>
            </w:tcMar>
          </w:tcPr>
          <w:p>
            <w:pPr>
              <w:pStyle w:val="TableSmall"/>
            </w:pPr>
            <w:r>
              <w:t>$219.7M</w:t>
            </w:r>
          </w:p>
        </w:tc>
      </w:tr>
      <w:tr>
        <w:tc>
          <w:tcPr>
            <w:tcW w:type="dxa" w:w="2045"/>
            <w:vAlign w:val="center"/>
            <w:tcMar>
              <w:top w:w="80" w:type="dxa"/>
              <w:start w:w="80" w:type="dxa"/>
              <w:bottom w:w="80" w:type="dxa"/>
              <w:end w:w="80" w:type="dxa"/>
            </w:tcMar>
          </w:tcPr>
          <w:p>
            <w:pPr>
              <w:pStyle w:val="TableSmall"/>
            </w:pPr>
            <w:r>
              <w:t>SU-02</w:t>
            </w:r>
          </w:p>
        </w:tc>
        <w:tc>
          <w:tcPr>
            <w:tcW w:type="dxa" w:w="2045"/>
            <w:vAlign w:val="center"/>
            <w:tcMar>
              <w:top w:w="80" w:type="dxa"/>
              <w:start w:w="80" w:type="dxa"/>
              <w:bottom w:w="80" w:type="dxa"/>
              <w:end w:w="80" w:type="dxa"/>
            </w:tcMar>
          </w:tcPr>
          <w:p>
            <w:pPr>
              <w:pStyle w:val="TableSmall"/>
            </w:pPr>
            <w:r>
              <w:t>Assault on Pipeline ICS center</w:t>
            </w:r>
          </w:p>
        </w:tc>
        <w:tc>
          <w:tcPr>
            <w:tcW w:type="dxa" w:w="2045"/>
            <w:vAlign w:val="center"/>
            <w:tcMar>
              <w:top w:w="80" w:type="dxa"/>
              <w:start w:w="80" w:type="dxa"/>
              <w:bottom w:w="80" w:type="dxa"/>
              <w:end w:w="80" w:type="dxa"/>
            </w:tcMar>
          </w:tcPr>
          <w:p>
            <w:pPr>
              <w:pStyle w:val="TableSmall"/>
            </w:pPr>
            <w:r>
              <w:t>2</w:t>
            </w:r>
          </w:p>
        </w:tc>
        <w:tc>
          <w:tcPr>
            <w:tcW w:type="dxa" w:w="2045"/>
            <w:vAlign w:val="center"/>
            <w:tcMar>
              <w:top w:w="80" w:type="dxa"/>
              <w:start w:w="80" w:type="dxa"/>
              <w:bottom w:w="80" w:type="dxa"/>
              <w:end w:w="80" w:type="dxa"/>
            </w:tcMar>
          </w:tcPr>
          <w:p>
            <w:pPr>
              <w:pStyle w:val="TableSmall"/>
            </w:pPr>
            <w:r>
              <w:t>10</w:t>
            </w:r>
          </w:p>
        </w:tc>
        <w:tc>
          <w:tcPr>
            <w:tcW w:type="dxa" w:w="2045"/>
            <w:vAlign w:val="center"/>
            <w:tcMar>
              <w:top w:w="80" w:type="dxa"/>
              <w:start w:w="80" w:type="dxa"/>
              <w:bottom w:w="80" w:type="dxa"/>
              <w:end w:w="80" w:type="dxa"/>
            </w:tcMar>
          </w:tcPr>
          <w:p>
            <w:pPr>
              <w:pStyle w:val="TableSmall"/>
            </w:pPr>
            <w:r>
              <w:t>$47.9M</w:t>
            </w:r>
          </w:p>
        </w:tc>
      </w:tr>
      <w:tr>
        <w:tc>
          <w:tcPr>
            <w:tcW w:type="dxa" w:w="2045"/>
            <w:vAlign w:val="center"/>
            <w:tcMar>
              <w:top w:w="80" w:type="dxa"/>
              <w:start w:w="80" w:type="dxa"/>
              <w:bottom w:w="80" w:type="dxa"/>
              <w:end w:w="80" w:type="dxa"/>
            </w:tcMar>
          </w:tcPr>
          <w:p>
            <w:pPr>
              <w:pStyle w:val="TableSmall"/>
            </w:pPr>
            <w:r>
              <w:t>SU-03</w:t>
            </w:r>
          </w:p>
        </w:tc>
        <w:tc>
          <w:tcPr>
            <w:tcW w:type="dxa" w:w="2045"/>
            <w:vAlign w:val="center"/>
            <w:tcMar>
              <w:top w:w="80" w:type="dxa"/>
              <w:start w:w="80" w:type="dxa"/>
              <w:bottom w:w="80" w:type="dxa"/>
              <w:end w:w="80" w:type="dxa"/>
            </w:tcMar>
          </w:tcPr>
          <w:p>
            <w:pPr>
              <w:pStyle w:val="TableSmall"/>
            </w:pPr>
            <w:r>
              <w:t>Vehicle ramming</w:t>
            </w:r>
          </w:p>
        </w:tc>
        <w:tc>
          <w:tcPr>
            <w:tcW w:type="dxa" w:w="2045"/>
            <w:vAlign w:val="center"/>
            <w:tcMar>
              <w:top w:w="80" w:type="dxa"/>
              <w:start w:w="80" w:type="dxa"/>
              <w:bottom w:w="80" w:type="dxa"/>
              <w:end w:w="80" w:type="dxa"/>
            </w:tcMar>
          </w:tcPr>
          <w:p>
            <w:pPr>
              <w:pStyle w:val="TableSmall"/>
            </w:pPr>
            <w:r>
              <w:t>8</w:t>
            </w:r>
          </w:p>
        </w:tc>
        <w:tc>
          <w:tcPr>
            <w:tcW w:type="dxa" w:w="2045"/>
            <w:vAlign w:val="center"/>
            <w:tcMar>
              <w:top w:w="80" w:type="dxa"/>
              <w:start w:w="80" w:type="dxa"/>
              <w:bottom w:w="80" w:type="dxa"/>
              <w:end w:w="80" w:type="dxa"/>
            </w:tcMar>
          </w:tcPr>
          <w:p>
            <w:pPr>
              <w:pStyle w:val="TableSmall"/>
            </w:pPr>
            <w:r>
              <w:t>35</w:t>
            </w:r>
          </w:p>
        </w:tc>
        <w:tc>
          <w:tcPr>
            <w:tcW w:type="dxa" w:w="2045"/>
            <w:vAlign w:val="center"/>
            <w:tcMar>
              <w:top w:w="80" w:type="dxa"/>
              <w:start w:w="80" w:type="dxa"/>
              <w:bottom w:w="80" w:type="dxa"/>
              <w:end w:w="80" w:type="dxa"/>
            </w:tcMar>
          </w:tcPr>
          <w:p>
            <w:pPr>
              <w:pStyle w:val="TableSmall"/>
            </w:pPr>
            <w:r>
              <w:t>$136.5M</w:t>
            </w:r>
          </w:p>
        </w:tc>
      </w:tr>
      <w:tr>
        <w:tc>
          <w:tcPr>
            <w:tcW w:type="dxa" w:w="2045"/>
            <w:vAlign w:val="center"/>
            <w:tcMar>
              <w:top w:w="80" w:type="dxa"/>
              <w:start w:w="80" w:type="dxa"/>
              <w:bottom w:w="80" w:type="dxa"/>
              <w:end w:w="80" w:type="dxa"/>
            </w:tcMar>
          </w:tcPr>
          <w:p>
            <w:pPr>
              <w:pStyle w:val="TableSmall"/>
            </w:pPr>
            <w:r>
              <w:t>SU-04</w:t>
            </w:r>
          </w:p>
        </w:tc>
        <w:tc>
          <w:tcPr>
            <w:tcW w:type="dxa" w:w="2045"/>
            <w:vAlign w:val="center"/>
            <w:tcMar>
              <w:top w:w="80" w:type="dxa"/>
              <w:start w:w="80" w:type="dxa"/>
              <w:bottom w:w="80" w:type="dxa"/>
              <w:end w:w="80" w:type="dxa"/>
            </w:tcMar>
          </w:tcPr>
          <w:p>
            <w:pPr>
              <w:pStyle w:val="TableSmall"/>
            </w:pPr>
            <w:r>
              <w:t>All UAS against surface transportation</w:t>
            </w:r>
          </w:p>
        </w:tc>
        <w:tc>
          <w:tcPr>
            <w:tcW w:type="dxa" w:w="2045"/>
            <w:vAlign w:val="center"/>
            <w:tcMar>
              <w:top w:w="80" w:type="dxa"/>
              <w:start w:w="80" w:type="dxa"/>
              <w:bottom w:w="80" w:type="dxa"/>
              <w:end w:w="80" w:type="dxa"/>
            </w:tcMar>
          </w:tcPr>
          <w:p>
            <w:pPr>
              <w:pStyle w:val="TableSmall"/>
            </w:pPr>
            <w:r>
              <w:t>2</w:t>
            </w:r>
          </w:p>
        </w:tc>
        <w:tc>
          <w:tcPr>
            <w:tcW w:type="dxa" w:w="2045"/>
            <w:vAlign w:val="center"/>
            <w:tcMar>
              <w:top w:w="80" w:type="dxa"/>
              <w:start w:w="80" w:type="dxa"/>
              <w:bottom w:w="80" w:type="dxa"/>
              <w:end w:w="80" w:type="dxa"/>
            </w:tcMar>
          </w:tcPr>
          <w:p>
            <w:pPr>
              <w:pStyle w:val="TableSmall"/>
            </w:pPr>
            <w:r>
              <w:t>20</w:t>
            </w:r>
          </w:p>
        </w:tc>
        <w:tc>
          <w:tcPr>
            <w:tcW w:type="dxa" w:w="2045"/>
            <w:vAlign w:val="center"/>
            <w:tcMar>
              <w:top w:w="80" w:type="dxa"/>
              <w:start w:w="80" w:type="dxa"/>
              <w:bottom w:w="80" w:type="dxa"/>
              <w:end w:w="80" w:type="dxa"/>
            </w:tcMar>
          </w:tcPr>
          <w:p>
            <w:pPr>
              <w:pStyle w:val="TableSmall"/>
            </w:pPr>
            <w:r>
              <w:t>$79.1M</w:t>
            </w:r>
          </w:p>
        </w:tc>
      </w:tr>
      <w:tr>
        <w:tc>
          <w:tcPr>
            <w:tcW w:type="dxa" w:w="2045"/>
            <w:vAlign w:val="center"/>
            <w:tcMar>
              <w:top w:w="80" w:type="dxa"/>
              <w:start w:w="80" w:type="dxa"/>
              <w:bottom w:w="80" w:type="dxa"/>
              <w:end w:w="80" w:type="dxa"/>
            </w:tcMar>
          </w:tcPr>
          <w:p>
            <w:pPr>
              <w:pStyle w:val="TableSmall"/>
            </w:pPr>
            <w:r>
              <w:t>SU-05</w:t>
            </w:r>
          </w:p>
        </w:tc>
        <w:tc>
          <w:tcPr>
            <w:tcW w:type="dxa" w:w="2045"/>
            <w:vAlign w:val="center"/>
            <w:tcMar>
              <w:top w:w="80" w:type="dxa"/>
              <w:start w:w="80" w:type="dxa"/>
              <w:bottom w:w="80" w:type="dxa"/>
              <w:end w:w="80" w:type="dxa"/>
            </w:tcMar>
          </w:tcPr>
          <w:p>
            <w:pPr>
              <w:pStyle w:val="TableSmall"/>
            </w:pPr>
            <w:r>
              <w:t>Chem/Bio contamination of food transported by tanker truck</w:t>
            </w:r>
          </w:p>
        </w:tc>
        <w:tc>
          <w:tcPr>
            <w:tcW w:type="dxa" w:w="2045"/>
            <w:vAlign w:val="center"/>
            <w:tcMar>
              <w:top w:w="80" w:type="dxa"/>
              <w:start w:w="80" w:type="dxa"/>
              <w:bottom w:w="80" w:type="dxa"/>
              <w:end w:w="80" w:type="dxa"/>
            </w:tcMar>
          </w:tcPr>
          <w:p>
            <w:pPr>
              <w:pStyle w:val="TableSmall"/>
            </w:pPr>
            <w:r>
              <w:t>10</w:t>
            </w:r>
          </w:p>
        </w:tc>
        <w:tc>
          <w:tcPr>
            <w:tcW w:type="dxa" w:w="2045"/>
            <w:vAlign w:val="center"/>
            <w:tcMar>
              <w:top w:w="80" w:type="dxa"/>
              <w:start w:w="80" w:type="dxa"/>
              <w:bottom w:w="80" w:type="dxa"/>
              <w:end w:w="80" w:type="dxa"/>
            </w:tcMar>
          </w:tcPr>
          <w:p>
            <w:pPr>
              <w:pStyle w:val="TableSmall"/>
            </w:pPr>
            <w:r>
              <w:t>250</w:t>
            </w:r>
          </w:p>
        </w:tc>
        <w:tc>
          <w:tcPr>
            <w:tcW w:type="dxa" w:w="2045"/>
            <w:vAlign w:val="center"/>
            <w:tcMar>
              <w:top w:w="80" w:type="dxa"/>
              <w:start w:w="80" w:type="dxa"/>
              <w:bottom w:w="80" w:type="dxa"/>
              <w:end w:w="80" w:type="dxa"/>
            </w:tcMar>
          </w:tcPr>
          <w:p>
            <w:pPr>
              <w:pStyle w:val="TableSmall"/>
            </w:pPr>
            <w:r>
              <w:t>$623.5M</w:t>
            </w:r>
          </w:p>
        </w:tc>
      </w:tr>
    </w:tbl>
    <w:p>
      <w:pPr>
        <w:pStyle w:val="SmallNote"/>
      </w:pPr>
      <w:r>
        <w:t>These values should be interpreted as broad planning medians conditional on an attack occurring under the generic assumptions in the workbook. They are not incident forecasts. They also must not be used for resource allocation on their own. Presenting a multi-billion-dollar P90 for a scenario such as airport chemical dispersion without an attached probability coefficient guarantees misallocation of defensive resources, because it gives a highly improbable catastrophic outcome the same decision weight as a probable one. Before these bounds drive any allocation decision, they must be integrated back into a probabilistic framework: multiplied by an annual frequency and carried through Bayesian updating, consistent with Level 3 Probabilistic Safety Assessment (PSA) practice, so that the product represents actionable systemic risk rather than a conditional consequence in isolation. Frequency estimation is a separate, later phase (see Section 10).</w:t>
      </w:r>
    </w:p>
    <w:p>
      <w:pPr>
        <w:pStyle w:val="Heading1"/>
      </w:pPr>
      <w:r>
        <w:t>2. Purpose, Scope, and Security Boundary</w:t>
      </w:r>
    </w:p>
    <w:p>
      <w:pPr>
        <w:pStyle w:val="Heading2"/>
      </w:pPr>
      <w:r>
        <w:t>2.1 Purpose</w:t>
      </w:r>
    </w:p>
    <w:p>
      <w:r>
        <w:t>The pilot tests whether AI-assisted research and structured estimation can aggregate official open-source incident evidence, identify defensible analogs, monetize first- and second-order consequences, and expose data gaps for TSSRA informational purposes.</w:t>
      </w:r>
    </w:p>
    <w:p>
      <w:pPr>
        <w:pStyle w:val="Heading2"/>
      </w:pPr>
      <w:r>
        <w:t>2.2 Scope</w:t>
      </w:r>
    </w:p>
    <w:p>
      <w:pPr>
        <w:pStyle w:val="ListBullet"/>
      </w:pPr>
      <w:r>
        <w:t>Outcome estimates cover the 16 scenario families supplied by the user.</w:t>
      </w:r>
    </w:p>
    <w:p>
      <w:pPr>
        <w:pStyle w:val="ListBullet"/>
      </w:pPr>
      <w:r>
        <w:t>Consequence estimates cover cyber or physical attacks affecting pipeline segments, pump stations, compressor stations, airport terminals, and freight rail.</w:t>
      </w:r>
    </w:p>
    <w:p>
      <w:pPr>
        <w:pStyle w:val="ListBullet"/>
      </w:pPr>
      <w:r>
        <w:t>Domestic incidents are prioritized. Canadian and Western European official sources are used as secondary evidence where relevant.</w:t>
      </w:r>
    </w:p>
    <w:p>
      <w:pPr>
        <w:pStyle w:val="ListBullet"/>
      </w:pPr>
      <w:r>
        <w:t>Active war zones are excluded.</w:t>
      </w:r>
    </w:p>
    <w:p>
      <w:pPr>
        <w:pStyle w:val="ListBullet"/>
      </w:pPr>
      <w:r>
        <w:t>Third- and fourth-order effects are not monetized in this pilot; the model flags where they may become material.</w:t>
      </w:r>
    </w:p>
    <w:p>
      <w:pPr>
        <w:pStyle w:val="Heading2"/>
      </w:pPr>
      <w:r>
        <w:t>2.3 Security boundary</w:t>
      </w:r>
    </w:p>
    <w:p>
      <w:r>
        <w:t>No actual TSSRA scenario parameters, protected operational information, or nonpublic DHS data were processed. The workbook is deliberately structured so sanitized public assumptions can be replaced inside the DHS-approved Chat environment.</w:t>
      </w:r>
    </w:p>
    <w:p>
      <w:pPr>
        <w:pStyle w:val="Heading1"/>
      </w:pPr>
      <w:r>
        <w:t>3. Analytic Architecture</w:t>
      </w:r>
    </w:p>
    <w:p>
      <w:r>
        <w:rPr>
          <w:b/>
        </w:rPr>
        <w:t>The pilot separates three questions that should not be conflated:</w:t>
      </w:r>
    </w:p>
    <w:p>
      <w:pPr>
        <w:pStyle w:val="ListNumber"/>
      </w:pPr>
      <w:r>
        <w:t>Outcome: What physical result occurs if the attack is attempted and reaches the modeled stage?</w:t>
      </w:r>
    </w:p>
    <w:p>
      <w:pPr>
        <w:pStyle w:val="ListNumber"/>
      </w:pPr>
      <w:r>
        <w:t>Consequence: What are the direct and downstream costs of that physical result and associated service outage?</w:t>
      </w:r>
    </w:p>
    <w:p>
      <w:pPr>
        <w:pStyle w:val="ListNumber"/>
      </w:pPr>
      <w:r>
        <w:t>Frequency: How often does an event in the family occur? Frequency is reserved for a later phase.</w:t>
      </w:r>
    </w:p>
    <w:p>
      <w:r>
        <w:rPr>
          <w:b/>
        </w:rPr>
        <w:t xml:space="preserve">First-order consequence equation: </w:t>
      </w:r>
      <w:r>
        <w:t>C1 = fatality value + injury value + infrastructure/property damage.</w:t>
      </w:r>
    </w:p>
    <w:p>
      <w:r>
        <w:rPr>
          <w:b/>
        </w:rPr>
        <w:t xml:space="preserve">Second-order consequence equation: </w:t>
      </w:r>
      <w:r>
        <w:t>C2 = daily service-loss value × outage duration × escalation/buffer factor.</w:t>
      </w:r>
    </w:p>
    <w:p>
      <w:r>
        <w:rPr>
          <w:b/>
        </w:rPr>
        <w:t xml:space="preserve">Total consequence: </w:t>
      </w:r>
      <w:r>
        <w:t>Ctotal = C1 + C2.</w:t>
      </w:r>
    </w:p>
    <w:p>
      <w:r>
        <w:rPr>
          <w:b/>
        </w:rPr>
        <w:t xml:space="preserve">Future annualized risk: </w:t>
      </w:r>
      <w:r>
        <w:t>Risk = annual frequency × conditional outcome/consequence. This multiplication is not performed in the pilot.</w:t>
      </w:r>
    </w:p>
    <w:p>
      <w:pPr>
        <w:pStyle w:val="Heading1"/>
      </w:pPr>
      <w:r>
        <w:t>4. Data and Source Methodology</w:t>
      </w:r>
    </w:p>
    <w:p>
      <w:pPr>
        <w:pStyle w:val="Heading2"/>
      </w:pPr>
      <w:r>
        <w:t>4.1 Source hierarchy</w:t>
      </w:r>
    </w:p>
    <w:p>
      <w:pPr>
        <w:pStyle w:val="ListNumber"/>
      </w:pPr>
      <w:r>
        <w:t>Controlling evidence: final government investigation reports, regulatory incident databases, court judgments and case records, and official administrative statistics.</w:t>
      </w:r>
    </w:p>
    <w:p>
      <w:pPr>
        <w:pStyle w:val="ListNumber"/>
      </w:pPr>
      <w:r>
        <w:t>Secondary official evidence: Canadian, European Union, and Western European government investigations and official terrorism reporting.</w:t>
      </w:r>
    </w:p>
    <w:p>
      <w:pPr>
        <w:pStyle w:val="ListNumber"/>
      </w:pPr>
      <w:r>
        <w:t>Technical parameter evidence: official toxicology, emergency-response, economic, transportation-flow, and critical-infrastructure methodologies.</w:t>
      </w:r>
    </w:p>
    <w:p>
      <w:pPr>
        <w:pStyle w:val="ListNumber"/>
      </w:pPr>
      <w:r>
        <w:t>Discovery-only sources: news, vendor reporting, social media, and unsourced databases. These are not used to establish model inputs.</w:t>
      </w:r>
    </w:p>
    <w:p>
      <w:r>
        <w:t xml:space="preserve">Key primary repositories include NTSB accident reports, PHMSA pipeline incident data, FRA safety data, BTS Freight Analysis Framework data, FAA economic-impact material, FBI active-shooter and case records, DOJ court and sentencing documents, FDA food-defense guidance, CDC toxicology guidance, and EPA CAMEO/ALOHA consequence tools. </w:t>
      </w:r>
      <w:r>
        <w:rPr>
          <w:sz w:val="14"/>
          <w:vertAlign w:val="superscript"/>
        </w:rPr>
        <w:t>[4,7,17,18,19,20,14,15,16]</w:t>
      </w:r>
    </w:p>
    <w:p>
      <w:pPr>
        <w:pStyle w:val="Heading2"/>
      </w:pPr>
      <w:r>
        <w:t>4.2 Evidence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F75B5"/>
          </w:tcPr>
          <w:p>
            <w:r>
              <w:rPr>
                <w:color w:val="FFFFFF"/>
              </w:rPr>
              <w:t>Evidence Class</w:t>
            </w:r>
          </w:p>
        </w:tc>
        <w:tc>
          <w:tcPr>
            <w:tcW w:type="dxa" w:w="3408"/>
            <w:shd w:fill="2F75B5"/>
          </w:tcPr>
          <w:p>
            <w:r>
              <w:rPr>
                <w:color w:val="FFFFFF"/>
              </w:rPr>
              <w:t>Permitted Use</w:t>
            </w:r>
          </w:p>
        </w:tc>
        <w:tc>
          <w:tcPr>
            <w:tcW w:type="dxa" w:w="3408"/>
            <w:shd w:fill="2F75B5"/>
          </w:tcPr>
          <w:p>
            <w:r>
              <w:rPr>
                <w:color w:val="FFFFFF"/>
              </w:rPr>
              <w:t>Confidence Effect</w:t>
            </w:r>
          </w:p>
        </w:tc>
      </w:tr>
      <w:tr>
        <w:tc>
          <w:tcPr>
            <w:tcW w:type="dxa" w:w="3408"/>
            <w:tcMar>
              <w:top w:w="80" w:type="dxa"/>
              <w:start w:w="80" w:type="dxa"/>
              <w:bottom w:w="80" w:type="dxa"/>
              <w:end w:w="80" w:type="dxa"/>
            </w:tcMar>
          </w:tcPr>
          <w:p>
            <w:pPr>
              <w:pStyle w:val="TableSmall"/>
            </w:pPr>
            <w:r>
              <w:t>Directly comparable intentional event</w:t>
            </w:r>
          </w:p>
        </w:tc>
        <w:tc>
          <w:tcPr>
            <w:tcW w:type="dxa" w:w="3408"/>
            <w:tcMar>
              <w:top w:w="80" w:type="dxa"/>
              <w:start w:w="80" w:type="dxa"/>
              <w:bottom w:w="80" w:type="dxa"/>
              <w:end w:w="80" w:type="dxa"/>
            </w:tcMar>
          </w:tcPr>
          <w:p>
            <w:pPr>
              <w:pStyle w:val="TableSmall"/>
            </w:pPr>
            <w:r>
              <w:t>Primary casualty, damage, and attack-progression evidence</w:t>
            </w:r>
          </w:p>
        </w:tc>
        <w:tc>
          <w:tcPr>
            <w:tcW w:type="dxa" w:w="3408"/>
            <w:tcMar>
              <w:top w:w="80" w:type="dxa"/>
              <w:start w:w="80" w:type="dxa"/>
              <w:bottom w:w="80" w:type="dxa"/>
              <w:end w:w="80" w:type="dxa"/>
            </w:tcMar>
          </w:tcPr>
          <w:p>
            <w:pPr>
              <w:pStyle w:val="TableSmall"/>
            </w:pPr>
            <w:r>
              <w:t>Raises confidence when multiple comparable official records exist</w:t>
            </w:r>
          </w:p>
        </w:tc>
      </w:tr>
      <w:tr>
        <w:tc>
          <w:tcPr>
            <w:tcW w:type="dxa" w:w="3408"/>
            <w:tcMar>
              <w:top w:w="80" w:type="dxa"/>
              <w:start w:w="80" w:type="dxa"/>
              <w:bottom w:w="80" w:type="dxa"/>
              <w:end w:w="80" w:type="dxa"/>
            </w:tcMar>
          </w:tcPr>
          <w:p>
            <w:pPr>
              <w:pStyle w:val="TableSmall"/>
            </w:pPr>
            <w:r>
              <w:t>Attempt or advanced plot</w:t>
            </w:r>
          </w:p>
        </w:tc>
        <w:tc>
          <w:tcPr>
            <w:tcW w:type="dxa" w:w="3408"/>
            <w:tcMar>
              <w:top w:w="80" w:type="dxa"/>
              <w:start w:w="80" w:type="dxa"/>
              <w:bottom w:w="80" w:type="dxa"/>
              <w:end w:w="80" w:type="dxa"/>
            </w:tcMar>
          </w:tcPr>
          <w:p>
            <w:pPr>
              <w:pStyle w:val="TableSmall"/>
            </w:pPr>
            <w:r>
              <w:t>Mitigation, pathway, and progression evidence; not treated as a completed event</w:t>
            </w:r>
          </w:p>
        </w:tc>
        <w:tc>
          <w:tcPr>
            <w:tcW w:type="dxa" w:w="3408"/>
            <w:tcMar>
              <w:top w:w="80" w:type="dxa"/>
              <w:start w:w="80" w:type="dxa"/>
              <w:bottom w:w="80" w:type="dxa"/>
              <w:end w:w="80" w:type="dxa"/>
            </w:tcMar>
          </w:tcPr>
          <w:p>
            <w:pPr>
              <w:pStyle w:val="TableSmall"/>
            </w:pPr>
            <w:r>
              <w:t>Supports mechanism but not observed consequence distribution</w:t>
            </w:r>
          </w:p>
        </w:tc>
      </w:tr>
      <w:tr>
        <w:tc>
          <w:tcPr>
            <w:tcW w:type="dxa" w:w="3408"/>
            <w:tcMar>
              <w:top w:w="80" w:type="dxa"/>
              <w:start w:w="80" w:type="dxa"/>
              <w:bottom w:w="80" w:type="dxa"/>
              <w:end w:w="80" w:type="dxa"/>
            </w:tcMar>
          </w:tcPr>
          <w:p>
            <w:pPr>
              <w:pStyle w:val="TableSmall"/>
            </w:pPr>
            <w:r>
              <w:t>Accident with comparable physical mechanism</w:t>
            </w:r>
          </w:p>
        </w:tc>
        <w:tc>
          <w:tcPr>
            <w:tcW w:type="dxa" w:w="3408"/>
            <w:tcMar>
              <w:top w:w="80" w:type="dxa"/>
              <w:start w:w="80" w:type="dxa"/>
              <w:bottom w:w="80" w:type="dxa"/>
              <w:end w:w="80" w:type="dxa"/>
            </w:tcMar>
          </w:tcPr>
          <w:p>
            <w:pPr>
              <w:pStyle w:val="TableSmall"/>
            </w:pPr>
            <w:r>
              <w:t>Fire, collision, toxic release, restoration, or infrastructure-damage evidence. Admitted for first- and second-order consequences per Section 4.5 (for example, accidental derailment as an analog for intentional derailment)</w:t>
            </w:r>
          </w:p>
        </w:tc>
        <w:tc>
          <w:tcPr>
            <w:tcW w:type="dxa" w:w="3408"/>
            <w:tcMar>
              <w:top w:w="80" w:type="dxa"/>
              <w:start w:w="80" w:type="dxa"/>
              <w:bottom w:w="80" w:type="dxa"/>
              <w:end w:w="80" w:type="dxa"/>
            </w:tcMar>
          </w:tcPr>
          <w:p>
            <w:pPr>
              <w:pStyle w:val="TableSmall"/>
            </w:pPr>
            <w:r>
              <w:t>Does not establish adversary behavior or attack frequency</w:t>
            </w:r>
          </w:p>
        </w:tc>
      </w:tr>
      <w:tr>
        <w:tc>
          <w:tcPr>
            <w:tcW w:type="dxa" w:w="3408"/>
            <w:tcMar>
              <w:top w:w="80" w:type="dxa"/>
              <w:start w:w="80" w:type="dxa"/>
              <w:bottom w:w="80" w:type="dxa"/>
              <w:end w:w="80" w:type="dxa"/>
            </w:tcMar>
          </w:tcPr>
          <w:p>
            <w:pPr>
              <w:pStyle w:val="TableSmall"/>
            </w:pPr>
            <w:r>
              <w:t>Mechanistic model</w:t>
            </w:r>
          </w:p>
        </w:tc>
        <w:tc>
          <w:tcPr>
            <w:tcW w:type="dxa" w:w="3408"/>
            <w:tcMar>
              <w:top w:w="80" w:type="dxa"/>
              <w:start w:w="80" w:type="dxa"/>
              <w:bottom w:w="80" w:type="dxa"/>
              <w:end w:w="80" w:type="dxa"/>
            </w:tcMar>
          </w:tcPr>
          <w:p>
            <w:pPr>
              <w:pStyle w:val="TableSmall"/>
            </w:pPr>
            <w:r>
              <w:t>Agent dispersion, crowd exposure, aircraft/fire loss, or network outage when observations are absent</w:t>
            </w:r>
          </w:p>
        </w:tc>
        <w:tc>
          <w:tcPr>
            <w:tcW w:type="dxa" w:w="3408"/>
            <w:tcMar>
              <w:top w:w="80" w:type="dxa"/>
              <w:start w:w="80" w:type="dxa"/>
              <w:bottom w:w="80" w:type="dxa"/>
              <w:end w:w="80" w:type="dxa"/>
            </w:tcMar>
          </w:tcPr>
          <w:p>
            <w:pPr>
              <w:pStyle w:val="TableSmall"/>
            </w:pPr>
            <w:r>
              <w:t>Requires broad uncertainty and low confidence</w:t>
            </w:r>
          </w:p>
        </w:tc>
      </w:tr>
      <w:tr>
        <w:tc>
          <w:tcPr>
            <w:tcW w:type="dxa" w:w="3408"/>
            <w:tcMar>
              <w:top w:w="80" w:type="dxa"/>
              <w:start w:w="80" w:type="dxa"/>
              <w:bottom w:w="80" w:type="dxa"/>
              <w:end w:w="80" w:type="dxa"/>
            </w:tcMar>
          </w:tcPr>
          <w:p>
            <w:pPr>
              <w:pStyle w:val="TableSmall"/>
            </w:pPr>
            <w:r>
              <w:t>Crime or other security-related serious incident</w:t>
            </w:r>
          </w:p>
        </w:tc>
        <w:tc>
          <w:tcPr>
            <w:tcW w:type="dxa" w:w="3408"/>
            <w:tcMar>
              <w:top w:w="80" w:type="dxa"/>
              <w:start w:w="80" w:type="dxa"/>
              <w:bottom w:w="80" w:type="dxa"/>
              <w:end w:w="80" w:type="dxa"/>
            </w:tcMar>
          </w:tcPr>
          <w:p>
            <w:pPr>
              <w:pStyle w:val="TableSmall"/>
            </w:pPr>
            <w:r>
              <w:t>Casualty counts and injury-severity mixes at comparable target types; first-order consequences only</w:t>
            </w:r>
          </w:p>
        </w:tc>
        <w:tc>
          <w:tcPr>
            <w:tcW w:type="dxa" w:w="3408"/>
            <w:tcMar>
              <w:top w:w="80" w:type="dxa"/>
              <w:start w:w="80" w:type="dxa"/>
              <w:bottom w:w="80" w:type="dxa"/>
              <w:end w:w="80" w:type="dxa"/>
            </w:tcMar>
          </w:tcPr>
          <w:p>
            <w:pPr>
              <w:pStyle w:val="TableSmall"/>
            </w:pPr>
            <w:r>
              <w:t>Does not establish indirect or cross-sector effects, adversary intent, or frequency</w:t>
            </w:r>
          </w:p>
        </w:tc>
      </w:tr>
      <w:tr>
        <w:tc>
          <w:tcPr>
            <w:tcW w:type="dxa" w:w="3408"/>
            <w:tcMar>
              <w:top w:w="80" w:type="dxa"/>
              <w:start w:w="80" w:type="dxa"/>
              <w:bottom w:w="80" w:type="dxa"/>
              <w:end w:w="80" w:type="dxa"/>
            </w:tcMar>
          </w:tcPr>
          <w:p>
            <w:pPr>
              <w:pStyle w:val="TableSmall"/>
            </w:pPr>
            <w:r>
              <w:t>Outage, maintenance, or non-adversarial disruption</w:t>
            </w:r>
          </w:p>
        </w:tc>
        <w:tc>
          <w:tcPr>
            <w:tcW w:type="dxa" w:w="3408"/>
            <w:tcMar>
              <w:top w:w="80" w:type="dxa"/>
              <w:start w:w="80" w:type="dxa"/>
              <w:bottom w:w="80" w:type="dxa"/>
              <w:end w:w="80" w:type="dxa"/>
            </w:tcMar>
          </w:tcPr>
          <w:p>
            <w:pPr>
              <w:pStyle w:val="TableSmall"/>
            </w:pPr>
            <w:r>
              <w:t>Daily service-loss value, substitution, inventory/linepack buffering, and restoration curves; second-order consequences only</w:t>
            </w:r>
          </w:p>
        </w:tc>
        <w:tc>
          <w:tcPr>
            <w:tcW w:type="dxa" w:w="3408"/>
            <w:tcMar>
              <w:top w:w="80" w:type="dxa"/>
              <w:start w:w="80" w:type="dxa"/>
              <w:bottom w:w="80" w:type="dxa"/>
              <w:end w:w="80" w:type="dxa"/>
            </w:tcMar>
          </w:tcPr>
          <w:p>
            <w:pPr>
              <w:pStyle w:val="TableSmall"/>
            </w:pPr>
            <w:r>
              <w:t>Does not establish casualties, adversary behavior, or frequency</w:t>
            </w:r>
          </w:p>
        </w:tc>
      </w:tr>
    </w:tbl>
    <w:p>
      <w:pPr>
        <w:pStyle w:val="Heading2"/>
      </w:pPr>
      <w:r>
        <w:t>4.3 Geographic screening</w:t>
      </w:r>
    </w:p>
    <w:p>
      <w:r>
        <w:t>The search prioritizes U.S. records. Official Canadian and Western European sources may be used to expand sparse samples. Incidents in active war zones are excluded because security posture, weapons availability, response capability, and infrastructure conditions are not comparable to the intended domestic planning environment.</w:t>
      </w:r>
    </w:p>
    <w:p>
      <w:pPr>
        <w:pStyle w:val="Heading2"/>
      </w:pPr>
      <w:r>
        <w:t>4.4 Temporal screening (mode-dependent)</w:t>
      </w:r>
    </w:p>
    <w:p>
      <w:r>
        <w:t>Temporal screening is applied by mode, because the aviation security regime changed discontinuously in 2001-2002 while surface and pipeline regimes did not.</w:t>
      </w:r>
    </w:p>
    <w:p>
      <w:pPr>
        <w:pStyle w:val="ListBullet"/>
      </w:pPr>
      <w:r>
        <w:t>Aviation scenarios (AV-01 through AV-11): prioritize incidents occurring on or after September 11, 2001. Pre-2001 aviation events are excluded from the evidence base unless a specific justification is recorded. The admissibility test for an exception is mechanism-based: a pre-2001 aviation incident may be used only where the mechanism it evidences is not materially affected by the 2001-2002 regime change, namely the Aviation and Transportation Security Act, hardened and locked flight deck doors, federalized passenger and baggage screening, and expanded in-flight security. Where an exception is taken, the scenario record must state the mechanism relied upon and why the mitigation does not bear on it.</w:t>
      </w:r>
    </w:p>
    <w:p>
      <w:pPr>
        <w:pStyle w:val="ListBullet"/>
      </w:pPr>
      <w:r>
        <w:t>Surface, pipeline, and all other modes: pre-2001 incidents may be included. Their permitted use is restricted to establishing a steady-state baseline (long-run rates, severity distributions, and physical-mechanism behavior for a regime that did not undergo an equivalent discontinuity).</w:t>
      </w:r>
    </w:p>
    <w:p>
      <w:pPr>
        <w:pStyle w:val="ListBullet"/>
      </w:pPr>
      <w:r>
        <w:t>Pre-2001 non-aviation incidents must not be pooled or compared in aggregate against aviation estimates. Cross-modal comparison is permitted only between evidence bases screened to the same period. Any table, chart, or judgment that places aviation and non-aviation values side by side must state the period screen applied to each.</w:t>
      </w:r>
    </w:p>
    <w:p>
      <w:pPr>
        <w:pStyle w:val="ListBullet"/>
      </w:pPr>
      <w:r>
        <w:t>Each analytic run requires a curated review of the referenced incident list to remove incidents inconsistent with the aviation post-2001 constraint and to confirm that every remaining reference is scenario-appropriate. The review is recorded with the run.</w:t>
      </w:r>
    </w:p>
    <w:p>
      <w:pPr>
        <w:pStyle w:val="Heading2"/>
      </w:pPr>
      <w:r>
        <w:t>4.5 Non-adversarial and non-terrorist evidence</w:t>
      </w:r>
    </w:p>
    <w:p>
      <w:r>
        <w:t>The evidence base is not limited to terrorist incidents. Terrorist events are too sparse in most families to characterize consequence distributions on their own, and non-adversarial events frequently produce the same physical and economic effects. The following classes are admitted, each with a defined permitted use.</w:t>
      </w:r>
    </w:p>
    <w:p>
      <w:pPr>
        <w:pStyle w:val="ListBullet"/>
      </w:pPr>
      <w:r>
        <w:t>Accidents with a comparable physical mechanism: admitted for both first-order and second-order consequence estimation. An accidental derailment is a valid analog for an intentional derailment, and an accidental rupture, fire, collision, or toxic release is a valid analog for the corresponding intentional event. Accidents establish physical outcome, damage, and restoration behavior. They do not establish adversary intent, capability, target selection, or attack frequency.</w:t>
      </w:r>
    </w:p>
    <w:p>
      <w:pPr>
        <w:pStyle w:val="ListBullet"/>
      </w:pPr>
      <w:r>
        <w:t>Crime and other security-related serious incidents: admitted for first-order consequences only. Non-terrorist assaults, shootings, and vehicle attacks inform casualty counts and severity mixes at comparable target types. They are not used to derive indirect or cross-sector economic effects, because their disruption footprint is generally not comparable to an attack that triggers a security response.</w:t>
      </w:r>
    </w:p>
    <w:p>
      <w:pPr>
        <w:pStyle w:val="ListBullet"/>
      </w:pPr>
      <w:r>
        <w:t>Outage, maintenance, and non-adversarial disruption events: admitted for second-order and indirect consequence estimation only. Planned and unplanned outages, curtailments, and service interruptions are the best available evidence for daily service-loss value, substitution behavior, inventory and linepack buffering, and restoration curves. They are not used to estimate casualties.</w:t>
      </w:r>
    </w:p>
    <w:p>
      <w:r>
        <w:t>Every estimate must record which evidence class each component was drawn from, and must state whether the component rests on an observed intentional event, a non-adversarial analog, or a mechanistic model. Non-adversarial analogs do not raise confidence in adversary behavior or frequency, and the temporal screening rule in Section 4.4 applies to them by mode in the same way it applies to intentional events.</w:t>
      </w:r>
    </w:p>
    <w:p>
      <w:pPr>
        <w:pStyle w:val="Heading1"/>
      </w:pPr>
      <w:r>
        <w:t>5. Outcome Estimation Method</w:t>
      </w:r>
    </w:p>
    <w:p>
      <w:pPr>
        <w:pStyle w:val="Heading2"/>
      </w:pPr>
      <w:r>
        <w:t>5.1 Quantile structure</w:t>
      </w:r>
    </w:p>
    <w:p>
      <w:pPr>
        <w:pStyle w:val="ListBullet"/>
      </w:pPr>
      <w:r>
        <w:t>Low estimate: P10 planning outcome.</w:t>
      </w:r>
    </w:p>
    <w:p>
      <w:pPr>
        <w:pStyle w:val="ListBullet"/>
      </w:pPr>
      <w:r>
        <w:t>Best estimate: P50 median planning outcome.</w:t>
      </w:r>
    </w:p>
    <w:p>
      <w:pPr>
        <w:pStyle w:val="ListBullet"/>
      </w:pPr>
      <w:r>
        <w:t>High estimate: P90 planning outcome.</w:t>
      </w:r>
    </w:p>
    <w:p>
      <w:r>
        <w:t>The labels describe conditional outcome quantiles, not confidence levels. A low-confidence scenario may still have P10/P50/P90 estimates, but the range is intentionally broad.</w:t>
      </w:r>
    </w:p>
    <w:p>
      <w:pPr>
        <w:pStyle w:val="Heading2"/>
      </w:pPr>
      <w:r>
        <w:t>5.2 Casualty monetization</w:t>
      </w:r>
    </w:p>
    <w:p>
      <w:r>
        <w:rPr>
          <w:b/>
        </w:rPr>
        <w:t xml:space="preserve">Fatalities are valued at $14.2 million each in 2025 dollars. </w:t>
      </w:r>
      <w:r>
        <w:rPr>
          <w:sz w:val="14"/>
          <w:vertAlign w:val="superscript"/>
        </w:rPr>
        <w:t>[1]</w:t>
      </w:r>
      <w:r>
        <w:t>Injuries are valued as a fraction of VSL. Because many incident reports do not identify MAIS severity, the pilot no longer applies a single averaged fraction. It instead applies a weapon-class bi-modal severity mix, because a civilian-crash average understates the high-severity tail produced by intentional weapons. Four weapon classes are modeled: blunt/vehicular (which the Maximum Abbreviated Injury Scale (MAIS) characterizes adequately), ballistic/edged, blast, and chemical/biological. Blast cases carry a heavier MAIS 4-6 load reflecting combined primary, secondary, and quaternary injury, and are scored with reference to the New Injury Severity Score (NISS) and the Trauma and Injury Severity Score (TRISS) rather than a single AIS band. Each class produces a distinct blended fraction of the value of a statistical life (VSL), and each scenario is assigned the weapon class that matches its mechanism. The mixes are visible and editable in the workbook.</w:t>
      </w:r>
    </w:p>
    <w:p>
      <w:pPr>
        <w:pStyle w:val="Heading3"/>
      </w:pPr>
      <w:r>
        <w:t xml:space="preserve">6.5 Dollar basis and inflation adjustment (2026)</w:t>
      </w:r>
    </w:p>
    <w:p>
      <w:r>
        <w:t xml:space="preserve">All economic outputs in this pilot are expressed in 2026 dollars, with one deliberate exception. Property damage and second-order economic losses are escalated from their nominal 2025 basis to 2026 using a documented Consumer Price Index factor: the CPI-U for all items rose 3.5 percent over the twelve months ending June 2026 (U.S. Bureau of Labor Statistics). The factor is held in a single editable cell in the workbook (VSL and Injuries sheet) and is applied by formula, so the entire model re-bases when the factor is updated to the finalized 2026 annual average.</w:t>
      </w:r>
    </w:p>
    <w:p>
      <w:r>
        <w:t xml:space="preserve">The exception is the value of a statistical life. The Department of Transportation publishes the VSL in 2025 dollars as an official figure, and the pilot keeps it at that official 2025 value rather than escalating it, because re-stating a statutory agency value would misrepresent the source. The VSL basis is labeled explicitly wherever it is used, and the casualty component of every estimate therefore rests on the 2025 VSL while the property and economic components are in 2026 dollars. Nominal 2025 property inputs are archived beside the escalated values so the adjustment is fully reversible and auditable. This is an interim factor; it should be replaced with the finalized 2026 annual CPI-U average when BLS publishes it.</w:t>
      </w:r>
    </w:p>
    <w:p>
      <w:pPr>
        <w:pStyle w:val="Heading3"/>
      </w:pPr>
      <w:r>
        <w:t xml:space="preserve">5.2.1 MAIS-to-TSSRA bucket traceability</w:t>
      </w:r>
    </w:p>
    <w:p>
      <w:r>
        <w:t xml:space="preserve">Every MAIS severity level maps to exactly one historical TSSRA injury bucket, and the mapping is documented so any dollar figure can be traced back to a severity class. MAIS 1 and MAIS 2 form the minor-injury bucket; MAIS 3, 4, and 5 form the severe-injury bucket; MAIS 6 is death. The minor and severe buckets carry distinct value-of-a-statistical-life (VSL) fractions, so a severe injury is not valued at the same rate as a minor one. Within each weapon class, the blended injury fraction decomposes exactly into a minor-share component and a severe-share component; the workbook shows this decomposition and reconciles it to the blended fraction (the check column is zero for every class).</w:t>
      </w:r>
    </w:p>
    <w:p>
      <w:r>
        <w:t xml:space="preserve">MAIS 6 (fatal) is handled as a fatality only. It is valued through the deaths line, as fatalities multiplied by the full VSL, and is never included in the blended injury value. A fatality is therefore counted once. The workbook includes a validation block that lists every MAIS class, where it is applied, and its status, so that any severity class referenced in the methodology but not applied in a calculation is flagged before publication. This directly answers the requirement to confirm MAIS 6 is used correctly and not dropped, and to flag any class referenced but not applied.</w:t>
      </w:r>
    </w:p>
    <w:p>
      <w:pPr>
        <w:pStyle w:val="Heading3"/>
      </w:pPr>
      <w:r>
        <w:t xml:space="preserve">5.2.2 Severity mix and probability (scope)</w:t>
      </w:r>
    </w:p>
    <w:p>
      <w:r>
        <w:t xml:space="preserve">The weapon-class severity mixes are conditional injury distributions: given an injury produced by a mechanism of that class, they describe how severity is distributed across MAIS levels. They are not weighted by the probability that an attack of that class occurs. The pilot deliberately keeps conditional consequence separate from event frequency, so probability of occurrence is not folded into the blended VSL value. Frequency enters only in a later Bayesian phase (Section 10), where an annual event rate multiplies the conditional consequence. Combining a probability of occurrence into the blended VSL here would re-entangle consequence and frequency and would misstate a conditional figure as a risk-weighted one; it is therefore intentionally not done.</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1550"/>
            <w:shd w:fill="2F75B5"/>
          </w:tcPr>
          <w:p>
            <w:r>
              <w:rPr>
                <w:color w:val="FFFFFF"/>
              </w:rPr>
              <w:t xml:space="preserve">Weapon Class</w:t>
            </w:r>
          </w:p>
        </w:tc>
        <w:tc>
          <w:tcPr>
            <w:tcW w:type="dxa" w:w="1550"/>
            <w:shd w:fill="2F75B5"/>
          </w:tcPr>
          <w:p>
            <w:r>
              <w:rPr>
                <w:color w:val="FFFFFF"/>
              </w:rPr>
              <w:t xml:space="preserve">MAIS 1-3 Share</w:t>
            </w:r>
          </w:p>
        </w:tc>
        <w:tc>
          <w:tcPr>
            <w:tcW w:type="dxa" w:w="1550"/>
            <w:shd w:fill="2F75B5"/>
          </w:tcPr>
          <w:p>
            <w:r>
              <w:rPr>
                <w:color w:val="FFFFFF"/>
              </w:rPr>
              <w:t xml:space="preserve">MAIS 4-5 Share</w:t>
            </w:r>
          </w:p>
        </w:tc>
        <w:tc>
          <w:tcPr>
            <w:tcW w:type="dxa" w:w="1550"/>
            <w:shd w:fill="2F75B5"/>
          </w:tcPr>
          <w:p>
            <w:r>
              <w:rPr>
                <w:color w:val="FFFFFF"/>
              </w:rPr>
              <w:t xml:space="preserve">Blended VSL Fraction</w:t>
            </w:r>
          </w:p>
        </w:tc>
        <w:tc>
          <w:tcPr>
            <w:tcW w:type="dxa" w:w="1550"/>
            <w:shd w:fill="2F75B5"/>
          </w:tcPr>
          <w:p>
            <w:r>
              <w:rPr>
                <w:color w:val="FFFFFF"/>
              </w:rPr>
              <w:t xml:space="preserve">Scoring Basis</w:t>
            </w:r>
          </w:p>
        </w:tc>
        <w:tc>
          <w:tcPr>
            <w:tcW w:type="dxa" w:w="1550"/>
            <w:shd w:fill="2F75B5"/>
          </w:tcPr>
          <w:p>
            <w:r>
              <w:rPr>
                <w:color w:val="FFFFFF"/>
              </w:rPr>
              <w:t xml:space="preserve">Scenarios</w:t>
            </w:r>
          </w:p>
        </w:tc>
      </w:tr>
      <w:tr>
        <w:tc>
          <w:tcPr>
            <w:tcW w:type="dxa" w:w="1550"/>
          </w:tcPr>
          <w:p>
            <w:pPr>
              <w:pStyle w:val="TableSmall"/>
            </w:pPr>
            <w:r>
              <w:t xml:space="preserve">Blunt / vehicular</w:t>
            </w:r>
          </w:p>
        </w:tc>
        <w:tc>
          <w:tcPr>
            <w:tcW w:type="dxa" w:w="1550"/>
          </w:tcPr>
          <w:p>
            <w:pPr>
              <w:pStyle w:val="TableSmall"/>
            </w:pPr>
            <w:r>
              <w:t xml:space="preserve">95%</w:t>
            </w:r>
          </w:p>
        </w:tc>
        <w:tc>
          <w:tcPr>
            <w:tcW w:type="dxa" w:w="1550"/>
          </w:tcPr>
          <w:p>
            <w:pPr>
              <w:pStyle w:val="TableSmall"/>
            </w:pPr>
            <w:r>
              <w:t xml:space="preserve">5%</w:t>
            </w:r>
          </w:p>
        </w:tc>
        <w:tc>
          <w:tcPr>
            <w:tcW w:type="dxa" w:w="1550"/>
          </w:tcPr>
          <w:p>
            <w:pPr>
              <w:pStyle w:val="TableSmall"/>
            </w:pPr>
            <w:r>
              <w:t xml:space="preserve">4.4%</w:t>
            </w:r>
          </w:p>
        </w:tc>
        <w:tc>
          <w:tcPr>
            <w:tcW w:type="dxa" w:w="1550"/>
          </w:tcPr>
          <w:p>
            <w:pPr>
              <w:pStyle w:val="TableSmall"/>
            </w:pPr>
            <w:r>
              <w:t xml:space="preserve">MAIS/AIS; blunt trauma well-characterized</w:t>
            </w:r>
          </w:p>
        </w:tc>
        <w:tc>
          <w:tcPr>
            <w:tcW w:type="dxa" w:w="1550"/>
          </w:tcPr>
          <w:p>
            <w:pPr>
              <w:pStyle w:val="TableSmall"/>
            </w:pPr>
            <w:r>
              <w:t xml:space="preserve">SU-03</w:t>
            </w:r>
          </w:p>
        </w:tc>
      </w:tr>
      <w:tr>
        <w:tc>
          <w:tcPr>
            <w:tcW w:type="dxa" w:w="1550"/>
          </w:tcPr>
          <w:p>
            <w:pPr>
              <w:pStyle w:val="TableSmall"/>
            </w:pPr>
            <w:r>
              <w:t xml:space="preserve">Ballistic / edged</w:t>
            </w:r>
          </w:p>
        </w:tc>
        <w:tc>
          <w:tcPr>
            <w:tcW w:type="dxa" w:w="1550"/>
          </w:tcPr>
          <w:p>
            <w:pPr>
              <w:pStyle w:val="TableSmall"/>
            </w:pPr>
            <w:r>
              <w:t xml:space="preserve">82%</w:t>
            </w:r>
          </w:p>
        </w:tc>
        <w:tc>
          <w:tcPr>
            <w:tcW w:type="dxa" w:w="1550"/>
          </w:tcPr>
          <w:p>
            <w:pPr>
              <w:pStyle w:val="TableSmall"/>
            </w:pPr>
            <w:r>
              <w:t xml:space="preserve">18%</w:t>
            </w:r>
          </w:p>
        </w:tc>
        <w:tc>
          <w:tcPr>
            <w:tcW w:type="dxa" w:w="1550"/>
          </w:tcPr>
          <w:p>
            <w:pPr>
              <w:pStyle w:val="TableSmall"/>
            </w:pPr>
            <w:r>
              <w:t xml:space="preserve">10.2%</w:t>
            </w:r>
          </w:p>
        </w:tc>
        <w:tc>
          <w:tcPr>
            <w:tcW w:type="dxa" w:w="1550"/>
          </w:tcPr>
          <w:p>
            <w:pPr>
              <w:pStyle w:val="TableSmall"/>
            </w:pPr>
            <w:r>
              <w:t xml:space="preserve">MAIS/AIS with penetrating-trauma tail</w:t>
            </w:r>
          </w:p>
        </w:tc>
        <w:tc>
          <w:tcPr>
            <w:tcW w:type="dxa" w:w="1550"/>
          </w:tcPr>
          <w:p>
            <w:pPr>
              <w:pStyle w:val="TableSmall"/>
            </w:pPr>
            <w:r>
              <w:t xml:space="preserve">AV-02 to AV-07; SU-01; SU-02</w:t>
            </w:r>
          </w:p>
        </w:tc>
      </w:tr>
      <w:tr>
        <w:tc>
          <w:tcPr>
            <w:tcW w:type="dxa" w:w="1550"/>
          </w:tcPr>
          <w:p>
            <w:pPr>
              <w:pStyle w:val="TableSmall"/>
            </w:pPr>
            <w:r>
              <w:t xml:space="preserve">Blast (primary/secondary/quaternary)</w:t>
            </w:r>
          </w:p>
        </w:tc>
        <w:tc>
          <w:tcPr>
            <w:tcW w:type="dxa" w:w="1550"/>
          </w:tcPr>
          <w:p>
            <w:pPr>
              <w:pStyle w:val="TableSmall"/>
            </w:pPr>
            <w:r>
              <w:t xml:space="preserve">67%</w:t>
            </w:r>
          </w:p>
        </w:tc>
        <w:tc>
          <w:tcPr>
            <w:tcW w:type="dxa" w:w="1550"/>
          </w:tcPr>
          <w:p>
            <w:pPr>
              <w:pStyle w:val="TableSmall"/>
            </w:pPr>
            <w:r>
              <w:t xml:space="preserve">33%</w:t>
            </w:r>
          </w:p>
        </w:tc>
        <w:tc>
          <w:tcPr>
            <w:tcW w:type="dxa" w:w="1550"/>
          </w:tcPr>
          <w:p>
            <w:pPr>
              <w:pStyle w:val="TableSmall"/>
            </w:pPr>
            <w:r>
              <w:t xml:space="preserve">16.1%</w:t>
            </w:r>
          </w:p>
        </w:tc>
        <w:tc>
          <w:tcPr>
            <w:tcW w:type="dxa" w:w="1550"/>
          </w:tcPr>
          <w:p>
            <w:pPr>
              <w:pStyle w:val="TableSmall"/>
            </w:pPr>
            <w:r>
              <w:t xml:space="preserve">NISS + TRISS; multi-region blast injury</w:t>
            </w:r>
          </w:p>
        </w:tc>
        <w:tc>
          <w:tcPr>
            <w:tcW w:type="dxa" w:w="1550"/>
          </w:tcPr>
          <w:p>
            <w:pPr>
              <w:pStyle w:val="TableSmall"/>
            </w:pPr>
            <w:r>
              <w:t xml:space="preserve">AV-01; AV-08; AV-09; SU-04</w:t>
            </w:r>
          </w:p>
        </w:tc>
      </w:tr>
      <w:tr>
        <w:tc>
          <w:tcPr>
            <w:tcW w:type="dxa" w:w="1550"/>
          </w:tcPr>
          <w:p>
            <w:pPr>
              <w:pStyle w:val="TableSmall"/>
            </w:pPr>
            <w:r>
              <w:t xml:space="preserve">Chemical / biological</w:t>
            </w:r>
          </w:p>
        </w:tc>
        <w:tc>
          <w:tcPr>
            <w:tcW w:type="dxa" w:w="1550"/>
          </w:tcPr>
          <w:p>
            <w:pPr>
              <w:pStyle w:val="TableSmall"/>
            </w:pPr>
            <w:r>
              <w:t xml:space="preserve">75%</w:t>
            </w:r>
          </w:p>
        </w:tc>
        <w:tc>
          <w:tcPr>
            <w:tcW w:type="dxa" w:w="1550"/>
          </w:tcPr>
          <w:p>
            <w:pPr>
              <w:pStyle w:val="TableSmall"/>
            </w:pPr>
            <w:r>
              <w:t xml:space="preserve">25%</w:t>
            </w:r>
          </w:p>
        </w:tc>
        <w:tc>
          <w:tcPr>
            <w:tcW w:type="dxa" w:w="1550"/>
          </w:tcPr>
          <w:p>
            <w:pPr>
              <w:pStyle w:val="TableSmall"/>
            </w:pPr>
            <w:r>
              <w:t xml:space="preserve">13.1%</w:t>
            </w:r>
          </w:p>
        </w:tc>
        <w:tc>
          <w:tcPr>
            <w:tcW w:type="dxa" w:w="1550"/>
          </w:tcPr>
          <w:p>
            <w:pPr>
              <w:pStyle w:val="TableSmall"/>
            </w:pPr>
            <w:r>
              <w:t xml:space="preserve">Toxidrome severity; delayed-effect uncertainty</w:t>
            </w:r>
          </w:p>
        </w:tc>
        <w:tc>
          <w:tcPr>
            <w:tcW w:type="dxa" w:w="1550"/>
          </w:tcPr>
          <w:p>
            <w:pPr>
              <w:pStyle w:val="TableSmall"/>
            </w:pPr>
            <w:r>
              <w:t xml:space="preserve">AV-10; AV-11; SU-05</w:t>
            </w:r>
          </w:p>
        </w:tc>
      </w:tr>
    </w:tbl>
    <w:p>
      <w:r>
        <w:t xml:space="preserve">Weapon-class assignments are recorded per scenario in the workbook (Outcome Scenarios, column AE) and are selectable from a controlled list, so a reassignment updates the affected estimate directly. These assignments are analyst-assigned in this pilot and require subject-matter expert confirmation before operational use.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2F75B5"/>
          </w:tcPr>
          <w:p>
            <w:r>
              <w:rPr>
                <w:color w:val="FFFFFF"/>
              </w:rPr>
              <w:t>MAIS</w:t>
            </w:r>
          </w:p>
        </w:tc>
        <w:tc>
          <w:tcPr>
            <w:tcW w:type="dxa" w:w="2556"/>
            <w:shd w:fill="2F75B5"/>
          </w:tcPr>
          <w:p>
            <w:r>
              <w:rPr>
                <w:color w:val="FFFFFF"/>
              </w:rPr>
              <w:t>Severity</w:t>
            </w:r>
          </w:p>
        </w:tc>
        <w:tc>
          <w:tcPr>
            <w:tcW w:type="dxa" w:w="2556"/>
            <w:shd w:fill="2F75B5"/>
          </w:tcPr>
          <w:p>
            <w:r>
              <w:rPr>
                <w:color w:val="FFFFFF"/>
              </w:rPr>
              <w:t>VSL Fraction</w:t>
            </w:r>
          </w:p>
        </w:tc>
        <w:tc>
          <w:tcPr>
            <w:tcW w:type="dxa" w:w="2556"/>
            <w:shd w:fill="2F75B5"/>
          </w:tcPr>
          <w:p>
            <w:r>
              <w:rPr>
                <w:color w:val="FFFFFF"/>
              </w:rPr>
              <w:t>2025-Dollar Value</w:t>
            </w:r>
          </w:p>
        </w:tc>
      </w:tr>
      <w:tr>
        <w:tc>
          <w:tcPr>
            <w:tcW w:type="dxa" w:w="2556"/>
          </w:tcPr>
          <w:p>
            <w:pPr>
              <w:pStyle w:val="TableSmall"/>
            </w:pPr>
            <w:r>
              <w:t>MAIS 1</w:t>
            </w:r>
          </w:p>
        </w:tc>
        <w:tc>
          <w:tcPr>
            <w:tcW w:type="dxa" w:w="2556"/>
          </w:tcPr>
          <w:p>
            <w:pPr>
              <w:pStyle w:val="TableSmall"/>
            </w:pPr>
            <w:r>
              <w:t>Minor</w:t>
            </w:r>
          </w:p>
        </w:tc>
        <w:tc>
          <w:tcPr>
            <w:tcW w:type="dxa" w:w="2556"/>
          </w:tcPr>
          <w:p>
            <w:pPr>
              <w:pStyle w:val="TableSmall"/>
            </w:pPr>
            <w:r>
              <w:t>0.3%</w:t>
            </w:r>
          </w:p>
        </w:tc>
        <w:tc>
          <w:tcPr>
            <w:tcW w:type="dxa" w:w="2556"/>
          </w:tcPr>
          <w:p>
            <w:pPr>
              <w:pStyle w:val="TableSmall"/>
            </w:pPr>
            <w:r>
              <w:t>$42,600</w:t>
            </w:r>
          </w:p>
        </w:tc>
      </w:tr>
      <w:tr>
        <w:tc>
          <w:tcPr>
            <w:tcW w:type="dxa" w:w="2556"/>
          </w:tcPr>
          <w:p>
            <w:pPr>
              <w:pStyle w:val="TableSmall"/>
            </w:pPr>
            <w:r>
              <w:t>MAIS 2</w:t>
            </w:r>
          </w:p>
        </w:tc>
        <w:tc>
          <w:tcPr>
            <w:tcW w:type="dxa" w:w="2556"/>
          </w:tcPr>
          <w:p>
            <w:pPr>
              <w:pStyle w:val="TableSmall"/>
            </w:pPr>
            <w:r>
              <w:t>Moderate</w:t>
            </w:r>
          </w:p>
        </w:tc>
        <w:tc>
          <w:tcPr>
            <w:tcW w:type="dxa" w:w="2556"/>
          </w:tcPr>
          <w:p>
            <w:pPr>
              <w:pStyle w:val="TableSmall"/>
            </w:pPr>
            <w:r>
              <w:t>4.7%</w:t>
            </w:r>
          </w:p>
        </w:tc>
        <w:tc>
          <w:tcPr>
            <w:tcW w:type="dxa" w:w="2556"/>
          </w:tcPr>
          <w:p>
            <w:pPr>
              <w:pStyle w:val="TableSmall"/>
            </w:pPr>
            <w:r>
              <w:t>$667,400</w:t>
            </w:r>
          </w:p>
        </w:tc>
      </w:tr>
      <w:tr>
        <w:tc>
          <w:tcPr>
            <w:tcW w:type="dxa" w:w="2556"/>
          </w:tcPr>
          <w:p>
            <w:pPr>
              <w:pStyle w:val="TableSmall"/>
            </w:pPr>
            <w:r>
              <w:t>MAIS 3</w:t>
            </w:r>
          </w:p>
        </w:tc>
        <w:tc>
          <w:tcPr>
            <w:tcW w:type="dxa" w:w="2556"/>
          </w:tcPr>
          <w:p>
            <w:pPr>
              <w:pStyle w:val="TableSmall"/>
            </w:pPr>
            <w:r>
              <w:t>Serious</w:t>
            </w:r>
          </w:p>
        </w:tc>
        <w:tc>
          <w:tcPr>
            <w:tcW w:type="dxa" w:w="2556"/>
          </w:tcPr>
          <w:p>
            <w:pPr>
              <w:pStyle w:val="TableSmall"/>
            </w:pPr>
            <w:r>
              <w:t>10.5%</w:t>
            </w:r>
          </w:p>
        </w:tc>
        <w:tc>
          <w:tcPr>
            <w:tcW w:type="dxa" w:w="2556"/>
          </w:tcPr>
          <w:p>
            <w:pPr>
              <w:pStyle w:val="TableSmall"/>
            </w:pPr>
            <w:r>
              <w:t>$1,491,000</w:t>
            </w:r>
          </w:p>
        </w:tc>
      </w:tr>
      <w:tr>
        <w:tc>
          <w:tcPr>
            <w:tcW w:type="dxa" w:w="2556"/>
          </w:tcPr>
          <w:p>
            <w:pPr>
              <w:pStyle w:val="TableSmall"/>
            </w:pPr>
            <w:r>
              <w:t>MAIS 4</w:t>
            </w:r>
          </w:p>
        </w:tc>
        <w:tc>
          <w:tcPr>
            <w:tcW w:type="dxa" w:w="2556"/>
          </w:tcPr>
          <w:p>
            <w:pPr>
              <w:pStyle w:val="TableSmall"/>
            </w:pPr>
            <w:r>
              <w:t>Severe</w:t>
            </w:r>
          </w:p>
        </w:tc>
        <w:tc>
          <w:tcPr>
            <w:tcW w:type="dxa" w:w="2556"/>
          </w:tcPr>
          <w:p>
            <w:pPr>
              <w:pStyle w:val="TableSmall"/>
            </w:pPr>
            <w:r>
              <w:t>26.6%</w:t>
            </w:r>
          </w:p>
        </w:tc>
        <w:tc>
          <w:tcPr>
            <w:tcW w:type="dxa" w:w="2556"/>
          </w:tcPr>
          <w:p>
            <w:pPr>
              <w:pStyle w:val="TableSmall"/>
            </w:pPr>
            <w:r>
              <w:t>$3,777,200</w:t>
            </w:r>
          </w:p>
        </w:tc>
      </w:tr>
      <w:tr>
        <w:tc>
          <w:tcPr>
            <w:tcW w:type="dxa" w:w="2556"/>
          </w:tcPr>
          <w:p>
            <w:pPr>
              <w:pStyle w:val="TableSmall"/>
            </w:pPr>
            <w:r>
              <w:t>MAIS 5</w:t>
            </w:r>
          </w:p>
        </w:tc>
        <w:tc>
          <w:tcPr>
            <w:tcW w:type="dxa" w:w="2556"/>
          </w:tcPr>
          <w:p>
            <w:pPr>
              <w:pStyle w:val="TableSmall"/>
            </w:pPr>
            <w:r>
              <w:t>Critical</w:t>
            </w:r>
          </w:p>
        </w:tc>
        <w:tc>
          <w:tcPr>
            <w:tcW w:type="dxa" w:w="2556"/>
          </w:tcPr>
          <w:p>
            <w:pPr>
              <w:pStyle w:val="TableSmall"/>
            </w:pPr>
            <w:r>
              <w:t>59.3%</w:t>
            </w:r>
          </w:p>
        </w:tc>
        <w:tc>
          <w:tcPr>
            <w:tcW w:type="dxa" w:w="2556"/>
          </w:tcPr>
          <w:p>
            <w:pPr>
              <w:pStyle w:val="TableSmall"/>
            </w:pPr>
            <w:r>
              <w:t>$8,420,600</w:t>
            </w:r>
          </w:p>
        </w:tc>
      </w:tr>
      <w:tr>
        <w:tc>
          <w:tcPr>
            <w:tcW w:type="dxa" w:w="2556"/>
          </w:tcPr>
          <w:p>
            <w:pPr>
              <w:pStyle w:val="TableSmall"/>
            </w:pPr>
            <w:r>
              <w:t>MAIS 6</w:t>
            </w:r>
          </w:p>
        </w:tc>
        <w:tc>
          <w:tcPr>
            <w:tcW w:type="dxa" w:w="2556"/>
          </w:tcPr>
          <w:p>
            <w:pPr>
              <w:pStyle w:val="TableSmall"/>
            </w:pPr>
            <w:r>
              <w:t>Fatal/unsurvivable</w:t>
            </w:r>
          </w:p>
        </w:tc>
        <w:tc>
          <w:tcPr>
            <w:tcW w:type="dxa" w:w="2556"/>
          </w:tcPr>
          <w:p>
            <w:pPr>
              <w:pStyle w:val="TableSmall"/>
            </w:pPr>
            <w:r>
              <w:t>100.0%</w:t>
            </w:r>
          </w:p>
        </w:tc>
        <w:tc>
          <w:tcPr>
            <w:tcW w:type="dxa" w:w="2556"/>
          </w:tcPr>
          <w:p>
            <w:pPr>
              <w:pStyle w:val="TableSmall"/>
            </w:pPr>
            <w:r>
              <w:t>$14,200,000</w:t>
            </w:r>
          </w:p>
        </w:tc>
      </w:tr>
    </w:tbl>
    <w:p>
      <w:pPr>
        <w:pStyle w:val="Heading2"/>
      </w:pPr>
      <w:r>
        <w:t>5.3 Mitigations</w:t>
      </w:r>
    </w:p>
    <w:p>
      <w:r>
        <w:t>Mitigations are reflected implicitly in the low, central, and high ranges rather than by applying a single unsupported percentage reduction. Future DHS implementation should model access, execution, device/method functioning, detection/interdiction, and severity reduction as separate conditional stages. Correlated controls should not be multiplied as though independent.</w:t>
      </w:r>
    </w:p>
    <w:p>
      <w:pPr>
        <w:pStyle w:val="Heading2"/>
      </w:pPr>
      <w:r>
        <w:t>5.4 Confidence</w:t>
      </w:r>
    </w:p>
    <w:p>
      <w:pPr>
        <w:pStyle w:val="ListBullet"/>
      </w:pPr>
      <w:r>
        <w:t>Moderate-High: several directly relevant official observations and relatively stable physical mechanism.</w:t>
      </w:r>
    </w:p>
    <w:p>
      <w:pPr>
        <w:pStyle w:val="ListBullet"/>
      </w:pPr>
      <w:r>
        <w:t>Moderate: relevant observed events, but important differences in target, security regime, or response.</w:t>
      </w:r>
    </w:p>
    <w:p>
      <w:pPr>
        <w:pStyle w:val="ListBullet"/>
      </w:pPr>
      <w:r>
        <w:t>Moderate-Low: limited direct evidence and substantial analogical adjustment.</w:t>
      </w:r>
    </w:p>
    <w:p>
      <w:pPr>
        <w:pStyle w:val="ListBullet"/>
      </w:pPr>
      <w:r>
        <w:t>Low: sparse or absent comparable events, mechanistic model, or broad heterogeneous family.</w:t>
      </w:r>
    </w:p>
    <w:p>
      <w:pPr>
        <w:pStyle w:val="Heading1"/>
      </w:pPr>
      <w:r>
        <w:t>6. Consequence Estimation Method</w:t>
      </w:r>
    </w:p>
    <w:p>
      <w:pPr>
        <w:pStyle w:val="Heading2"/>
      </w:pPr>
      <w:r>
        <w:t>6.1 First-order consequences</w:t>
      </w:r>
    </w:p>
    <w:p>
      <w:r>
        <w:t>First-order consequences include deaths, injuries, and physical infrastructure/property damage from the immediate event through one year. The pilot does not separately add medical spending or lifetime earnings where doing so would overlap with DOT casualty valuation.</w:t>
      </w:r>
    </w:p>
    <w:p>
      <w:pPr>
        <w:pStyle w:val="Heading2"/>
      </w:pPr>
      <w:r>
        <w:t>6.2 Outage durations</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2F75B5"/>
          </w:tcPr>
          <w:p>
            <w:r>
              <w:rPr>
                <w:color w:val="FFFFFF"/>
              </w:rPr>
              <w:t xml:space="preserve">Label</w:t>
            </w:r>
          </w:p>
        </w:tc>
        <w:tc>
          <w:tcPr>
            <w:tcW w:type="dxa" w:w="1700"/>
            <w:shd w:fill="2F75B5"/>
          </w:tcPr>
          <w:p>
            <w:r>
              <w:rPr>
                <w:color w:val="FFFFFF"/>
              </w:rPr>
              <w:t xml:space="preserve">Hours</w:t>
            </w:r>
          </w:p>
        </w:tc>
        <w:tc>
          <w:tcPr>
            <w:tcW w:type="dxa" w:w="1700"/>
            <w:shd w:fill="2F75B5"/>
          </w:tcPr>
          <w:p>
            <w:r>
              <w:rPr>
                <w:color w:val="FFFFFF"/>
              </w:rPr>
              <w:t xml:space="preserve">Engineering Days</w:t>
            </w:r>
          </w:p>
        </w:tc>
        <w:tc>
          <w:tcPr>
            <w:tcW w:type="dxa" w:w="1700"/>
            <w:shd w:fill="2F75B5"/>
          </w:tcPr>
          <w:p>
            <w:r>
              <w:rPr>
                <w:color w:val="FFFFFF"/>
              </w:rPr>
              <w:t xml:space="preserve">Escalation/Buffer Factor</w:t>
            </w:r>
          </w:p>
        </w:tc>
        <w:tc>
          <w:tcPr>
            <w:tcW w:type="dxa" w:w="1700"/>
            <w:shd w:fill="2F75B5"/>
          </w:tcPr>
          <w:p>
            <w:r>
              <w:rPr>
                <w:color w:val="FFFFFF"/>
              </w:rPr>
              <w:t xml:space="preserve">Regulatory-Delay Days</w:t>
            </w:r>
          </w:p>
        </w:tc>
        <w:tc>
          <w:tcPr>
            <w:tcW w:type="dxa" w:w="1700"/>
            <w:shd w:fill="2F75B5"/>
          </w:tcPr>
          <w:p>
            <w:r>
              <w:rPr>
                <w:color w:val="FFFFFF"/>
              </w:rPr>
              <w:t xml:space="preserve">Effective Outage Days</w:t>
            </w:r>
          </w:p>
        </w:tc>
      </w:tr>
      <w:tr>
        <w:tc>
          <w:tcPr>
            <w:tcW w:type="dxa" w:w="1700"/>
          </w:tcPr>
          <w:p>
            <w:pPr>
              <w:pStyle w:val="TableSmall"/>
            </w:pPr>
            <w:r>
              <w:t xml:space="preserve">4 hours</w:t>
            </w:r>
          </w:p>
        </w:tc>
        <w:tc>
          <w:tcPr>
            <w:tcW w:type="dxa" w:w="1700"/>
          </w:tcPr>
          <w:p>
            <w:pPr>
              <w:pStyle w:val="TableSmall"/>
            </w:pPr>
            <w:r>
              <w:t xml:space="preserve">4</w:t>
            </w:r>
          </w:p>
        </w:tc>
        <w:tc>
          <w:tcPr>
            <w:tcW w:type="dxa" w:w="1700"/>
          </w:tcPr>
          <w:p>
            <w:pPr>
              <w:pStyle w:val="TableSmall"/>
            </w:pPr>
            <w:r>
              <w:t xml:space="preserve">0.17</w:t>
            </w:r>
          </w:p>
        </w:tc>
        <w:tc>
          <w:tcPr>
            <w:tcW w:type="dxa" w:w="1700"/>
          </w:tcPr>
          <w:p>
            <w:pPr>
              <w:pStyle w:val="TableSmall"/>
            </w:pPr>
            <w:r>
              <w:t xml:space="preserve">0.35</w:t>
            </w:r>
          </w:p>
        </w:tc>
        <w:tc>
          <w:tcPr>
            <w:tcW w:type="dxa" w:w="1700"/>
          </w:tcPr>
          <w:p>
            <w:pPr>
              <w:pStyle w:val="TableSmall"/>
            </w:pPr>
            <w:r>
              <w:t xml:space="preserve">0</w:t>
            </w:r>
          </w:p>
        </w:tc>
        <w:tc>
          <w:tcPr>
            <w:tcW w:type="dxa" w:w="1700"/>
          </w:tcPr>
          <w:p>
            <w:pPr>
              <w:pStyle w:val="TableSmall"/>
            </w:pPr>
            <w:r>
              <w:t xml:space="preserve">0.17</w:t>
            </w:r>
          </w:p>
        </w:tc>
      </w:tr>
      <w:tr>
        <w:tc>
          <w:tcPr>
            <w:tcW w:type="dxa" w:w="1700"/>
          </w:tcPr>
          <w:p>
            <w:pPr>
              <w:pStyle w:val="TableSmall"/>
            </w:pPr>
            <w:r>
              <w:t xml:space="preserve">12 hours</w:t>
            </w:r>
          </w:p>
        </w:tc>
        <w:tc>
          <w:tcPr>
            <w:tcW w:type="dxa" w:w="1700"/>
          </w:tcPr>
          <w:p>
            <w:pPr>
              <w:pStyle w:val="TableSmall"/>
            </w:pPr>
            <w:r>
              <w:t xml:space="preserve">12</w:t>
            </w:r>
          </w:p>
        </w:tc>
        <w:tc>
          <w:tcPr>
            <w:tcW w:type="dxa" w:w="1700"/>
          </w:tcPr>
          <w:p>
            <w:pPr>
              <w:pStyle w:val="TableSmall"/>
            </w:pPr>
            <w:r>
              <w:t xml:space="preserve">0.50</w:t>
            </w:r>
          </w:p>
        </w:tc>
        <w:tc>
          <w:tcPr>
            <w:tcW w:type="dxa" w:w="1700"/>
          </w:tcPr>
          <w:p>
            <w:pPr>
              <w:pStyle w:val="TableSmall"/>
            </w:pPr>
            <w:r>
              <w:t xml:space="preserve">0.55</w:t>
            </w:r>
          </w:p>
        </w:tc>
        <w:tc>
          <w:tcPr>
            <w:tcW w:type="dxa" w:w="1700"/>
          </w:tcPr>
          <w:p>
            <w:pPr>
              <w:pStyle w:val="TableSmall"/>
            </w:pPr>
            <w:r>
              <w:t xml:space="preserve">0</w:t>
            </w:r>
          </w:p>
        </w:tc>
        <w:tc>
          <w:tcPr>
            <w:tcW w:type="dxa" w:w="1700"/>
          </w:tcPr>
          <w:p>
            <w:pPr>
              <w:pStyle w:val="TableSmall"/>
            </w:pPr>
            <w:r>
              <w:t xml:space="preserve">0.50</w:t>
            </w:r>
          </w:p>
        </w:tc>
      </w:tr>
      <w:tr>
        <w:tc>
          <w:tcPr>
            <w:tcW w:type="dxa" w:w="1700"/>
          </w:tcPr>
          <w:p>
            <w:pPr>
              <w:pStyle w:val="TableSmall"/>
            </w:pPr>
            <w:r>
              <w:t xml:space="preserve">1 day</w:t>
            </w:r>
          </w:p>
        </w:tc>
        <w:tc>
          <w:tcPr>
            <w:tcW w:type="dxa" w:w="1700"/>
          </w:tcPr>
          <w:p>
            <w:pPr>
              <w:pStyle w:val="TableSmall"/>
            </w:pPr>
            <w:r>
              <w:t xml:space="preserve">24</w:t>
            </w:r>
          </w:p>
        </w:tc>
        <w:tc>
          <w:tcPr>
            <w:tcW w:type="dxa" w:w="1700"/>
          </w:tcPr>
          <w:p>
            <w:pPr>
              <w:pStyle w:val="TableSmall"/>
            </w:pPr>
            <w:r>
              <w:t xml:space="preserve">1.00</w:t>
            </w:r>
          </w:p>
        </w:tc>
        <w:tc>
          <w:tcPr>
            <w:tcW w:type="dxa" w:w="1700"/>
          </w:tcPr>
          <w:p>
            <w:pPr>
              <w:pStyle w:val="TableSmall"/>
            </w:pPr>
            <w:r>
              <w:t xml:space="preserve">0.70</w:t>
            </w:r>
          </w:p>
        </w:tc>
        <w:tc>
          <w:tcPr>
            <w:tcW w:type="dxa" w:w="1700"/>
          </w:tcPr>
          <w:p>
            <w:pPr>
              <w:pStyle w:val="TableSmall"/>
            </w:pPr>
            <w:r>
              <w:t xml:space="preserve">0</w:t>
            </w:r>
          </w:p>
        </w:tc>
        <w:tc>
          <w:tcPr>
            <w:tcW w:type="dxa" w:w="1700"/>
          </w:tcPr>
          <w:p>
            <w:pPr>
              <w:pStyle w:val="TableSmall"/>
            </w:pPr>
            <w:r>
              <w:t xml:space="preserve">1.00</w:t>
            </w:r>
          </w:p>
        </w:tc>
      </w:tr>
      <w:tr>
        <w:tc>
          <w:tcPr>
            <w:tcW w:type="dxa" w:w="1700"/>
          </w:tcPr>
          <w:p>
            <w:pPr>
              <w:pStyle w:val="TableSmall"/>
            </w:pPr>
            <w:r>
              <w:t xml:space="preserve">3 days</w:t>
            </w:r>
          </w:p>
        </w:tc>
        <w:tc>
          <w:tcPr>
            <w:tcW w:type="dxa" w:w="1700"/>
          </w:tcPr>
          <w:p>
            <w:pPr>
              <w:pStyle w:val="TableSmall"/>
            </w:pPr>
            <w:r>
              <w:t xml:space="preserve">72</w:t>
            </w:r>
          </w:p>
        </w:tc>
        <w:tc>
          <w:tcPr>
            <w:tcW w:type="dxa" w:w="1700"/>
          </w:tcPr>
          <w:p>
            <w:pPr>
              <w:pStyle w:val="TableSmall"/>
            </w:pPr>
            <w:r>
              <w:t xml:space="preserve">3.00</w:t>
            </w:r>
          </w:p>
        </w:tc>
        <w:tc>
          <w:tcPr>
            <w:tcW w:type="dxa" w:w="1700"/>
          </w:tcPr>
          <w:p>
            <w:pPr>
              <w:pStyle w:val="TableSmall"/>
            </w:pPr>
            <w:r>
              <w:t xml:space="preserve">0.90</w:t>
            </w:r>
          </w:p>
        </w:tc>
        <w:tc>
          <w:tcPr>
            <w:tcW w:type="dxa" w:w="1700"/>
          </w:tcPr>
          <w:p>
            <w:pPr>
              <w:pStyle w:val="TableSmall"/>
            </w:pPr>
            <w:r>
              <w:t xml:space="preserve">1</w:t>
            </w:r>
          </w:p>
        </w:tc>
        <w:tc>
          <w:tcPr>
            <w:tcW w:type="dxa" w:w="1700"/>
          </w:tcPr>
          <w:p>
            <w:pPr>
              <w:pStyle w:val="TableSmall"/>
            </w:pPr>
            <w:r>
              <w:t xml:space="preserve">4.00</w:t>
            </w:r>
          </w:p>
        </w:tc>
      </w:tr>
      <w:tr>
        <w:tc>
          <w:tcPr>
            <w:tcW w:type="dxa" w:w="1700"/>
          </w:tcPr>
          <w:p>
            <w:pPr>
              <w:pStyle w:val="TableSmall"/>
            </w:pPr>
            <w:r>
              <w:t xml:space="preserve">7 days</w:t>
            </w:r>
          </w:p>
        </w:tc>
        <w:tc>
          <w:tcPr>
            <w:tcW w:type="dxa" w:w="1700"/>
          </w:tcPr>
          <w:p>
            <w:pPr>
              <w:pStyle w:val="TableSmall"/>
            </w:pPr>
            <w:r>
              <w:t xml:space="preserve">168</w:t>
            </w:r>
          </w:p>
        </w:tc>
        <w:tc>
          <w:tcPr>
            <w:tcW w:type="dxa" w:w="1700"/>
          </w:tcPr>
          <w:p>
            <w:pPr>
              <w:pStyle w:val="TableSmall"/>
            </w:pPr>
            <w:r>
              <w:t xml:space="preserve">7.00</w:t>
            </w:r>
          </w:p>
        </w:tc>
        <w:tc>
          <w:tcPr>
            <w:tcW w:type="dxa" w:w="1700"/>
          </w:tcPr>
          <w:p>
            <w:pPr>
              <w:pStyle w:val="TableSmall"/>
            </w:pPr>
            <w:r>
              <w:t xml:space="preserve">1.00</w:t>
            </w:r>
          </w:p>
        </w:tc>
        <w:tc>
          <w:tcPr>
            <w:tcW w:type="dxa" w:w="1700"/>
          </w:tcPr>
          <w:p>
            <w:pPr>
              <w:pStyle w:val="TableSmall"/>
            </w:pPr>
            <w:r>
              <w:t xml:space="preserve">2</w:t>
            </w:r>
          </w:p>
        </w:tc>
        <w:tc>
          <w:tcPr>
            <w:tcW w:type="dxa" w:w="1700"/>
          </w:tcPr>
          <w:p>
            <w:pPr>
              <w:pStyle w:val="TableSmall"/>
            </w:pPr>
            <w:r>
              <w:t xml:space="preserve">9.00</w:t>
            </w:r>
          </w:p>
        </w:tc>
      </w:tr>
      <w:tr>
        <w:tc>
          <w:tcPr>
            <w:tcW w:type="dxa" w:w="1700"/>
          </w:tcPr>
          <w:p>
            <w:pPr>
              <w:pStyle w:val="TableSmall"/>
            </w:pPr>
            <w:r>
              <w:t xml:space="preserve">14 days</w:t>
            </w:r>
          </w:p>
        </w:tc>
        <w:tc>
          <w:tcPr>
            <w:tcW w:type="dxa" w:w="1700"/>
          </w:tcPr>
          <w:p>
            <w:pPr>
              <w:pStyle w:val="TableSmall"/>
            </w:pPr>
            <w:r>
              <w:t xml:space="preserve">336</w:t>
            </w:r>
          </w:p>
        </w:tc>
        <w:tc>
          <w:tcPr>
            <w:tcW w:type="dxa" w:w="1700"/>
          </w:tcPr>
          <w:p>
            <w:pPr>
              <w:pStyle w:val="TableSmall"/>
            </w:pPr>
            <w:r>
              <w:t xml:space="preserve">14.00</w:t>
            </w:r>
          </w:p>
        </w:tc>
        <w:tc>
          <w:tcPr>
            <w:tcW w:type="dxa" w:w="1700"/>
          </w:tcPr>
          <w:p>
            <w:pPr>
              <w:pStyle w:val="TableSmall"/>
            </w:pPr>
            <w:r>
              <w:t xml:space="preserve">1.10</w:t>
            </w:r>
          </w:p>
        </w:tc>
        <w:tc>
          <w:tcPr>
            <w:tcW w:type="dxa" w:w="1700"/>
          </w:tcPr>
          <w:p>
            <w:pPr>
              <w:pStyle w:val="TableSmall"/>
            </w:pPr>
            <w:r>
              <w:t xml:space="preserve">3</w:t>
            </w:r>
          </w:p>
        </w:tc>
        <w:tc>
          <w:tcPr>
            <w:tcW w:type="dxa" w:w="1700"/>
          </w:tcPr>
          <w:p>
            <w:pPr>
              <w:pStyle w:val="TableSmall"/>
            </w:pPr>
            <w:r>
              <w:t xml:space="preserve">17.00</w:t>
            </w:r>
          </w:p>
        </w:tc>
      </w:tr>
      <w:tr>
        <w:tc>
          <w:tcPr>
            <w:tcW w:type="dxa" w:w="1700"/>
          </w:tcPr>
          <w:p>
            <w:pPr>
              <w:pStyle w:val="TableSmall"/>
            </w:pPr>
            <w:r>
              <w:t xml:space="preserve">30 days</w:t>
            </w:r>
          </w:p>
        </w:tc>
        <w:tc>
          <w:tcPr>
            <w:tcW w:type="dxa" w:w="1700"/>
          </w:tcPr>
          <w:p>
            <w:pPr>
              <w:pStyle w:val="TableSmall"/>
            </w:pPr>
            <w:r>
              <w:t xml:space="preserve">720</w:t>
            </w:r>
          </w:p>
        </w:tc>
        <w:tc>
          <w:tcPr>
            <w:tcW w:type="dxa" w:w="1700"/>
          </w:tcPr>
          <w:p>
            <w:pPr>
              <w:pStyle w:val="TableSmall"/>
            </w:pPr>
            <w:r>
              <w:t xml:space="preserve">30.00</w:t>
            </w:r>
          </w:p>
        </w:tc>
        <w:tc>
          <w:tcPr>
            <w:tcW w:type="dxa" w:w="1700"/>
          </w:tcPr>
          <w:p>
            <w:pPr>
              <w:pStyle w:val="TableSmall"/>
            </w:pPr>
            <w:r>
              <w:t xml:space="preserve">1.20</w:t>
            </w:r>
          </w:p>
        </w:tc>
        <w:tc>
          <w:tcPr>
            <w:tcW w:type="dxa" w:w="1700"/>
          </w:tcPr>
          <w:p>
            <w:pPr>
              <w:pStyle w:val="TableSmall"/>
            </w:pPr>
            <w:r>
              <w:t xml:space="preserve">5</w:t>
            </w:r>
          </w:p>
        </w:tc>
        <w:tc>
          <w:tcPr>
            <w:tcW w:type="dxa" w:w="1700"/>
          </w:tcPr>
          <w:p>
            <w:pPr>
              <w:pStyle w:val="TableSmall"/>
            </w:pPr>
            <w:r>
              <w:t xml:space="preserve">35.00</w:t>
            </w:r>
          </w:p>
        </w:tc>
      </w:tr>
      <w:tr>
        <w:tc>
          <w:tcPr>
            <w:tcW w:type="dxa" w:w="1700"/>
          </w:tcPr>
          <w:p>
            <w:pPr>
              <w:pStyle w:val="TableSmall"/>
            </w:pPr>
            <w:r>
              <w:t xml:space="preserve">45 days</w:t>
            </w:r>
          </w:p>
        </w:tc>
        <w:tc>
          <w:tcPr>
            <w:tcW w:type="dxa" w:w="1700"/>
          </w:tcPr>
          <w:p>
            <w:pPr>
              <w:pStyle w:val="TableSmall"/>
            </w:pPr>
            <w:r>
              <w:t xml:space="preserve">1080</w:t>
            </w:r>
          </w:p>
        </w:tc>
        <w:tc>
          <w:tcPr>
            <w:tcW w:type="dxa" w:w="1700"/>
          </w:tcPr>
          <w:p>
            <w:pPr>
              <w:pStyle w:val="TableSmall"/>
            </w:pPr>
            <w:r>
              <w:t xml:space="preserve">45.00</w:t>
            </w:r>
          </w:p>
        </w:tc>
        <w:tc>
          <w:tcPr>
            <w:tcW w:type="dxa" w:w="1700"/>
          </w:tcPr>
          <w:p>
            <w:pPr>
              <w:pStyle w:val="TableSmall"/>
            </w:pPr>
            <w:r>
              <w:t xml:space="preserve">1.30</w:t>
            </w:r>
          </w:p>
        </w:tc>
        <w:tc>
          <w:tcPr>
            <w:tcW w:type="dxa" w:w="1700"/>
          </w:tcPr>
          <w:p>
            <w:pPr>
              <w:pStyle w:val="TableSmall"/>
            </w:pPr>
            <w:r>
              <w:t xml:space="preserve">10</w:t>
            </w:r>
          </w:p>
        </w:tc>
        <w:tc>
          <w:tcPr>
            <w:tcW w:type="dxa" w:w="1700"/>
          </w:tcPr>
          <w:p>
            <w:pPr>
              <w:pStyle w:val="TableSmall"/>
            </w:pPr>
            <w:r>
              <w:t xml:space="preserve">55.00</w:t>
            </w:r>
          </w:p>
        </w:tc>
      </w:tr>
      <w:tr>
        <w:tc>
          <w:tcPr>
            <w:tcW w:type="dxa" w:w="1700"/>
          </w:tcPr>
          <w:p>
            <w:pPr>
              <w:pStyle w:val="TableSmall"/>
            </w:pPr>
            <w:r>
              <w:t xml:space="preserve">90 days</w:t>
            </w:r>
          </w:p>
        </w:tc>
        <w:tc>
          <w:tcPr>
            <w:tcW w:type="dxa" w:w="1700"/>
          </w:tcPr>
          <w:p>
            <w:pPr>
              <w:pStyle w:val="TableSmall"/>
            </w:pPr>
            <w:r>
              <w:t xml:space="preserve">2160</w:t>
            </w:r>
          </w:p>
        </w:tc>
        <w:tc>
          <w:tcPr>
            <w:tcW w:type="dxa" w:w="1700"/>
          </w:tcPr>
          <w:p>
            <w:pPr>
              <w:pStyle w:val="TableSmall"/>
            </w:pPr>
            <w:r>
              <w:t xml:space="preserve">90.00</w:t>
            </w:r>
          </w:p>
        </w:tc>
        <w:tc>
          <w:tcPr>
            <w:tcW w:type="dxa" w:w="1700"/>
          </w:tcPr>
          <w:p>
            <w:pPr>
              <w:pStyle w:val="TableSmall"/>
            </w:pPr>
            <w:r>
              <w:t xml:space="preserve">1.40</w:t>
            </w:r>
          </w:p>
        </w:tc>
        <w:tc>
          <w:tcPr>
            <w:tcW w:type="dxa" w:w="1700"/>
          </w:tcPr>
          <w:p>
            <w:pPr>
              <w:pStyle w:val="TableSmall"/>
            </w:pPr>
            <w:r>
              <w:t xml:space="preserve">20</w:t>
            </w:r>
          </w:p>
        </w:tc>
        <w:tc>
          <w:tcPr>
            <w:tcW w:type="dxa" w:w="1700"/>
          </w:tcPr>
          <w:p>
            <w:pPr>
              <w:pStyle w:val="TableSmall"/>
            </w:pPr>
            <w:r>
              <w:t xml:space="preserve">110.00</w:t>
            </w:r>
          </w:p>
        </w:tc>
      </w:tr>
    </w:tbl>
    <w:p>
      <w:r>
        <w:t>The factor represents inventories, linepack, alternate routing, schedule recovery, and increasing cascade severity. It is a generic pilot recovery curve and must be replaced with target-specific evidence. Critically, engineering restoration is no longer the end of the outage. For regulated assets the model now adds a regulatory-delay lifecycle on top of engineering restoration: forensic hold, National Transportation Safety Board (NTSB) site control, Pipeline and Hazardous Materials Safety Administration (PHMSA) Corrective Action Orders (CAOs), metallurgical and forensic testing, and mandatory post-restart operating-pressure restrictions. The workbook therefore extends durations to 45 and 90 days and computes an effective outage as engineering days plus regulatory-delay days. The Danville transmission rupture investigation (PIR22002) confirms that a 14-day maximum outage for a major transmission pipeline is an engineering fiction once the federal regulatory lifecycle is included; effective outage for such assets extends to weeks or months.</w:t>
      </w:r>
    </w:p>
    <w:p>
      <w:pPr>
        <w:pStyle w:val="Heading2"/>
      </w:pPr>
      <w:r>
        <w:t>6.3 Second-order consequences</w:t>
      </w:r>
    </w:p>
    <w:p>
      <w:r>
        <w:t xml:space="preserve">The pilot uses generic daily loss ranges anchored to official sector and transportation-flow frameworks rather than pretending that a national average represents a specific asset. </w:t>
      </w:r>
      <w:r>
        <w:rPr>
          <w:sz w:val="14"/>
          <w:vertAlign w:val="superscript"/>
        </w:rPr>
        <w:t>[2,19,20]</w:t>
      </w:r>
      <w:r>
        <w:t>For formal use, each asset should receive throughput, redundancy, substitution, inventory, customer exposure, and restoration inputs.</w:t>
      </w:r>
    </w:p>
    <w:p>
      <w:pPr>
        <w:pStyle w:val="Heading2"/>
      </w:pPr>
      <w:r>
        <w:t>6.4 Target restoration thresholds</w:t>
      </w:r>
    </w:p>
    <w:tbl>
      <w:tblPr>
        <w:tblStyle w:val="TableGrid"/>
        <w:tblW w:type="auto" w:w="0"/>
        <w:jc w:val="center"/>
        <w:tblLook w:firstColumn="1" w:firstRow="1" w:lastColumn="0" w:lastRow="0" w:noHBand="0" w:noVBand="1" w:val="04A0"/>
      </w:tblPr>
      <w:tblGrid>
        <w:gridCol w:w="1450"/>
        <w:gridCol w:w="1450"/>
        <w:gridCol w:w="1450"/>
        <w:gridCol w:w="1450"/>
        <w:gridCol w:w="1450"/>
        <w:gridCol w:w="1450"/>
        <w:gridCol w:w="1450"/>
      </w:tblGrid>
      <w:tr>
        <w:tc>
          <w:tcPr>
            <w:tcW w:type="dxa" w:w="1450"/>
            <w:shd w:fill="2F75B5"/>
          </w:tcPr>
          <w:p>
            <w:r>
              <w:rPr>
                <w:color w:val="FFFFFF"/>
              </w:rPr>
              <w:t xml:space="preserve">Target</w:t>
            </w:r>
          </w:p>
        </w:tc>
        <w:tc>
          <w:tcPr>
            <w:tcW w:type="dxa" w:w="1450"/>
            <w:shd w:fill="2F75B5"/>
          </w:tcPr>
          <w:p>
            <w:r>
              <w:rPr>
                <w:color w:val="FFFFFF"/>
              </w:rPr>
              <w:t xml:space="preserve">Minimum Material Outage</w:t>
            </w:r>
          </w:p>
        </w:tc>
        <w:tc>
          <w:tcPr>
            <w:tcW w:type="dxa" w:w="1450"/>
            <w:shd w:fill="2F75B5"/>
          </w:tcPr>
          <w:p>
            <w:r>
              <w:rPr>
                <w:color w:val="FFFFFF"/>
              </w:rPr>
              <w:t xml:space="preserve">P50 Restoration</w:t>
            </w:r>
          </w:p>
        </w:tc>
        <w:tc>
          <w:tcPr>
            <w:tcW w:type="dxa" w:w="1450"/>
            <w:shd w:fill="2F75B5"/>
          </w:tcPr>
          <w:p>
            <w:r>
              <w:rPr>
                <w:color w:val="FFFFFF"/>
              </w:rPr>
              <w:t xml:space="preserve">Engineering P90</w:t>
            </w:r>
          </w:p>
        </w:tc>
        <w:tc>
          <w:tcPr>
            <w:tcW w:type="dxa" w:w="1450"/>
            <w:shd w:fill="2F75B5"/>
          </w:tcPr>
          <w:p>
            <w:r>
              <w:rPr>
                <w:color w:val="FFFFFF"/>
              </w:rPr>
              <w:t xml:space="preserve">Regulatory-Delay Days</w:t>
            </w:r>
          </w:p>
        </w:tc>
        <w:tc>
          <w:tcPr>
            <w:tcW w:type="dxa" w:w="1450"/>
            <w:shd w:fill="2F75B5"/>
          </w:tcPr>
          <w:p>
            <w:r>
              <w:rPr>
                <w:color w:val="FFFFFF"/>
              </w:rPr>
              <w:t xml:space="preserve">Effective P90 Restoration</w:t>
            </w:r>
          </w:p>
        </w:tc>
        <w:tc>
          <w:tcPr>
            <w:tcW w:type="dxa" w:w="1450"/>
            <w:shd w:fill="2F75B5"/>
          </w:tcPr>
          <w:p>
            <w:r>
              <w:rPr>
                <w:color w:val="FFFFFF"/>
              </w:rPr>
              <w:t xml:space="preserve">Confidence</w:t>
            </w:r>
          </w:p>
        </w:tc>
      </w:tr>
      <w:tr>
        <w:tc>
          <w:tcPr>
            <w:tcW w:type="dxa" w:w="1450"/>
          </w:tcPr>
          <w:p>
            <w:pPr>
              <w:pStyle w:val="TableSmall"/>
            </w:pPr>
            <w:r>
              <w:t xml:space="preserve">Pipeline Segment</w:t>
            </w:r>
          </w:p>
        </w:tc>
        <w:tc>
          <w:tcPr>
            <w:tcW w:type="dxa" w:w="1450"/>
          </w:tcPr>
          <w:p>
            <w:pPr>
              <w:pStyle w:val="TableSmall"/>
            </w:pPr>
            <w:r>
              <w:t xml:space="preserve">24 h</w:t>
            </w:r>
          </w:p>
        </w:tc>
        <w:tc>
          <w:tcPr>
            <w:tcW w:type="dxa" w:w="1450"/>
          </w:tcPr>
          <w:p>
            <w:pPr>
              <w:pStyle w:val="TableSmall"/>
            </w:pPr>
            <w:r>
              <w:t xml:space="preserve">72 h</w:t>
            </w:r>
          </w:p>
        </w:tc>
        <w:tc>
          <w:tcPr>
            <w:tcW w:type="dxa" w:w="1450"/>
          </w:tcPr>
          <w:p>
            <w:pPr>
              <w:pStyle w:val="TableSmall"/>
            </w:pPr>
            <w:r>
              <w:t xml:space="preserve">336 h</w:t>
            </w:r>
          </w:p>
        </w:tc>
        <w:tc>
          <w:tcPr>
            <w:tcW w:type="dxa" w:w="1450"/>
          </w:tcPr>
          <w:p>
            <w:pPr>
              <w:pStyle w:val="TableSmall"/>
            </w:pPr>
            <w:r>
              <w:t xml:space="preserve">20</w:t>
            </w:r>
          </w:p>
        </w:tc>
        <w:tc>
          <w:tcPr>
            <w:tcW w:type="dxa" w:w="1450"/>
          </w:tcPr>
          <w:p>
            <w:pPr>
              <w:pStyle w:val="TableSmall"/>
            </w:pPr>
            <w:r>
              <w:t xml:space="preserve">816 h</w:t>
            </w:r>
          </w:p>
        </w:tc>
        <w:tc>
          <w:tcPr>
            <w:tcW w:type="dxa" w:w="1450"/>
          </w:tcPr>
          <w:p>
            <w:pPr>
              <w:pStyle w:val="TableSmall"/>
            </w:pPr>
            <w:r>
              <w:t xml:space="preserve">Moderate-Low</w:t>
            </w:r>
          </w:p>
        </w:tc>
      </w:tr>
      <w:tr>
        <w:tc>
          <w:tcPr>
            <w:tcW w:type="dxa" w:w="1450"/>
          </w:tcPr>
          <w:p>
            <w:pPr>
              <w:pStyle w:val="TableSmall"/>
            </w:pPr>
            <w:r>
              <w:t xml:space="preserve">Pump Station</w:t>
            </w:r>
          </w:p>
        </w:tc>
        <w:tc>
          <w:tcPr>
            <w:tcW w:type="dxa" w:w="1450"/>
          </w:tcPr>
          <w:p>
            <w:pPr>
              <w:pStyle w:val="TableSmall"/>
            </w:pPr>
            <w:r>
              <w:t xml:space="preserve">12 h</w:t>
            </w:r>
          </w:p>
        </w:tc>
        <w:tc>
          <w:tcPr>
            <w:tcW w:type="dxa" w:w="1450"/>
          </w:tcPr>
          <w:p>
            <w:pPr>
              <w:pStyle w:val="TableSmall"/>
            </w:pPr>
            <w:r>
              <w:t xml:space="preserve">48 h</w:t>
            </w:r>
          </w:p>
        </w:tc>
        <w:tc>
          <w:tcPr>
            <w:tcW w:type="dxa" w:w="1450"/>
          </w:tcPr>
          <w:p>
            <w:pPr>
              <w:pStyle w:val="TableSmall"/>
            </w:pPr>
            <w:r>
              <w:t xml:space="preserve">240 h</w:t>
            </w:r>
          </w:p>
        </w:tc>
        <w:tc>
          <w:tcPr>
            <w:tcW w:type="dxa" w:w="1450"/>
          </w:tcPr>
          <w:p>
            <w:pPr>
              <w:pStyle w:val="TableSmall"/>
            </w:pPr>
            <w:r>
              <w:t xml:space="preserve">10</w:t>
            </w:r>
          </w:p>
        </w:tc>
        <w:tc>
          <w:tcPr>
            <w:tcW w:type="dxa" w:w="1450"/>
          </w:tcPr>
          <w:p>
            <w:pPr>
              <w:pStyle w:val="TableSmall"/>
            </w:pPr>
            <w:r>
              <w:t xml:space="preserve">480 h</w:t>
            </w:r>
          </w:p>
        </w:tc>
        <w:tc>
          <w:tcPr>
            <w:tcW w:type="dxa" w:w="1450"/>
          </w:tcPr>
          <w:p>
            <w:pPr>
              <w:pStyle w:val="TableSmall"/>
            </w:pPr>
            <w:r>
              <w:t xml:space="preserve">Low</w:t>
            </w:r>
          </w:p>
        </w:tc>
      </w:tr>
      <w:tr>
        <w:tc>
          <w:tcPr>
            <w:tcW w:type="dxa" w:w="1450"/>
          </w:tcPr>
          <w:p>
            <w:pPr>
              <w:pStyle w:val="TableSmall"/>
            </w:pPr>
            <w:r>
              <w:t xml:space="preserve">Compressor Station</w:t>
            </w:r>
          </w:p>
        </w:tc>
        <w:tc>
          <w:tcPr>
            <w:tcW w:type="dxa" w:w="1450"/>
          </w:tcPr>
          <w:p>
            <w:pPr>
              <w:pStyle w:val="TableSmall"/>
            </w:pPr>
            <w:r>
              <w:t xml:space="preserve">12 h</w:t>
            </w:r>
          </w:p>
        </w:tc>
        <w:tc>
          <w:tcPr>
            <w:tcW w:type="dxa" w:w="1450"/>
          </w:tcPr>
          <w:p>
            <w:pPr>
              <w:pStyle w:val="TableSmall"/>
            </w:pPr>
            <w:r>
              <w:t xml:space="preserve">72 h</w:t>
            </w:r>
          </w:p>
        </w:tc>
        <w:tc>
          <w:tcPr>
            <w:tcW w:type="dxa" w:w="1450"/>
          </w:tcPr>
          <w:p>
            <w:pPr>
              <w:pStyle w:val="TableSmall"/>
            </w:pPr>
            <w:r>
              <w:t xml:space="preserve">336 h</w:t>
            </w:r>
          </w:p>
        </w:tc>
        <w:tc>
          <w:tcPr>
            <w:tcW w:type="dxa" w:w="1450"/>
          </w:tcPr>
          <w:p>
            <w:pPr>
              <w:pStyle w:val="TableSmall"/>
            </w:pPr>
            <w:r>
              <w:t xml:space="preserve">20</w:t>
            </w:r>
          </w:p>
        </w:tc>
        <w:tc>
          <w:tcPr>
            <w:tcW w:type="dxa" w:w="1450"/>
          </w:tcPr>
          <w:p>
            <w:pPr>
              <w:pStyle w:val="TableSmall"/>
            </w:pPr>
            <w:r>
              <w:t xml:space="preserve">816 h</w:t>
            </w:r>
          </w:p>
        </w:tc>
        <w:tc>
          <w:tcPr>
            <w:tcW w:type="dxa" w:w="1450"/>
          </w:tcPr>
          <w:p>
            <w:pPr>
              <w:pStyle w:val="TableSmall"/>
            </w:pPr>
            <w:r>
              <w:t xml:space="preserve">Low</w:t>
            </w:r>
          </w:p>
        </w:tc>
      </w:tr>
      <w:tr>
        <w:tc>
          <w:tcPr>
            <w:tcW w:type="dxa" w:w="1450"/>
          </w:tcPr>
          <w:p>
            <w:pPr>
              <w:pStyle w:val="TableSmall"/>
            </w:pPr>
            <w:r>
              <w:t xml:space="preserve">Airport Terminal</w:t>
            </w:r>
          </w:p>
        </w:tc>
        <w:tc>
          <w:tcPr>
            <w:tcW w:type="dxa" w:w="1450"/>
          </w:tcPr>
          <w:p>
            <w:pPr>
              <w:pStyle w:val="TableSmall"/>
            </w:pPr>
            <w:r>
              <w:t xml:space="preserve">4 h</w:t>
            </w:r>
          </w:p>
        </w:tc>
        <w:tc>
          <w:tcPr>
            <w:tcW w:type="dxa" w:w="1450"/>
          </w:tcPr>
          <w:p>
            <w:pPr>
              <w:pStyle w:val="TableSmall"/>
            </w:pPr>
            <w:r>
              <w:t xml:space="preserve">24 h</w:t>
            </w:r>
          </w:p>
        </w:tc>
        <w:tc>
          <w:tcPr>
            <w:tcW w:type="dxa" w:w="1450"/>
          </w:tcPr>
          <w:p>
            <w:pPr>
              <w:pStyle w:val="TableSmall"/>
            </w:pPr>
            <w:r>
              <w:t xml:space="preserve">168 h</w:t>
            </w:r>
          </w:p>
        </w:tc>
        <w:tc>
          <w:tcPr>
            <w:tcW w:type="dxa" w:w="1450"/>
          </w:tcPr>
          <w:p>
            <w:pPr>
              <w:pStyle w:val="TableSmall"/>
            </w:pPr>
            <w:r>
              <w:t xml:space="preserve">5</w:t>
            </w:r>
          </w:p>
        </w:tc>
        <w:tc>
          <w:tcPr>
            <w:tcW w:type="dxa" w:w="1450"/>
          </w:tcPr>
          <w:p>
            <w:pPr>
              <w:pStyle w:val="TableSmall"/>
            </w:pPr>
            <w:r>
              <w:t xml:space="preserve">288 h</w:t>
            </w:r>
          </w:p>
        </w:tc>
        <w:tc>
          <w:tcPr>
            <w:tcW w:type="dxa" w:w="1450"/>
          </w:tcPr>
          <w:p>
            <w:pPr>
              <w:pStyle w:val="TableSmall"/>
            </w:pPr>
            <w:r>
              <w:t xml:space="preserve">Moderate-Low</w:t>
            </w:r>
          </w:p>
        </w:tc>
      </w:tr>
      <w:tr>
        <w:tc>
          <w:tcPr>
            <w:tcW w:type="dxa" w:w="1450"/>
          </w:tcPr>
          <w:p>
            <w:pPr>
              <w:pStyle w:val="TableSmall"/>
            </w:pPr>
            <w:r>
              <w:t xml:space="preserve">Freight Rail</w:t>
            </w:r>
          </w:p>
        </w:tc>
        <w:tc>
          <w:tcPr>
            <w:tcW w:type="dxa" w:w="1450"/>
          </w:tcPr>
          <w:p>
            <w:pPr>
              <w:pStyle w:val="TableSmall"/>
            </w:pPr>
            <w:r>
              <w:t xml:space="preserve">12 h</w:t>
            </w:r>
          </w:p>
        </w:tc>
        <w:tc>
          <w:tcPr>
            <w:tcW w:type="dxa" w:w="1450"/>
          </w:tcPr>
          <w:p>
            <w:pPr>
              <w:pStyle w:val="TableSmall"/>
            </w:pPr>
            <w:r>
              <w:t xml:space="preserve">72 h</w:t>
            </w:r>
          </w:p>
        </w:tc>
        <w:tc>
          <w:tcPr>
            <w:tcW w:type="dxa" w:w="1450"/>
          </w:tcPr>
          <w:p>
            <w:pPr>
              <w:pStyle w:val="TableSmall"/>
            </w:pPr>
            <w:r>
              <w:t xml:space="preserve">336 h</w:t>
            </w:r>
          </w:p>
        </w:tc>
        <w:tc>
          <w:tcPr>
            <w:tcW w:type="dxa" w:w="1450"/>
          </w:tcPr>
          <w:p>
            <w:pPr>
              <w:pStyle w:val="TableSmall"/>
            </w:pPr>
            <w:r>
              <w:t xml:space="preserve">10</w:t>
            </w:r>
          </w:p>
        </w:tc>
        <w:tc>
          <w:tcPr>
            <w:tcW w:type="dxa" w:w="1450"/>
          </w:tcPr>
          <w:p>
            <w:pPr>
              <w:pStyle w:val="TableSmall"/>
            </w:pPr>
            <w:r>
              <w:t xml:space="preserve">576 h</w:t>
            </w:r>
          </w:p>
        </w:tc>
        <w:tc>
          <w:tcPr>
            <w:tcW w:type="dxa" w:w="1450"/>
          </w:tcPr>
          <w:p>
            <w:pPr>
              <w:pStyle w:val="TableSmall"/>
            </w:pPr>
            <w:r>
              <w:t xml:space="preserve">Moderate-Low</w:t>
            </w:r>
          </w:p>
        </w:tc>
      </w:tr>
    </w:tbl>
    <w:p>
      <w:pPr>
        <w:pStyle w:val="Heading1"/>
      </w:pPr>
      <w:r>
        <w:t xml:space="preserve">7. Cross-Sector Impacts</w:t>
      </w:r>
    </w:p>
    <w:p>
      <w:r>
        <w:t xml:space="preserve">This section presents the cross-sector consequences of the modeled scenarios as a standalone view, so they can be read apart from the direct-cost results. Cross-sector impacts describe how the second-order (indirect) loss of a target scenario distributes across the sixteen CISA critical-infrastructure sectors. They are reported here separately and are not added to the direct-cost totals in Sections 8 and 9; adding them would double count, because they are a re-expression of the same second-order loss, not an additional loss.</w:t>
      </w:r>
    </w:p>
    <w:p>
      <w:pPr>
        <w:pStyle w:val="Heading3"/>
      </w:pPr>
      <w:r>
        <w:t xml:space="preserve">7.1 Method</w:t>
      </w:r>
    </w:p>
    <w:p>
      <w:r>
        <w:t xml:space="preserve">For each of the five consequence targets, the pilot takes the second-order economic loss at the 30-day outage duration, best (P50) estimate, in 2026 dollars, and allocates it across the sixteen CISA sectors using the dependency shares documented on the Cross-Sector Allocation worksheet. Each sector dollar figure is the sector share multiplied by that target second-order loss. The shares for each target sum to one, so the sector figures for a target sum exactly to that target second-order loss. These are static screening allocations and must be replaced by a dynamic Computable General Equilibrium (CGE) or REMI model before operational use; they identify which sector pathways matter, not the non-linear cascade magnitudes.</w:t>
      </w:r>
    </w:p>
    <w:p>
      <w:pPr>
        <w:pStyle w:val="Heading3"/>
      </w:pPr>
      <w:r>
        <w:t xml:space="preserve">7.2 Cross-sector impact by target (30-day, P50, 2026 dollars)</w:t>
      </w:r>
    </w:p>
    <w:tbl>
      <w:tblPr>
        <w:tblStyle w:val="TableGrid"/>
        <w:tblW w:type="auto" w:w="0"/>
        <w:tblLook w:firstColumn="1" w:firstRow="1" w:lastColumn="0" w:lastRow="0" w:noHBand="0" w:noVBand="1" w:val="04A0"/>
      </w:tblPr>
      <w:tblGrid>
        <w:gridCol w:w="3600"/>
        <w:gridCol w:w="3600"/>
      </w:tblGrid>
      <w:tr>
        <w:tc>
          <w:tcPr>
            <w:tcW w:type="dxa" w:w="3600"/>
            <w:shd w:fill="1F3864"/>
          </w:tcPr>
          <w:p>
            <w:r>
              <w:rPr>
                <w:color w:val="FFFFFF"/>
                <w:b/>
              </w:rPr>
              <w:t xml:space="preserve">Target</w:t>
            </w:r>
          </w:p>
        </w:tc>
        <w:tc>
          <w:tcPr>
            <w:tcW w:type="dxa" w:w="3600"/>
            <w:shd w:fill="1F3864"/>
          </w:tcPr>
          <w:p>
            <w:r>
              <w:rPr>
                <w:color w:val="FFFFFF"/>
                <w:b/>
              </w:rPr>
              <w:t xml:space="preserve">Second-Order Cross-Sector Impact</w:t>
            </w:r>
          </w:p>
        </w:tc>
      </w:tr>
      <w:tr>
        <w:tc>
          <w:tcPr>
            <w:tcW w:type="dxa" w:w="3600"/>
          </w:tcPr>
          <w:p>
            <w:pPr>
              <w:pStyle w:val="TableSmall"/>
            </w:pPr>
            <w:r>
              <w:t xml:space="preserve">Airport Terminal</w:t>
            </w:r>
          </w:p>
        </w:tc>
        <w:tc>
          <w:tcPr>
            <w:tcW w:type="dxa" w:w="3600"/>
          </w:tcPr>
          <w:p>
            <w:pPr>
              <w:pStyle w:val="TableSmall"/>
            </w:pPr>
            <w:r>
              <w:t xml:space="preserve">$1.74B</w:t>
            </w:r>
          </w:p>
        </w:tc>
      </w:tr>
      <w:tr>
        <w:tc>
          <w:tcPr>
            <w:tcW w:type="dxa" w:w="3600"/>
          </w:tcPr>
          <w:p>
            <w:pPr>
              <w:pStyle w:val="TableSmall"/>
            </w:pPr>
            <w:r>
              <w:t xml:space="preserve">Pipeline Segment</w:t>
            </w:r>
          </w:p>
        </w:tc>
        <w:tc>
          <w:tcPr>
            <w:tcW w:type="dxa" w:w="3600"/>
          </w:tcPr>
          <w:p>
            <w:pPr>
              <w:pStyle w:val="TableSmall"/>
            </w:pPr>
            <w:r>
              <w:t xml:space="preserve">$1.09B</w:t>
            </w:r>
          </w:p>
        </w:tc>
      </w:tr>
      <w:tr>
        <w:tc>
          <w:tcPr>
            <w:tcW w:type="dxa" w:w="3600"/>
          </w:tcPr>
          <w:p>
            <w:pPr>
              <w:pStyle w:val="TableSmall"/>
            </w:pPr>
            <w:r>
              <w:t xml:space="preserve">Compressor Station</w:t>
            </w:r>
          </w:p>
        </w:tc>
        <w:tc>
          <w:tcPr>
            <w:tcW w:type="dxa" w:w="3600"/>
          </w:tcPr>
          <w:p>
            <w:pPr>
              <w:pStyle w:val="TableSmall"/>
            </w:pPr>
            <w:r>
              <w:t xml:space="preserve">$869M</w:t>
            </w:r>
          </w:p>
        </w:tc>
      </w:tr>
      <w:tr>
        <w:tc>
          <w:tcPr>
            <w:tcW w:type="dxa" w:w="3600"/>
          </w:tcPr>
          <w:p>
            <w:pPr>
              <w:pStyle w:val="TableSmall"/>
            </w:pPr>
            <w:r>
              <w:t xml:space="preserve">Pump Station</w:t>
            </w:r>
          </w:p>
        </w:tc>
        <w:tc>
          <w:tcPr>
            <w:tcW w:type="dxa" w:w="3600"/>
          </w:tcPr>
          <w:p>
            <w:pPr>
              <w:pStyle w:val="TableSmall"/>
            </w:pPr>
            <w:r>
              <w:t xml:space="preserve">$652M</w:t>
            </w:r>
          </w:p>
        </w:tc>
      </w:tr>
      <w:tr>
        <w:tc>
          <w:tcPr>
            <w:tcW w:type="dxa" w:w="3600"/>
          </w:tcPr>
          <w:p>
            <w:pPr>
              <w:pStyle w:val="TableSmall"/>
            </w:pPr>
            <w:r>
              <w:t xml:space="preserve">Freight Rail</w:t>
            </w:r>
          </w:p>
        </w:tc>
        <w:tc>
          <w:tcPr>
            <w:tcW w:type="dxa" w:w="3600"/>
          </w:tcPr>
          <w:p>
            <w:pPr>
              <w:pStyle w:val="TableSmall"/>
            </w:pPr>
            <w:r>
              <w:t xml:space="preserve">$652M</w:t>
            </w:r>
          </w:p>
        </w:tc>
      </w:tr>
    </w:tbl>
    <w:p>
      <w:pPr>
        <w:pStyle w:val="Heading3"/>
      </w:pPr>
      <w:r>
        <w:t xml:space="preserve">7.3 Cross-sector impact by target and sector (30-day, P50, 2026 dollars)</w:t>
      </w:r>
    </w:p>
    <w:p>
      <w:r>
        <w:t xml:space="preserve">The matrix below disaggregates the cross-sector impact so the effect of each individual target from Section 7.2 is visible across every CISA sector. Each cell is that target second-order loss multiplied by the sector dependency share; each column sums to the target total in Section 7.2, and each row sums to the sector total in the final column. Dollar figures are rounded for display; the workbook carries the unrounded values.</w:t>
      </w:r>
    </w:p>
    <w:tbl>
      <w:tblPr>
        <w:tblStyle w:val="TableGrid"/>
        <w:tblW w:type="auto" w:w="0"/>
        <w:tblLook w:firstColumn="1" w:firstRow="1" w:lastColumn="0" w:lastRow="0" w:noHBand="0" w:noVBand="1" w:val="04A0"/>
      </w:tblPr>
      <w:tblGrid>
        <w:gridCol w:w="2050"/>
        <w:gridCol w:w="1180"/>
        <w:gridCol w:w="1180"/>
        <w:gridCol w:w="1180"/>
        <w:gridCol w:w="1180"/>
        <w:gridCol w:w="1180"/>
        <w:gridCol w:w="1250"/>
      </w:tblGrid>
      <w:tr>
        <w:tc>
          <w:tcPr>
            <w:tcW w:type="dxa" w:w="2050"/>
            <w:shd w:fill="1F3864"/>
          </w:tcPr>
          <w:p>
            <w:pPr>
              <w:pStyle w:val="TableSmall"/>
            </w:pPr>
            <w:r>
              <w:rPr>
                <w:color w:val="FFFFFF"/>
                <w:b/>
                <w:sz w:val="15"/>
              </w:rPr>
              <w:t xml:space="preserve">CISA Sector</w:t>
            </w:r>
          </w:p>
        </w:tc>
        <w:tc>
          <w:tcPr>
            <w:tcW w:type="dxa" w:w="1180"/>
            <w:shd w:fill="1F3864"/>
          </w:tcPr>
          <w:p>
            <w:pPr>
              <w:pStyle w:val="TableSmall"/>
            </w:pPr>
            <w:r>
              <w:rPr>
                <w:color w:val="FFFFFF"/>
                <w:b/>
                <w:sz w:val="15"/>
              </w:rPr>
              <w:t xml:space="preserve">Pipeline</w:t>
            </w:r>
          </w:p>
        </w:tc>
        <w:tc>
          <w:tcPr>
            <w:tcW w:type="dxa" w:w="1180"/>
            <w:shd w:fill="1F3864"/>
          </w:tcPr>
          <w:p>
            <w:pPr>
              <w:pStyle w:val="TableSmall"/>
            </w:pPr>
            <w:r>
              <w:rPr>
                <w:color w:val="FFFFFF"/>
                <w:b/>
                <w:sz w:val="15"/>
              </w:rPr>
              <w:t xml:space="preserve">Pump Stn</w:t>
            </w:r>
          </w:p>
        </w:tc>
        <w:tc>
          <w:tcPr>
            <w:tcW w:type="dxa" w:w="1180"/>
            <w:shd w:fill="1F3864"/>
          </w:tcPr>
          <w:p>
            <w:pPr>
              <w:pStyle w:val="TableSmall"/>
            </w:pPr>
            <w:r>
              <w:rPr>
                <w:color w:val="FFFFFF"/>
                <w:b/>
                <w:sz w:val="15"/>
              </w:rPr>
              <w:t xml:space="preserve">Compressor</w:t>
            </w:r>
          </w:p>
        </w:tc>
        <w:tc>
          <w:tcPr>
            <w:tcW w:type="dxa" w:w="1180"/>
            <w:shd w:fill="1F3864"/>
          </w:tcPr>
          <w:p>
            <w:pPr>
              <w:pStyle w:val="TableSmall"/>
            </w:pPr>
            <w:r>
              <w:rPr>
                <w:color w:val="FFFFFF"/>
                <w:b/>
                <w:sz w:val="15"/>
              </w:rPr>
              <w:t xml:space="preserve">Airport</w:t>
            </w:r>
          </w:p>
        </w:tc>
        <w:tc>
          <w:tcPr>
            <w:tcW w:type="dxa" w:w="1180"/>
            <w:shd w:fill="1F3864"/>
          </w:tcPr>
          <w:p>
            <w:pPr>
              <w:pStyle w:val="TableSmall"/>
            </w:pPr>
            <w:r>
              <w:rPr>
                <w:color w:val="FFFFFF"/>
                <w:b/>
                <w:sz w:val="15"/>
              </w:rPr>
              <w:t xml:space="preserve">Freight Rail</w:t>
            </w:r>
          </w:p>
        </w:tc>
        <w:tc>
          <w:tcPr>
            <w:tcW w:type="dxa" w:w="1250"/>
            <w:shd w:fill="1F3864"/>
          </w:tcPr>
          <w:p>
            <w:pPr>
              <w:pStyle w:val="TableSmall"/>
            </w:pPr>
            <w:r>
              <w:rPr>
                <w:color w:val="FFFFFF"/>
                <w:b/>
                <w:sz w:val="15"/>
              </w:rPr>
              <w:t xml:space="preserve">Sector Total</w:t>
            </w:r>
          </w:p>
        </w:tc>
      </w:tr>
      <w:tr>
        <w:tc>
          <w:tcPr>
            <w:tcW w:type="dxa" w:w="2050"/>
          </w:tcPr>
          <w:p>
            <w:pPr>
              <w:pStyle w:val="TableSmall"/>
            </w:pPr>
            <w:r>
              <w:rPr>
                <w:sz w:val="15"/>
              </w:rPr>
              <w:t xml:space="preserve">Chemical</w:t>
            </w:r>
          </w:p>
        </w:tc>
        <w:tc>
          <w:tcPr>
            <w:tcW w:type="dxa" w:w="1180"/>
          </w:tcPr>
          <w:p>
            <w:pPr>
              <w:pStyle w:val="TableSmall"/>
            </w:pPr>
            <w:r>
              <w:rPr>
                <w:sz w:val="15"/>
              </w:rPr>
              <w:t xml:space="preserve">$109M</w:t>
            </w:r>
          </w:p>
        </w:tc>
        <w:tc>
          <w:tcPr>
            <w:tcW w:type="dxa" w:w="1180"/>
          </w:tcPr>
          <w:p>
            <w:pPr>
              <w:pStyle w:val="TableSmall"/>
            </w:pPr>
            <w:r>
              <w:rPr>
                <w:sz w:val="15"/>
              </w:rPr>
              <w:t xml:space="preserve">$59M</w:t>
            </w:r>
          </w:p>
        </w:tc>
        <w:tc>
          <w:tcPr>
            <w:tcW w:type="dxa" w:w="1180"/>
          </w:tcPr>
          <w:p>
            <w:pPr>
              <w:pStyle w:val="TableSmall"/>
            </w:pPr>
            <w:r>
              <w:rPr>
                <w:sz w:val="15"/>
              </w:rPr>
              <w:t xml:space="preserve">$70M</w:t>
            </w:r>
          </w:p>
        </w:tc>
        <w:tc>
          <w:tcPr>
            <w:tcW w:type="dxa" w:w="1180"/>
          </w:tcPr>
          <w:p>
            <w:pPr>
              <w:pStyle w:val="TableSmall"/>
            </w:pPr>
            <w:r>
              <w:rPr>
                <w:sz w:val="15"/>
              </w:rPr>
              <w:t xml:space="preserve">$35M</w:t>
            </w:r>
          </w:p>
        </w:tc>
        <w:tc>
          <w:tcPr>
            <w:tcW w:type="dxa" w:w="1180"/>
          </w:tcPr>
          <w:p>
            <w:pPr>
              <w:pStyle w:val="TableSmall"/>
            </w:pPr>
            <w:r>
              <w:rPr>
                <w:sz w:val="15"/>
              </w:rPr>
              <w:t xml:space="preserve">$65M</w:t>
            </w:r>
          </w:p>
        </w:tc>
        <w:tc>
          <w:tcPr>
            <w:tcW w:type="dxa" w:w="1250"/>
          </w:tcPr>
          <w:p>
            <w:pPr>
              <w:pStyle w:val="TableSmall"/>
            </w:pPr>
            <w:r>
              <w:rPr>
                <w:sz w:val="15"/>
              </w:rPr>
              <w:t xml:space="preserve">$337M</w:t>
            </w:r>
          </w:p>
        </w:tc>
      </w:tr>
      <w:tr>
        <w:tc>
          <w:tcPr>
            <w:tcW w:type="dxa" w:w="2050"/>
          </w:tcPr>
          <w:p>
            <w:pPr>
              <w:pStyle w:val="TableSmall"/>
            </w:pPr>
            <w:r>
              <w:rPr>
                <w:sz w:val="15"/>
              </w:rPr>
              <w:t xml:space="preserve">Commercial Facilities</w:t>
            </w:r>
          </w:p>
        </w:tc>
        <w:tc>
          <w:tcPr>
            <w:tcW w:type="dxa" w:w="1180"/>
          </w:tcPr>
          <w:p>
            <w:pPr>
              <w:pStyle w:val="TableSmall"/>
            </w:pPr>
            <w:r>
              <w:rPr>
                <w:sz w:val="15"/>
              </w:rPr>
              <w:t xml:space="preserve">$54M</w:t>
            </w:r>
          </w:p>
        </w:tc>
        <w:tc>
          <w:tcPr>
            <w:tcW w:type="dxa" w:w="1180"/>
          </w:tcPr>
          <w:p>
            <w:pPr>
              <w:pStyle w:val="TableSmall"/>
            </w:pPr>
            <w:r>
              <w:rPr>
                <w:sz w:val="15"/>
              </w:rPr>
              <w:t xml:space="preserve">$33M</w:t>
            </w:r>
          </w:p>
        </w:tc>
        <w:tc>
          <w:tcPr>
            <w:tcW w:type="dxa" w:w="1180"/>
          </w:tcPr>
          <w:p>
            <w:pPr>
              <w:pStyle w:val="TableSmall"/>
            </w:pPr>
            <w:r>
              <w:rPr>
                <w:sz w:val="15"/>
              </w:rPr>
              <w:t xml:space="preserve">$35M</w:t>
            </w:r>
          </w:p>
        </w:tc>
        <w:tc>
          <w:tcPr>
            <w:tcW w:type="dxa" w:w="1180"/>
          </w:tcPr>
          <w:p>
            <w:pPr>
              <w:pStyle w:val="TableSmall"/>
            </w:pPr>
            <w:r>
              <w:rPr>
                <w:sz w:val="15"/>
              </w:rPr>
              <w:t xml:space="preserve">$261M</w:t>
            </w:r>
          </w:p>
        </w:tc>
        <w:tc>
          <w:tcPr>
            <w:tcW w:type="dxa" w:w="1180"/>
          </w:tcPr>
          <w:p>
            <w:pPr>
              <w:pStyle w:val="TableSmall"/>
            </w:pPr>
            <w:r>
              <w:rPr>
                <w:sz w:val="15"/>
              </w:rPr>
              <w:t xml:space="preserve">$33M</w:t>
            </w:r>
          </w:p>
        </w:tc>
        <w:tc>
          <w:tcPr>
            <w:tcW w:type="dxa" w:w="1250"/>
          </w:tcPr>
          <w:p>
            <w:pPr>
              <w:pStyle w:val="TableSmall"/>
            </w:pPr>
            <w:r>
              <w:rPr>
                <w:sz w:val="15"/>
              </w:rPr>
              <w:t xml:space="preserve">$415M</w:t>
            </w:r>
          </w:p>
        </w:tc>
      </w:tr>
      <w:tr>
        <w:tc>
          <w:tcPr>
            <w:tcW w:type="dxa" w:w="2050"/>
          </w:tcPr>
          <w:p>
            <w:pPr>
              <w:pStyle w:val="TableSmall"/>
            </w:pPr>
            <w:r>
              <w:rPr>
                <w:sz w:val="15"/>
              </w:rPr>
              <w:t xml:space="preserve">Communications</w:t>
            </w:r>
          </w:p>
        </w:tc>
        <w:tc>
          <w:tcPr>
            <w:tcW w:type="dxa" w:w="1180"/>
          </w:tcPr>
          <w:p>
            <w:pPr>
              <w:pStyle w:val="TableSmall"/>
            </w:pPr>
            <w:r>
              <w:rPr>
                <w:sz w:val="15"/>
              </w:rPr>
              <w:t xml:space="preserve">$22M</w:t>
            </w:r>
          </w:p>
        </w:tc>
        <w:tc>
          <w:tcPr>
            <w:tcW w:type="dxa" w:w="1180"/>
          </w:tcPr>
          <w:p>
            <w:pPr>
              <w:pStyle w:val="TableSmall"/>
            </w:pPr>
            <w:r>
              <w:rPr>
                <w:sz w:val="15"/>
              </w:rPr>
              <w:t xml:space="preserve">$13M</w:t>
            </w:r>
          </w:p>
        </w:tc>
        <w:tc>
          <w:tcPr>
            <w:tcW w:type="dxa" w:w="1180"/>
          </w:tcPr>
          <w:p>
            <w:pPr>
              <w:pStyle w:val="TableSmall"/>
            </w:pPr>
            <w:r>
              <w:rPr>
                <w:sz w:val="15"/>
              </w:rPr>
              <w:t xml:space="preserve">$17M</w:t>
            </w:r>
          </w:p>
        </w:tc>
        <w:tc>
          <w:tcPr>
            <w:tcW w:type="dxa" w:w="1180"/>
          </w:tcPr>
          <w:p>
            <w:pPr>
              <w:pStyle w:val="TableSmall"/>
            </w:pPr>
            <w:r>
              <w:rPr>
                <w:sz w:val="15"/>
              </w:rPr>
              <w:t xml:space="preserve">$70M</w:t>
            </w:r>
          </w:p>
        </w:tc>
        <w:tc>
          <w:tcPr>
            <w:tcW w:type="dxa" w:w="1180"/>
          </w:tcPr>
          <w:p>
            <w:pPr>
              <w:pStyle w:val="TableSmall"/>
            </w:pPr>
            <w:r>
              <w:rPr>
                <w:sz w:val="15"/>
              </w:rPr>
              <w:t xml:space="preserve">$13M</w:t>
            </w:r>
          </w:p>
        </w:tc>
        <w:tc>
          <w:tcPr>
            <w:tcW w:type="dxa" w:w="1250"/>
          </w:tcPr>
          <w:p>
            <w:pPr>
              <w:pStyle w:val="TableSmall"/>
            </w:pPr>
            <w:r>
              <w:rPr>
                <w:sz w:val="15"/>
              </w:rPr>
              <w:t xml:space="preserve">$135M</w:t>
            </w:r>
          </w:p>
        </w:tc>
      </w:tr>
      <w:tr>
        <w:tc>
          <w:tcPr>
            <w:tcW w:type="dxa" w:w="2050"/>
          </w:tcPr>
          <w:p>
            <w:pPr>
              <w:pStyle w:val="TableSmall"/>
            </w:pPr>
            <w:r>
              <w:rPr>
                <w:sz w:val="15"/>
              </w:rPr>
              <w:t xml:space="preserve">Critical Manufacturing</w:t>
            </w:r>
          </w:p>
        </w:tc>
        <w:tc>
          <w:tcPr>
            <w:tcW w:type="dxa" w:w="1180"/>
          </w:tcPr>
          <w:p>
            <w:pPr>
              <w:pStyle w:val="TableSmall"/>
            </w:pPr>
            <w:r>
              <w:rPr>
                <w:sz w:val="15"/>
              </w:rPr>
              <w:t xml:space="preserve">$109M</w:t>
            </w:r>
          </w:p>
        </w:tc>
        <w:tc>
          <w:tcPr>
            <w:tcW w:type="dxa" w:w="1180"/>
          </w:tcPr>
          <w:p>
            <w:pPr>
              <w:pStyle w:val="TableSmall"/>
            </w:pPr>
            <w:r>
              <w:rPr>
                <w:sz w:val="15"/>
              </w:rPr>
              <w:t xml:space="preserve">$65M</w:t>
            </w:r>
          </w:p>
        </w:tc>
        <w:tc>
          <w:tcPr>
            <w:tcW w:type="dxa" w:w="1180"/>
          </w:tcPr>
          <w:p>
            <w:pPr>
              <w:pStyle w:val="TableSmall"/>
            </w:pPr>
            <w:r>
              <w:rPr>
                <w:sz w:val="15"/>
              </w:rPr>
              <w:t xml:space="preserve">$78M</w:t>
            </w:r>
          </w:p>
        </w:tc>
        <w:tc>
          <w:tcPr>
            <w:tcW w:type="dxa" w:w="1180"/>
          </w:tcPr>
          <w:p>
            <w:pPr>
              <w:pStyle w:val="TableSmall"/>
            </w:pPr>
            <w:r>
              <w:rPr>
                <w:sz w:val="15"/>
              </w:rPr>
              <w:t xml:space="preserve">$87M</w:t>
            </w:r>
          </w:p>
        </w:tc>
        <w:tc>
          <w:tcPr>
            <w:tcW w:type="dxa" w:w="1180"/>
          </w:tcPr>
          <w:p>
            <w:pPr>
              <w:pStyle w:val="TableSmall"/>
            </w:pPr>
            <w:r>
              <w:rPr>
                <w:sz w:val="15"/>
              </w:rPr>
              <w:t xml:space="preserve">$98M</w:t>
            </w:r>
          </w:p>
        </w:tc>
        <w:tc>
          <w:tcPr>
            <w:tcW w:type="dxa" w:w="1250"/>
          </w:tcPr>
          <w:p>
            <w:pPr>
              <w:pStyle w:val="TableSmall"/>
            </w:pPr>
            <w:r>
              <w:rPr>
                <w:sz w:val="15"/>
              </w:rPr>
              <w:t xml:space="preserve">$437M</w:t>
            </w:r>
          </w:p>
        </w:tc>
      </w:tr>
      <w:tr>
        <w:tc>
          <w:tcPr>
            <w:tcW w:type="dxa" w:w="2050"/>
          </w:tcPr>
          <w:p>
            <w:pPr>
              <w:pStyle w:val="TableSmall"/>
            </w:pPr>
            <w:r>
              <w:rPr>
                <w:sz w:val="15"/>
              </w:rPr>
              <w:t xml:space="preserve">Dams</w:t>
            </w:r>
          </w:p>
        </w:tc>
        <w:tc>
          <w:tcPr>
            <w:tcW w:type="dxa" w:w="1180"/>
          </w:tcPr>
          <w:p>
            <w:pPr>
              <w:pStyle w:val="TableSmall"/>
            </w:pPr>
            <w:r>
              <w:rPr>
                <w:sz w:val="15"/>
              </w:rPr>
              <w:t xml:space="preserve">$11M</w:t>
            </w:r>
          </w:p>
        </w:tc>
        <w:tc>
          <w:tcPr>
            <w:tcW w:type="dxa" w:w="1180"/>
          </w:tcPr>
          <w:p>
            <w:pPr>
              <w:pStyle w:val="TableSmall"/>
            </w:pPr>
            <w:r>
              <w:rPr>
                <w:sz w:val="15"/>
              </w:rPr>
              <w:t xml:space="preserve">$7M</w:t>
            </w:r>
          </w:p>
        </w:tc>
        <w:tc>
          <w:tcPr>
            <w:tcW w:type="dxa" w:w="1180"/>
          </w:tcPr>
          <w:p>
            <w:pPr>
              <w:pStyle w:val="TableSmall"/>
            </w:pPr>
            <w:r>
              <w:rPr>
                <w:sz w:val="15"/>
              </w:rPr>
              <w:t xml:space="preserve">$9M</w:t>
            </w:r>
          </w:p>
        </w:tc>
        <w:tc>
          <w:tcPr>
            <w:tcW w:type="dxa" w:w="1180"/>
          </w:tcPr>
          <w:p>
            <w:pPr>
              <w:pStyle w:val="TableSmall"/>
            </w:pPr>
            <w:r>
              <w:rPr>
                <w:sz w:val="15"/>
              </w:rPr>
              <w:t xml:space="preserve">$17M</w:t>
            </w:r>
          </w:p>
        </w:tc>
        <w:tc>
          <w:tcPr>
            <w:tcW w:type="dxa" w:w="1180"/>
          </w:tcPr>
          <w:p>
            <w:pPr>
              <w:pStyle w:val="TableSmall"/>
            </w:pPr>
            <w:r>
              <w:rPr>
                <w:sz w:val="15"/>
              </w:rPr>
              <w:t xml:space="preserve">$7M</w:t>
            </w:r>
          </w:p>
        </w:tc>
        <w:tc>
          <w:tcPr>
            <w:tcW w:type="dxa" w:w="1250"/>
          </w:tcPr>
          <w:p>
            <w:pPr>
              <w:pStyle w:val="TableSmall"/>
            </w:pPr>
            <w:r>
              <w:rPr>
                <w:sz w:val="15"/>
              </w:rPr>
              <w:t xml:space="preserve">$50M</w:t>
            </w:r>
          </w:p>
        </w:tc>
      </w:tr>
      <w:tr>
        <w:tc>
          <w:tcPr>
            <w:tcW w:type="dxa" w:w="2050"/>
          </w:tcPr>
          <w:p>
            <w:pPr>
              <w:pStyle w:val="TableSmall"/>
            </w:pPr>
            <w:r>
              <w:rPr>
                <w:sz w:val="15"/>
              </w:rPr>
              <w:t xml:space="preserve">Defense Industrial Base</w:t>
            </w:r>
          </w:p>
        </w:tc>
        <w:tc>
          <w:tcPr>
            <w:tcW w:type="dxa" w:w="1180"/>
          </w:tcPr>
          <w:p>
            <w:pPr>
              <w:pStyle w:val="TableSmall"/>
            </w:pPr>
            <w:r>
              <w:rPr>
                <w:sz w:val="15"/>
              </w:rPr>
              <w:t xml:space="preserve">$76M</w:t>
            </w:r>
          </w:p>
        </w:tc>
        <w:tc>
          <w:tcPr>
            <w:tcW w:type="dxa" w:w="1180"/>
          </w:tcPr>
          <w:p>
            <w:pPr>
              <w:pStyle w:val="TableSmall"/>
            </w:pPr>
            <w:r>
              <w:rPr>
                <w:sz w:val="15"/>
              </w:rPr>
              <w:t xml:space="preserve">$39M</w:t>
            </w:r>
          </w:p>
        </w:tc>
        <w:tc>
          <w:tcPr>
            <w:tcW w:type="dxa" w:w="1180"/>
          </w:tcPr>
          <w:p>
            <w:pPr>
              <w:pStyle w:val="TableSmall"/>
            </w:pPr>
            <w:r>
              <w:rPr>
                <w:sz w:val="15"/>
              </w:rPr>
              <w:t xml:space="preserve">$61M</w:t>
            </w:r>
          </w:p>
        </w:tc>
        <w:tc>
          <w:tcPr>
            <w:tcW w:type="dxa" w:w="1180"/>
          </w:tcPr>
          <w:p>
            <w:pPr>
              <w:pStyle w:val="TableSmall"/>
            </w:pPr>
            <w:r>
              <w:rPr>
                <w:sz w:val="15"/>
              </w:rPr>
              <w:t xml:space="preserve">$87M</w:t>
            </w:r>
          </w:p>
        </w:tc>
        <w:tc>
          <w:tcPr>
            <w:tcW w:type="dxa" w:w="1180"/>
          </w:tcPr>
          <w:p>
            <w:pPr>
              <w:pStyle w:val="TableSmall"/>
            </w:pPr>
            <w:r>
              <w:rPr>
                <w:sz w:val="15"/>
              </w:rPr>
              <w:t xml:space="preserve">$52M</w:t>
            </w:r>
          </w:p>
        </w:tc>
        <w:tc>
          <w:tcPr>
            <w:tcW w:type="dxa" w:w="1250"/>
          </w:tcPr>
          <w:p>
            <w:pPr>
              <w:pStyle w:val="TableSmall"/>
            </w:pPr>
            <w:r>
              <w:rPr>
                <w:sz w:val="15"/>
              </w:rPr>
              <w:t xml:space="preserve">$315M</w:t>
            </w:r>
          </w:p>
        </w:tc>
      </w:tr>
      <w:tr>
        <w:tc>
          <w:tcPr>
            <w:tcW w:type="dxa" w:w="2050"/>
          </w:tcPr>
          <w:p>
            <w:pPr>
              <w:pStyle w:val="TableSmall"/>
            </w:pPr>
            <w:r>
              <w:rPr>
                <w:sz w:val="15"/>
              </w:rPr>
              <w:t xml:space="preserve">Emergency Services</w:t>
            </w:r>
          </w:p>
        </w:tc>
        <w:tc>
          <w:tcPr>
            <w:tcW w:type="dxa" w:w="1180"/>
          </w:tcPr>
          <w:p>
            <w:pPr>
              <w:pStyle w:val="TableSmall"/>
            </w:pPr>
            <w:r>
              <w:rPr>
                <w:sz w:val="15"/>
              </w:rPr>
              <w:t xml:space="preserve">$22M</w:t>
            </w:r>
          </w:p>
        </w:tc>
        <w:tc>
          <w:tcPr>
            <w:tcW w:type="dxa" w:w="1180"/>
          </w:tcPr>
          <w:p>
            <w:pPr>
              <w:pStyle w:val="TableSmall"/>
            </w:pPr>
            <w:r>
              <w:rPr>
                <w:sz w:val="15"/>
              </w:rPr>
              <w:t xml:space="preserve">$13M</w:t>
            </w:r>
          </w:p>
        </w:tc>
        <w:tc>
          <w:tcPr>
            <w:tcW w:type="dxa" w:w="1180"/>
          </w:tcPr>
          <w:p>
            <w:pPr>
              <w:pStyle w:val="TableSmall"/>
            </w:pPr>
            <w:r>
              <w:rPr>
                <w:sz w:val="15"/>
              </w:rPr>
              <w:t xml:space="preserve">$17M</w:t>
            </w:r>
          </w:p>
        </w:tc>
        <w:tc>
          <w:tcPr>
            <w:tcW w:type="dxa" w:w="1180"/>
          </w:tcPr>
          <w:p>
            <w:pPr>
              <w:pStyle w:val="TableSmall"/>
            </w:pPr>
            <w:r>
              <w:rPr>
                <w:sz w:val="15"/>
              </w:rPr>
              <w:t xml:space="preserve">$52M</w:t>
            </w:r>
          </w:p>
        </w:tc>
        <w:tc>
          <w:tcPr>
            <w:tcW w:type="dxa" w:w="1180"/>
          </w:tcPr>
          <w:p>
            <w:pPr>
              <w:pStyle w:val="TableSmall"/>
            </w:pPr>
            <w:r>
              <w:rPr>
                <w:sz w:val="15"/>
              </w:rPr>
              <w:t xml:space="preserve">$13M</w:t>
            </w:r>
          </w:p>
        </w:tc>
        <w:tc>
          <w:tcPr>
            <w:tcW w:type="dxa" w:w="1250"/>
          </w:tcPr>
          <w:p>
            <w:pPr>
              <w:pStyle w:val="TableSmall"/>
            </w:pPr>
            <w:r>
              <w:rPr>
                <w:sz w:val="15"/>
              </w:rPr>
              <w:t xml:space="preserve">$117M</w:t>
            </w:r>
          </w:p>
        </w:tc>
      </w:tr>
      <w:tr>
        <w:tc>
          <w:tcPr>
            <w:tcW w:type="dxa" w:w="2050"/>
          </w:tcPr>
          <w:p>
            <w:pPr>
              <w:pStyle w:val="TableSmall"/>
            </w:pPr>
            <w:r>
              <w:rPr>
                <w:sz w:val="15"/>
              </w:rPr>
              <w:t xml:space="preserve">Energy</w:t>
            </w:r>
          </w:p>
        </w:tc>
        <w:tc>
          <w:tcPr>
            <w:tcW w:type="dxa" w:w="1180"/>
          </w:tcPr>
          <w:p>
            <w:pPr>
              <w:pStyle w:val="TableSmall"/>
            </w:pPr>
            <w:r>
              <w:rPr>
                <w:sz w:val="15"/>
              </w:rPr>
              <w:t xml:space="preserve">$380M</w:t>
            </w:r>
          </w:p>
        </w:tc>
        <w:tc>
          <w:tcPr>
            <w:tcW w:type="dxa" w:w="1180"/>
          </w:tcPr>
          <w:p>
            <w:pPr>
              <w:pStyle w:val="TableSmall"/>
            </w:pPr>
            <w:r>
              <w:rPr>
                <w:sz w:val="15"/>
              </w:rPr>
              <w:t xml:space="preserve">$235M</w:t>
            </w:r>
          </w:p>
        </w:tc>
        <w:tc>
          <w:tcPr>
            <w:tcW w:type="dxa" w:w="1180"/>
          </w:tcPr>
          <w:p>
            <w:pPr>
              <w:pStyle w:val="TableSmall"/>
            </w:pPr>
            <w:r>
              <w:rPr>
                <w:sz w:val="15"/>
              </w:rPr>
              <w:t xml:space="preserve">$330M</w:t>
            </w:r>
          </w:p>
        </w:tc>
        <w:tc>
          <w:tcPr>
            <w:tcW w:type="dxa" w:w="1180"/>
          </w:tcPr>
          <w:p>
            <w:pPr>
              <w:pStyle w:val="TableSmall"/>
            </w:pPr>
            <w:r>
              <w:rPr>
                <w:sz w:val="15"/>
              </w:rPr>
              <w:t xml:space="preserve">$52M</w:t>
            </w:r>
          </w:p>
        </w:tc>
        <w:tc>
          <w:tcPr>
            <w:tcW w:type="dxa" w:w="1180"/>
          </w:tcPr>
          <w:p>
            <w:pPr>
              <w:pStyle w:val="TableSmall"/>
            </w:pPr>
            <w:r>
              <w:rPr>
                <w:sz w:val="15"/>
              </w:rPr>
              <w:t xml:space="preserve">$65M</w:t>
            </w:r>
          </w:p>
        </w:tc>
        <w:tc>
          <w:tcPr>
            <w:tcW w:type="dxa" w:w="1250"/>
          </w:tcPr>
          <w:p>
            <w:pPr>
              <w:pStyle w:val="TableSmall"/>
            </w:pPr>
            <w:r>
              <w:rPr>
                <w:sz w:val="15"/>
              </w:rPr>
              <w:t xml:space="preserve">$1.06B</w:t>
            </w:r>
          </w:p>
        </w:tc>
      </w:tr>
      <w:tr>
        <w:tc>
          <w:tcPr>
            <w:tcW w:type="dxa" w:w="2050"/>
          </w:tcPr>
          <w:p>
            <w:pPr>
              <w:pStyle w:val="TableSmall"/>
            </w:pPr>
            <w:r>
              <w:rPr>
                <w:sz w:val="15"/>
              </w:rPr>
              <w:t xml:space="preserve">Financial Services</w:t>
            </w:r>
          </w:p>
        </w:tc>
        <w:tc>
          <w:tcPr>
            <w:tcW w:type="dxa" w:w="1180"/>
          </w:tcPr>
          <w:p>
            <w:pPr>
              <w:pStyle w:val="TableSmall"/>
            </w:pPr>
            <w:r>
              <w:rPr>
                <w:sz w:val="15"/>
              </w:rPr>
              <w:t xml:space="preserve">$22M</w:t>
            </w:r>
          </w:p>
        </w:tc>
        <w:tc>
          <w:tcPr>
            <w:tcW w:type="dxa" w:w="1180"/>
          </w:tcPr>
          <w:p>
            <w:pPr>
              <w:pStyle w:val="TableSmall"/>
            </w:pPr>
            <w:r>
              <w:rPr>
                <w:sz w:val="15"/>
              </w:rPr>
              <w:t xml:space="preserve">$13M</w:t>
            </w:r>
          </w:p>
        </w:tc>
        <w:tc>
          <w:tcPr>
            <w:tcW w:type="dxa" w:w="1180"/>
          </w:tcPr>
          <w:p>
            <w:pPr>
              <w:pStyle w:val="TableSmall"/>
            </w:pPr>
            <w:r>
              <w:rPr>
                <w:sz w:val="15"/>
              </w:rPr>
              <w:t xml:space="preserve">$17M</w:t>
            </w:r>
          </w:p>
        </w:tc>
        <w:tc>
          <w:tcPr>
            <w:tcW w:type="dxa" w:w="1180"/>
          </w:tcPr>
          <w:p>
            <w:pPr>
              <w:pStyle w:val="TableSmall"/>
            </w:pPr>
            <w:r>
              <w:rPr>
                <w:sz w:val="15"/>
              </w:rPr>
              <w:t xml:space="preserve">$87M</w:t>
            </w:r>
          </w:p>
        </w:tc>
        <w:tc>
          <w:tcPr>
            <w:tcW w:type="dxa" w:w="1180"/>
          </w:tcPr>
          <w:p>
            <w:pPr>
              <w:pStyle w:val="TableSmall"/>
            </w:pPr>
            <w:r>
              <w:rPr>
                <w:sz w:val="15"/>
              </w:rPr>
              <w:t xml:space="preserve">$13M</w:t>
            </w:r>
          </w:p>
        </w:tc>
        <w:tc>
          <w:tcPr>
            <w:tcW w:type="dxa" w:w="1250"/>
          </w:tcPr>
          <w:p>
            <w:pPr>
              <w:pStyle w:val="TableSmall"/>
            </w:pPr>
            <w:r>
              <w:rPr>
                <w:sz w:val="15"/>
              </w:rPr>
              <w:t xml:space="preserve">$152M</w:t>
            </w:r>
          </w:p>
        </w:tc>
      </w:tr>
      <w:tr>
        <w:tc>
          <w:tcPr>
            <w:tcW w:type="dxa" w:w="2050"/>
          </w:tcPr>
          <w:p>
            <w:pPr>
              <w:pStyle w:val="TableSmall"/>
            </w:pPr>
            <w:r>
              <w:rPr>
                <w:sz w:val="15"/>
              </w:rPr>
              <w:t xml:space="preserve">Food and Agriculture</w:t>
            </w:r>
          </w:p>
        </w:tc>
        <w:tc>
          <w:tcPr>
            <w:tcW w:type="dxa" w:w="1180"/>
          </w:tcPr>
          <w:p>
            <w:pPr>
              <w:pStyle w:val="TableSmall"/>
            </w:pPr>
            <w:r>
              <w:rPr>
                <w:sz w:val="15"/>
              </w:rPr>
              <w:t xml:space="preserve">$54M</w:t>
            </w:r>
          </w:p>
        </w:tc>
        <w:tc>
          <w:tcPr>
            <w:tcW w:type="dxa" w:w="1180"/>
          </w:tcPr>
          <w:p>
            <w:pPr>
              <w:pStyle w:val="TableSmall"/>
            </w:pPr>
            <w:r>
              <w:rPr>
                <w:sz w:val="15"/>
              </w:rPr>
              <w:t xml:space="preserve">$33M</w:t>
            </w:r>
          </w:p>
        </w:tc>
        <w:tc>
          <w:tcPr>
            <w:tcW w:type="dxa" w:w="1180"/>
          </w:tcPr>
          <w:p>
            <w:pPr>
              <w:pStyle w:val="TableSmall"/>
            </w:pPr>
            <w:r>
              <w:rPr>
                <w:sz w:val="15"/>
              </w:rPr>
              <w:t xml:space="preserve">$35M</w:t>
            </w:r>
          </w:p>
        </w:tc>
        <w:tc>
          <w:tcPr>
            <w:tcW w:type="dxa" w:w="1180"/>
          </w:tcPr>
          <w:p>
            <w:pPr>
              <w:pStyle w:val="TableSmall"/>
            </w:pPr>
            <w:r>
              <w:rPr>
                <w:sz w:val="15"/>
              </w:rPr>
              <w:t xml:space="preserve">$70M</w:t>
            </w:r>
          </w:p>
        </w:tc>
        <w:tc>
          <w:tcPr>
            <w:tcW w:type="dxa" w:w="1180"/>
          </w:tcPr>
          <w:p>
            <w:pPr>
              <w:pStyle w:val="TableSmall"/>
            </w:pPr>
            <w:r>
              <w:rPr>
                <w:sz w:val="15"/>
              </w:rPr>
              <w:t xml:space="preserve">$65M</w:t>
            </w:r>
          </w:p>
        </w:tc>
        <w:tc>
          <w:tcPr>
            <w:tcW w:type="dxa" w:w="1250"/>
          </w:tcPr>
          <w:p>
            <w:pPr>
              <w:pStyle w:val="TableSmall"/>
            </w:pPr>
            <w:r>
              <w:rPr>
                <w:sz w:val="15"/>
              </w:rPr>
              <w:t xml:space="preserve">$256M</w:t>
            </w:r>
          </w:p>
        </w:tc>
      </w:tr>
      <w:tr>
        <w:tc>
          <w:tcPr>
            <w:tcW w:type="dxa" w:w="2050"/>
          </w:tcPr>
          <w:p>
            <w:pPr>
              <w:pStyle w:val="TableSmall"/>
            </w:pPr>
            <w:r>
              <w:rPr>
                <w:sz w:val="15"/>
              </w:rPr>
              <w:t xml:space="preserve">Government Services</w:t>
            </w:r>
          </w:p>
        </w:tc>
        <w:tc>
          <w:tcPr>
            <w:tcW w:type="dxa" w:w="1180"/>
          </w:tcPr>
          <w:p>
            <w:pPr>
              <w:pStyle w:val="TableSmall"/>
            </w:pPr>
            <w:r>
              <w:rPr>
                <w:sz w:val="15"/>
              </w:rPr>
              <w:t xml:space="preserve">$33M</w:t>
            </w:r>
          </w:p>
        </w:tc>
        <w:tc>
          <w:tcPr>
            <w:tcW w:type="dxa" w:w="1180"/>
          </w:tcPr>
          <w:p>
            <w:pPr>
              <w:pStyle w:val="TableSmall"/>
            </w:pPr>
            <w:r>
              <w:rPr>
                <w:sz w:val="15"/>
              </w:rPr>
              <w:t xml:space="preserve">$20M</w:t>
            </w:r>
          </w:p>
        </w:tc>
        <w:tc>
          <w:tcPr>
            <w:tcW w:type="dxa" w:w="1180"/>
          </w:tcPr>
          <w:p>
            <w:pPr>
              <w:pStyle w:val="TableSmall"/>
            </w:pPr>
            <w:r>
              <w:rPr>
                <w:sz w:val="15"/>
              </w:rPr>
              <w:t xml:space="preserve">$26M</w:t>
            </w:r>
          </w:p>
        </w:tc>
        <w:tc>
          <w:tcPr>
            <w:tcW w:type="dxa" w:w="1180"/>
          </w:tcPr>
          <w:p>
            <w:pPr>
              <w:pStyle w:val="TableSmall"/>
            </w:pPr>
            <w:r>
              <w:rPr>
                <w:sz w:val="15"/>
              </w:rPr>
              <w:t xml:space="preserve">$87M</w:t>
            </w:r>
          </w:p>
        </w:tc>
        <w:tc>
          <w:tcPr>
            <w:tcW w:type="dxa" w:w="1180"/>
          </w:tcPr>
          <w:p>
            <w:pPr>
              <w:pStyle w:val="TableSmall"/>
            </w:pPr>
            <w:r>
              <w:rPr>
                <w:sz w:val="15"/>
              </w:rPr>
              <w:t xml:space="preserve">$20M</w:t>
            </w:r>
          </w:p>
        </w:tc>
        <w:tc>
          <w:tcPr>
            <w:tcW w:type="dxa" w:w="1250"/>
          </w:tcPr>
          <w:p>
            <w:pPr>
              <w:pStyle w:val="TableSmall"/>
            </w:pPr>
            <w:r>
              <w:rPr>
                <w:sz w:val="15"/>
              </w:rPr>
              <w:t xml:space="preserve">$185M</w:t>
            </w:r>
          </w:p>
        </w:tc>
      </w:tr>
      <w:tr>
        <w:tc>
          <w:tcPr>
            <w:tcW w:type="dxa" w:w="2050"/>
          </w:tcPr>
          <w:p>
            <w:pPr>
              <w:pStyle w:val="TableSmall"/>
            </w:pPr>
            <w:r>
              <w:rPr>
                <w:sz w:val="15"/>
              </w:rPr>
              <w:t xml:space="preserve">Healthcare and Public Health</w:t>
            </w:r>
          </w:p>
        </w:tc>
        <w:tc>
          <w:tcPr>
            <w:tcW w:type="dxa" w:w="1180"/>
          </w:tcPr>
          <w:p>
            <w:pPr>
              <w:pStyle w:val="TableSmall"/>
            </w:pPr>
            <w:r>
              <w:rPr>
                <w:sz w:val="15"/>
              </w:rPr>
              <w:t xml:space="preserve">$22M</w:t>
            </w:r>
          </w:p>
        </w:tc>
        <w:tc>
          <w:tcPr>
            <w:tcW w:type="dxa" w:w="1180"/>
          </w:tcPr>
          <w:p>
            <w:pPr>
              <w:pStyle w:val="TableSmall"/>
            </w:pPr>
            <w:r>
              <w:rPr>
                <w:sz w:val="15"/>
              </w:rPr>
              <w:t xml:space="preserve">$13M</w:t>
            </w:r>
          </w:p>
        </w:tc>
        <w:tc>
          <w:tcPr>
            <w:tcW w:type="dxa" w:w="1180"/>
          </w:tcPr>
          <w:p>
            <w:pPr>
              <w:pStyle w:val="TableSmall"/>
            </w:pPr>
            <w:r>
              <w:rPr>
                <w:sz w:val="15"/>
              </w:rPr>
              <w:t xml:space="preserve">$17M</w:t>
            </w:r>
          </w:p>
        </w:tc>
        <w:tc>
          <w:tcPr>
            <w:tcW w:type="dxa" w:w="1180"/>
          </w:tcPr>
          <w:p>
            <w:pPr>
              <w:pStyle w:val="TableSmall"/>
            </w:pPr>
            <w:r>
              <w:rPr>
                <w:sz w:val="15"/>
              </w:rPr>
              <w:t xml:space="preserve">$35M</w:t>
            </w:r>
          </w:p>
        </w:tc>
        <w:tc>
          <w:tcPr>
            <w:tcW w:type="dxa" w:w="1180"/>
          </w:tcPr>
          <w:p>
            <w:pPr>
              <w:pStyle w:val="TableSmall"/>
            </w:pPr>
            <w:r>
              <w:rPr>
                <w:sz w:val="15"/>
              </w:rPr>
              <w:t xml:space="preserve">$13M</w:t>
            </w:r>
          </w:p>
        </w:tc>
        <w:tc>
          <w:tcPr>
            <w:tcW w:type="dxa" w:w="1250"/>
          </w:tcPr>
          <w:p>
            <w:pPr>
              <w:pStyle w:val="TableSmall"/>
            </w:pPr>
            <w:r>
              <w:rPr>
                <w:sz w:val="15"/>
              </w:rPr>
              <w:t xml:space="preserve">$100M</w:t>
            </w:r>
          </w:p>
        </w:tc>
      </w:tr>
      <w:tr>
        <w:tc>
          <w:tcPr>
            <w:tcW w:type="dxa" w:w="2050"/>
          </w:tcPr>
          <w:p>
            <w:pPr>
              <w:pStyle w:val="TableSmall"/>
            </w:pPr>
            <w:r>
              <w:rPr>
                <w:sz w:val="15"/>
              </w:rPr>
              <w:t xml:space="preserve">Information Technology</w:t>
            </w:r>
          </w:p>
        </w:tc>
        <w:tc>
          <w:tcPr>
            <w:tcW w:type="dxa" w:w="1180"/>
          </w:tcPr>
          <w:p>
            <w:pPr>
              <w:pStyle w:val="TableSmall"/>
            </w:pPr>
            <w:r>
              <w:rPr>
                <w:sz w:val="15"/>
              </w:rPr>
              <w:t xml:space="preserve">$22M</w:t>
            </w:r>
          </w:p>
        </w:tc>
        <w:tc>
          <w:tcPr>
            <w:tcW w:type="dxa" w:w="1180"/>
          </w:tcPr>
          <w:p>
            <w:pPr>
              <w:pStyle w:val="TableSmall"/>
            </w:pPr>
            <w:r>
              <w:rPr>
                <w:sz w:val="15"/>
              </w:rPr>
              <w:t xml:space="preserve">$13M</w:t>
            </w:r>
          </w:p>
        </w:tc>
        <w:tc>
          <w:tcPr>
            <w:tcW w:type="dxa" w:w="1180"/>
          </w:tcPr>
          <w:p>
            <w:pPr>
              <w:pStyle w:val="TableSmall"/>
            </w:pPr>
            <w:r>
              <w:rPr>
                <w:sz w:val="15"/>
              </w:rPr>
              <w:t xml:space="preserve">$17M</w:t>
            </w:r>
          </w:p>
        </w:tc>
        <w:tc>
          <w:tcPr>
            <w:tcW w:type="dxa" w:w="1180"/>
          </w:tcPr>
          <w:p>
            <w:pPr>
              <w:pStyle w:val="TableSmall"/>
            </w:pPr>
            <w:r>
              <w:rPr>
                <w:sz w:val="15"/>
              </w:rPr>
              <w:t xml:space="preserve">$70M</w:t>
            </w:r>
          </w:p>
        </w:tc>
        <w:tc>
          <w:tcPr>
            <w:tcW w:type="dxa" w:w="1180"/>
          </w:tcPr>
          <w:p>
            <w:pPr>
              <w:pStyle w:val="TableSmall"/>
            </w:pPr>
            <w:r>
              <w:rPr>
                <w:sz w:val="15"/>
              </w:rPr>
              <w:t xml:space="preserve">$13M</w:t>
            </w:r>
          </w:p>
        </w:tc>
        <w:tc>
          <w:tcPr>
            <w:tcW w:type="dxa" w:w="1250"/>
          </w:tcPr>
          <w:p>
            <w:pPr>
              <w:pStyle w:val="TableSmall"/>
            </w:pPr>
            <w:r>
              <w:rPr>
                <w:sz w:val="15"/>
              </w:rPr>
              <w:t xml:space="preserve">$135M</w:t>
            </w:r>
          </w:p>
        </w:tc>
      </w:tr>
      <w:tr>
        <w:tc>
          <w:tcPr>
            <w:tcW w:type="dxa" w:w="2050"/>
          </w:tcPr>
          <w:p>
            <w:pPr>
              <w:pStyle w:val="TableSmall"/>
            </w:pPr>
            <w:r>
              <w:rPr>
                <w:sz w:val="15"/>
              </w:rPr>
              <w:t xml:space="preserve">Nuclear Reactors/Materials</w:t>
            </w:r>
          </w:p>
        </w:tc>
        <w:tc>
          <w:tcPr>
            <w:tcW w:type="dxa" w:w="1180"/>
          </w:tcPr>
          <w:p>
            <w:pPr>
              <w:pStyle w:val="TableSmall"/>
            </w:pPr>
            <w:r>
              <w:rPr>
                <w:sz w:val="15"/>
              </w:rPr>
              <w:t xml:space="preserve">$11M</w:t>
            </w:r>
          </w:p>
        </w:tc>
        <w:tc>
          <w:tcPr>
            <w:tcW w:type="dxa" w:w="1180"/>
          </w:tcPr>
          <w:p>
            <w:pPr>
              <w:pStyle w:val="TableSmall"/>
            </w:pPr>
            <w:r>
              <w:rPr>
                <w:sz w:val="15"/>
              </w:rPr>
              <w:t xml:space="preserve">$7M</w:t>
            </w:r>
          </w:p>
        </w:tc>
        <w:tc>
          <w:tcPr>
            <w:tcW w:type="dxa" w:w="1180"/>
          </w:tcPr>
          <w:p>
            <w:pPr>
              <w:pStyle w:val="TableSmall"/>
            </w:pPr>
            <w:r>
              <w:rPr>
                <w:sz w:val="15"/>
              </w:rPr>
              <w:t xml:space="preserve">$17M</w:t>
            </w:r>
          </w:p>
        </w:tc>
        <w:tc>
          <w:tcPr>
            <w:tcW w:type="dxa" w:w="1180"/>
          </w:tcPr>
          <w:p>
            <w:pPr>
              <w:pStyle w:val="TableSmall"/>
            </w:pPr>
            <w:r>
              <w:rPr>
                <w:sz w:val="15"/>
              </w:rPr>
              <w:t xml:space="preserve">$17M</w:t>
            </w:r>
          </w:p>
        </w:tc>
        <w:tc>
          <w:tcPr>
            <w:tcW w:type="dxa" w:w="1180"/>
          </w:tcPr>
          <w:p>
            <w:pPr>
              <w:pStyle w:val="TableSmall"/>
            </w:pPr>
            <w:r>
              <w:rPr>
                <w:sz w:val="15"/>
              </w:rPr>
              <w:t xml:space="preserve">$7M</w:t>
            </w:r>
          </w:p>
        </w:tc>
        <w:tc>
          <w:tcPr>
            <w:tcW w:type="dxa" w:w="1250"/>
          </w:tcPr>
          <w:p>
            <w:pPr>
              <w:pStyle w:val="TableSmall"/>
            </w:pPr>
            <w:r>
              <w:rPr>
                <w:sz w:val="15"/>
              </w:rPr>
              <w:t xml:space="preserve">$59M</w:t>
            </w:r>
          </w:p>
        </w:tc>
      </w:tr>
      <w:tr>
        <w:tc>
          <w:tcPr>
            <w:tcW w:type="dxa" w:w="2050"/>
          </w:tcPr>
          <w:p>
            <w:pPr>
              <w:pStyle w:val="TableSmall"/>
            </w:pPr>
            <w:r>
              <w:rPr>
                <w:sz w:val="15"/>
              </w:rPr>
              <w:t xml:space="preserve">Transportation Systems</w:t>
            </w:r>
          </w:p>
        </w:tc>
        <w:tc>
          <w:tcPr>
            <w:tcW w:type="dxa" w:w="1180"/>
          </w:tcPr>
          <w:p>
            <w:pPr>
              <w:pStyle w:val="TableSmall"/>
            </w:pPr>
            <w:r>
              <w:rPr>
                <w:sz w:val="15"/>
              </w:rPr>
              <w:t xml:space="preserve">$109M</w:t>
            </w:r>
          </w:p>
        </w:tc>
        <w:tc>
          <w:tcPr>
            <w:tcW w:type="dxa" w:w="1180"/>
          </w:tcPr>
          <w:p>
            <w:pPr>
              <w:pStyle w:val="TableSmall"/>
            </w:pPr>
            <w:r>
              <w:rPr>
                <w:sz w:val="15"/>
              </w:rPr>
              <w:t xml:space="preserve">$78M</w:t>
            </w:r>
          </w:p>
        </w:tc>
        <w:tc>
          <w:tcPr>
            <w:tcW w:type="dxa" w:w="1180"/>
          </w:tcPr>
          <w:p>
            <w:pPr>
              <w:pStyle w:val="TableSmall"/>
            </w:pPr>
            <w:r>
              <w:rPr>
                <w:sz w:val="15"/>
              </w:rPr>
              <w:t xml:space="preserve">$87M</w:t>
            </w:r>
          </w:p>
        </w:tc>
        <w:tc>
          <w:tcPr>
            <w:tcW w:type="dxa" w:w="1180"/>
          </w:tcPr>
          <w:p>
            <w:pPr>
              <w:pStyle w:val="TableSmall"/>
            </w:pPr>
            <w:r>
              <w:rPr>
                <w:sz w:val="15"/>
              </w:rPr>
              <w:t xml:space="preserve">$661M</w:t>
            </w:r>
          </w:p>
        </w:tc>
        <w:tc>
          <w:tcPr>
            <w:tcW w:type="dxa" w:w="1180"/>
          </w:tcPr>
          <w:p>
            <w:pPr>
              <w:pStyle w:val="TableSmall"/>
            </w:pPr>
            <w:r>
              <w:rPr>
                <w:sz w:val="15"/>
              </w:rPr>
              <w:t xml:space="preserve">$163M</w:t>
            </w:r>
          </w:p>
        </w:tc>
        <w:tc>
          <w:tcPr>
            <w:tcW w:type="dxa" w:w="1250"/>
          </w:tcPr>
          <w:p>
            <w:pPr>
              <w:pStyle w:val="TableSmall"/>
            </w:pPr>
            <w:r>
              <w:rPr>
                <w:sz w:val="15"/>
              </w:rPr>
              <w:t xml:space="preserve">$1.10B</w:t>
            </w:r>
          </w:p>
        </w:tc>
      </w:tr>
      <w:tr>
        <w:tc>
          <w:tcPr>
            <w:tcW w:type="dxa" w:w="2050"/>
          </w:tcPr>
          <w:p>
            <w:pPr>
              <w:pStyle w:val="TableSmall"/>
            </w:pPr>
            <w:r>
              <w:rPr>
                <w:sz w:val="15"/>
              </w:rPr>
              <w:t xml:space="preserve">Water and Wastewater</w:t>
            </w:r>
          </w:p>
        </w:tc>
        <w:tc>
          <w:tcPr>
            <w:tcW w:type="dxa" w:w="1180"/>
          </w:tcPr>
          <w:p>
            <w:pPr>
              <w:pStyle w:val="TableSmall"/>
            </w:pPr>
            <w:r>
              <w:rPr>
                <w:sz w:val="15"/>
              </w:rPr>
              <w:t xml:space="preserve">$33M</w:t>
            </w:r>
          </w:p>
        </w:tc>
        <w:tc>
          <w:tcPr>
            <w:tcW w:type="dxa" w:w="1180"/>
          </w:tcPr>
          <w:p>
            <w:pPr>
              <w:pStyle w:val="TableSmall"/>
            </w:pPr>
            <w:r>
              <w:rPr>
                <w:sz w:val="15"/>
              </w:rPr>
              <w:t xml:space="preserve">$13M</w:t>
            </w:r>
          </w:p>
        </w:tc>
        <w:tc>
          <w:tcPr>
            <w:tcW w:type="dxa" w:w="1180"/>
          </w:tcPr>
          <w:p>
            <w:pPr>
              <w:pStyle w:val="TableSmall"/>
            </w:pPr>
            <w:r>
              <w:rPr>
                <w:sz w:val="15"/>
              </w:rPr>
              <w:t xml:space="preserve">$35M</w:t>
            </w:r>
          </w:p>
        </w:tc>
        <w:tc>
          <w:tcPr>
            <w:tcW w:type="dxa" w:w="1180"/>
          </w:tcPr>
          <w:p>
            <w:pPr>
              <w:pStyle w:val="TableSmall"/>
            </w:pPr>
            <w:r>
              <w:rPr>
                <w:sz w:val="15"/>
              </w:rPr>
              <w:t xml:space="preserve">$52M</w:t>
            </w:r>
          </w:p>
        </w:tc>
        <w:tc>
          <w:tcPr>
            <w:tcW w:type="dxa" w:w="1180"/>
          </w:tcPr>
          <w:p>
            <w:pPr>
              <w:pStyle w:val="TableSmall"/>
            </w:pPr>
            <w:r>
              <w:rPr>
                <w:sz w:val="15"/>
              </w:rPr>
              <w:t xml:space="preserve">$13M</w:t>
            </w:r>
          </w:p>
        </w:tc>
        <w:tc>
          <w:tcPr>
            <w:tcW w:type="dxa" w:w="1250"/>
          </w:tcPr>
          <w:p>
            <w:pPr>
              <w:pStyle w:val="TableSmall"/>
            </w:pPr>
            <w:r>
              <w:rPr>
                <w:sz w:val="15"/>
              </w:rPr>
              <w:t xml:space="preserve">$146M</w:t>
            </w:r>
          </w:p>
        </w:tc>
      </w:tr>
      <w:tr>
        <w:tc>
          <w:tcPr>
            <w:tcW w:type="dxa" w:w="2050"/>
          </w:tcPr>
          <w:p>
            <w:pPr>
              <w:pStyle w:val="TableSmall"/>
            </w:pPr>
            <w:r>
              <w:rPr>
                <w:sz w:val="15"/>
                <w:b/>
              </w:rPr>
              <w:t xml:space="preserve">Target Second-Order Total</w:t>
            </w:r>
          </w:p>
        </w:tc>
        <w:tc>
          <w:tcPr>
            <w:tcW w:type="dxa" w:w="1180"/>
          </w:tcPr>
          <w:p>
            <w:pPr>
              <w:pStyle w:val="TableSmall"/>
            </w:pPr>
            <w:r>
              <w:rPr>
                <w:sz w:val="15"/>
                <w:b/>
              </w:rPr>
              <w:t xml:space="preserve">$1.09B</w:t>
            </w:r>
          </w:p>
        </w:tc>
        <w:tc>
          <w:tcPr>
            <w:tcW w:type="dxa" w:w="1180"/>
          </w:tcPr>
          <w:p>
            <w:pPr>
              <w:pStyle w:val="TableSmall"/>
            </w:pPr>
            <w:r>
              <w:rPr>
                <w:sz w:val="15"/>
                <w:b/>
              </w:rPr>
              <w:t xml:space="preserve">$652M</w:t>
            </w:r>
          </w:p>
        </w:tc>
        <w:tc>
          <w:tcPr>
            <w:tcW w:type="dxa" w:w="1180"/>
          </w:tcPr>
          <w:p>
            <w:pPr>
              <w:pStyle w:val="TableSmall"/>
            </w:pPr>
            <w:r>
              <w:rPr>
                <w:sz w:val="15"/>
                <w:b/>
              </w:rPr>
              <w:t xml:space="preserve">$869M</w:t>
            </w:r>
          </w:p>
        </w:tc>
        <w:tc>
          <w:tcPr>
            <w:tcW w:type="dxa" w:w="1180"/>
          </w:tcPr>
          <w:p>
            <w:pPr>
              <w:pStyle w:val="TableSmall"/>
            </w:pPr>
            <w:r>
              <w:rPr>
                <w:sz w:val="15"/>
                <w:b/>
              </w:rPr>
              <w:t xml:space="preserve">$1.74B</w:t>
            </w:r>
          </w:p>
        </w:tc>
        <w:tc>
          <w:tcPr>
            <w:tcW w:type="dxa" w:w="1180"/>
          </w:tcPr>
          <w:p>
            <w:pPr>
              <w:pStyle w:val="TableSmall"/>
            </w:pPr>
            <w:r>
              <w:rPr>
                <w:sz w:val="15"/>
                <w:b/>
              </w:rPr>
              <w:t xml:space="preserve">$652M</w:t>
            </w:r>
          </w:p>
        </w:tc>
        <w:tc>
          <w:tcPr>
            <w:tcW w:type="dxa" w:w="1250"/>
          </w:tcPr>
          <w:p>
            <w:pPr>
              <w:pStyle w:val="TableSmall"/>
            </w:pPr>
            <w:r>
              <w:rPr>
                <w:sz w:val="15"/>
                <w:b/>
              </w:rPr>
              <w:t xml:space="preserve">$5.00B</w:t>
            </w:r>
          </w:p>
        </w:tc>
      </w:tr>
    </w:tbl>
    <w:p>
      <w:r>
        <w:t xml:space="preserve">Reading the matrix: a column shows how one target disruption spreads across sectors (for example, an Airport Terminal event concentrates in Transportation Systems and Commercial Facilities), while a row shows which targets drive a given sector exposure (for example, Energy exposure is driven almost entirely by the three pipeline-system targets, not by aviation or rail).</w:t>
      </w:r>
    </w:p>
    <w:p>
      <w:pPr>
        <w:pStyle w:val="Heading3"/>
      </w:pPr>
      <w:r>
        <w:t xml:space="preserve">7.4 Interpretation and limits</w:t>
      </w:r>
    </w:p>
    <w:p>
      <w:r>
        <w:t xml:space="preserve">Read across the whole matrix, Transportation Systems and Energy carry the largest combined exposure, but the disaggregation shows the drivers differ by sector: Energy exposure comes almost entirely from the pipeline, pump, and compressor targets, while Transportation Systems and Commercial Facilities exposure is dominated by the Airport Terminal target. This target-by-sector detail is what the aggregated view obscured. The shares are fixed screening coefficients and cannot capture price-spike transfers, capacity constraints, substitution, or third-order behavioral shocks such as panic-buying; those require the CGE or REMI transition. The figures are conditional on an event of the modeled scenario and are not weighted by the probability that such an event occurs.</w:t>
      </w:r>
    </w:p>
    <w:p>
      <w:pPr>
        <w:pStyle w:val="Heading1"/>
      </w:pPr>
      <w:r>
        <w:t>8. Scenario-by-Scenario Pilot Results</w:t>
      </w:r>
    </w:p>
    <w:p>
      <w:pPr>
        <w:pStyle w:val="Heading2"/>
      </w:pPr>
      <w:r>
        <w:t>8.1 AV-01 - All UAS against aviation</w:t>
      </w:r>
    </w:p>
    <w:p>
      <w:r>
        <w:rPr>
          <w:b/>
        </w:rPr>
        <w:t xml:space="preserve">Evidence and analogs: </w:t>
      </w:r>
      <w:r>
        <w:t xml:space="preserve">FAA/GAO airport UAS sightings; TSA/CISA UAS threat guidance. </w:t>
      </w:r>
      <w:r>
        <w:rPr>
          <w:sz w:val="14"/>
          <w:vertAlign w:val="superscript"/>
        </w:rPr>
        <w:t>[11,12,13]</w:t>
      </w:r>
    </w:p>
    <w:p>
      <w:r>
        <w:rPr>
          <w:b/>
        </w:rPr>
        <w:t xml:space="preserve">Pilot estimates: </w:t>
      </w:r>
      <w:r>
        <w:t xml:space="preserve">P10: 0 deaths, 2 injuries, $500K property damage, $5.1M total direct cost. P50: 1 deaths, 15 injuries, $10.0M property damage, $58.5M total direct cost. P90: 20 deaths, 100 injuries, $150.0M property damage, $662.5M total direct cost. Injury severity uses the blast weapon-class mix (blended fraction 16.1 percent of VSL).</w:t>
      </w:r>
    </w:p>
    <w:p>
      <w:r>
        <w:rPr>
          <w:b/>
        </w:rPr>
        <w:t xml:space="preserve">Assumptions: </w:t>
      </w:r>
      <w:r>
        <w:t>Small-to-medium UAS event; ranges span disruption/collision through payload-enabled mass-casualty case; no active-war-zone incidents used.</w:t>
      </w:r>
    </w:p>
    <w:p>
      <w:r>
        <w:rPr>
          <w:b/>
        </w:rPr>
        <w:t xml:space="preserve">Limitations: </w:t>
      </w:r>
      <w:r>
        <w:t>No directly comparable successful domestic aviation UAS terrorist attack; high estimate is model-derived.</w:t>
      </w:r>
    </w:p>
    <w:p>
      <w:r>
        <w:rPr>
          <w:b/>
        </w:rPr>
        <w:t xml:space="preserve">Analytic confidence: </w:t>
      </w:r>
      <w:r>
        <w:t>Low.</w:t>
      </w:r>
    </w:p>
    <w:p>
      <w:pPr>
        <w:pStyle w:val="Heading2"/>
      </w:pPr>
      <w:r>
        <w:t>8.2 AV-02 - Aircraft assault on ground</w:t>
      </w:r>
    </w:p>
    <w:p>
      <w:r>
        <w:rPr>
          <w:b/>
        </w:rPr>
        <w:t xml:space="preserve">Evidence and analogs: </w:t>
      </w:r>
      <w:r>
        <w:t xml:space="preserve">Pan Am Flight 73 ground boarding attack; airport/transport active-shooter cases. </w:t>
      </w:r>
      <w:r>
        <w:rPr>
          <w:sz w:val="14"/>
          <w:vertAlign w:val="superscript"/>
        </w:rPr>
        <w:t>[6,7,23]</w:t>
      </w:r>
    </w:p>
    <w:p>
      <w:r>
        <w:rPr>
          <w:b/>
        </w:rPr>
        <w:t xml:space="preserve">Pilot estimates: </w:t>
      </w:r>
      <w:r>
        <w:t xml:space="preserve">P10: 0 deaths, 3 injuries, $1.0M property damage, $5.4M total direct cost. P50: 8 deaths, 25 injuries, $20.0M property damage, $169.9M total direct cost. P90: 40 deaths, 100 injuries, $100.0M property damage, $813.3M total direct cost. Injury severity uses the ballistic/edged weapon-class mix (blended fraction 10.2 percent of VSL).</w:t>
      </w:r>
    </w:p>
    <w:p>
      <w:r>
        <w:rPr>
          <w:b/>
        </w:rPr>
        <w:t xml:space="preserve">Assumptions: </w:t>
      </w:r>
      <w:r>
        <w:t>Occupied passenger aircraft at gate or stand; attacker access and response time drive dispersion.</w:t>
      </w:r>
    </w:p>
    <w:p>
      <w:r>
        <w:rPr>
          <w:b/>
        </w:rPr>
        <w:t xml:space="preserve">Limitations: </w:t>
      </w:r>
      <w:r>
        <w:t>Primary analog occurred outside the United States; aircraft and security configurations vary.</w:t>
      </w:r>
    </w:p>
    <w:p>
      <w:r>
        <w:rPr>
          <w:b/>
        </w:rPr>
        <w:t xml:space="preserve">Analytic confidence: </w:t>
      </w:r>
      <w:r>
        <w:t>Moderate-Low.</w:t>
      </w:r>
    </w:p>
    <w:p>
      <w:pPr>
        <w:pStyle w:val="Heading2"/>
      </w:pPr>
      <w:r>
        <w:t>8.3 AV-03 - Aircraft passenger assault with bladed weapons</w:t>
      </w:r>
    </w:p>
    <w:p>
      <w:r>
        <w:rPr>
          <w:b/>
        </w:rPr>
        <w:t xml:space="preserve">Evidence and analogs: </w:t>
      </w:r>
      <w:r>
        <w:t xml:space="preserve">9/11 Commission documentation; federal aircraft-interference and hijacking cases. </w:t>
      </w:r>
      <w:r>
        <w:rPr>
          <w:sz w:val="14"/>
          <w:vertAlign w:val="superscript"/>
        </w:rPr>
        <w:t>[5,22]</w:t>
      </w:r>
    </w:p>
    <w:p>
      <w:r>
        <w:rPr>
          <w:b/>
        </w:rPr>
        <w:t xml:space="preserve">Pilot estimates: </w:t>
      </w:r>
      <w:r>
        <w:t xml:space="preserve">P10: 0 deaths, 2 injuries, $100K property damage, $3.0M total direct cost. P50: 2 deaths, 8 injuries, $500K property damage, $40.5M total direct cost. P90: 15 deaths, 35 injuries, $5.0M property damage, $268.9M total direct cost. Injury severity uses the ballistic/edged weapon-class mix (blended fraction 10.2 percent of VSL).</w:t>
      </w:r>
    </w:p>
    <w:p>
      <w:r>
        <w:rPr>
          <w:b/>
        </w:rPr>
        <w:t xml:space="preserve">Assumptions: </w:t>
      </w:r>
      <w:r>
        <w:t>Close-quarters assault without successful use of aircraft as a weapon; intervention and cockpit security remain active mitigations.</w:t>
      </w:r>
    </w:p>
    <w:p>
      <w:r>
        <w:rPr>
          <w:b/>
        </w:rPr>
        <w:t xml:space="preserve">Limitations: </w:t>
      </w:r>
      <w:r>
        <w:t>Small sample and major post-2001 security regime change.</w:t>
      </w:r>
    </w:p>
    <w:p>
      <w:r>
        <w:rPr>
          <w:b/>
        </w:rPr>
        <w:t xml:space="preserve">Analytic confidence: </w:t>
      </w:r>
      <w:r>
        <w:t>Moderate.</w:t>
      </w:r>
    </w:p>
    <w:p>
      <w:pPr>
        <w:pStyle w:val="Heading2"/>
      </w:pPr>
      <w:r>
        <w:t>8.4 AV-04 - Airport passenger assembly assault</w:t>
      </w:r>
    </w:p>
    <w:p>
      <w:r>
        <w:rPr>
          <w:b/>
        </w:rPr>
        <w:t xml:space="preserve">Evidence and analogs: </w:t>
      </w:r>
      <w:r>
        <w:t xml:space="preserve">Fort Lauderdale airport shooting; FBI active-shooter series. </w:t>
      </w:r>
      <w:r>
        <w:rPr>
          <w:sz w:val="14"/>
          <w:vertAlign w:val="superscript"/>
        </w:rPr>
        <w:t>[7,23]</w:t>
      </w:r>
    </w:p>
    <w:p>
      <w:r>
        <w:rPr>
          <w:b/>
        </w:rPr>
        <w:t xml:space="preserve">Pilot estimates: </w:t>
      </w:r>
      <w:r>
        <w:t xml:space="preserve">P10: 2 deaths, 8 injuries, $500K property damage, $40.5M total direct cost. P50: 10 deaths, 45 injuries, $5.0M property damage, $212.4M total direct cost. P90: 50 deaths, 200 injuries, $50.0M property damage, $1.05B total direct cost. Injury severity uses the ballistic/edged weapon-class mix (blended fraction 10.2 percent of VSL).</w:t>
      </w:r>
    </w:p>
    <w:p>
      <w:r>
        <w:rPr>
          <w:b/>
        </w:rPr>
        <w:t xml:space="preserve">Assumptions: </w:t>
      </w:r>
      <w:r>
        <w:t>Public-side or baggage-claim passenger assembly; no explosive effects included.</w:t>
      </w:r>
    </w:p>
    <w:p>
      <w:r>
        <w:rPr>
          <w:b/>
        </w:rPr>
        <w:t xml:space="preserve">Limitations: </w:t>
      </w:r>
      <w:r>
        <w:t>Casualties depend heavily on crowd density, weapon, duration, and police response.</w:t>
      </w:r>
    </w:p>
    <w:p>
      <w:r>
        <w:rPr>
          <w:b/>
        </w:rPr>
        <w:t xml:space="preserve">Analytic confidence: </w:t>
      </w:r>
      <w:r>
        <w:t>Moderate.</w:t>
      </w:r>
    </w:p>
    <w:p>
      <w:pPr>
        <w:pStyle w:val="Heading2"/>
      </w:pPr>
      <w:r>
        <w:t xml:space="preserve">8.5 AV-05a - Commercial passenger aircraft hijacking, traditional (coercion or diversion; aircraft lands)</w:t>
      </w:r>
    </w:p>
    <w:p>
      <w:r>
        <w:rPr>
          <w:b/>
        </w:rPr>
        <w:t xml:space="preserve">Evidence and analogs: </w:t>
      </w:r>
      <w:r>
        <w:t xml:space="preserve">Post-2001 aviation hijacking attempts and thwarted takeovers; onboard-assault cases.</w:t>
      </w:r>
    </w:p>
    <w:p>
      <w:r>
        <w:rPr>
          <w:b/>
        </w:rPr>
        <w:t xml:space="preserve">Pilot estimates: </w:t>
      </w:r>
      <w:r>
        <w:t xml:space="preserve">P10: 0 deaths, 3 injuries, $2.0M property damage, $6.4M total direct cost. P50: 2 deaths, 15 injuries, $20.0M property damage, $70.2M total direct cost. P90: 12 deaths, 60 injuries, $150.0M property damage, $407.6M total direct cost. Injury severity uses the ballistic/edged weapon-class mix (blended fraction 10.2 percent of VSL).</w:t>
      </w:r>
    </w:p>
    <w:p>
      <w:r>
        <w:rPr>
          <w:b/>
        </w:rPr>
        <w:t xml:space="preserve">Assumptions: </w:t>
      </w:r>
      <w:r>
        <w:t xml:space="preserve">Objective is coercion, diversion, or hostage leverage. Hardened cockpit doors and passenger response make cockpit breach and aircraft-as-weapon use unlikely. Casualties are bounded by onboard population and standoff violence; property is primarily airframe and ground handling.</w:t>
      </w:r>
    </w:p>
    <w:p>
      <w:r>
        <w:rPr>
          <w:b/>
        </w:rPr>
        <w:t xml:space="preserve">Limitations: </w:t>
      </w:r>
      <w:r>
        <w:t xml:space="preserve">Post-2001 successful U.S. passenger takeovers are near-absent; estimates rely on attempts, post-2001-screened foreign analogs, and onboard-assault mechanisms.</w:t>
      </w:r>
    </w:p>
    <w:p>
      <w:r>
        <w:rPr>
          <w:b/>
        </w:rPr>
        <w:t xml:space="preserve">Analytic confidence: </w:t>
      </w:r>
      <w:r>
        <w:t xml:space="preserve">Moderate-Low.</w:t>
      </w:r>
    </w:p>
    <w:p>
      <w:pPr>
        <w:pStyle w:val="Heading2"/>
      </w:pPr>
      <w:r>
        <w:t xml:space="preserve">8.6 AV-06a - Cargo aircraft hijacking, traditional (diversion or theft; aircraft lands)</w:t>
      </w:r>
    </w:p>
    <w:p>
      <w:r>
        <w:rPr>
          <w:b/>
        </w:rPr>
        <w:t xml:space="preserve">Evidence and analogs: </w:t>
      </w:r>
      <w:r>
        <w:t xml:space="preserve">Cargo aircraft security incidents; ground-based cargo theft and diversion analogs.</w:t>
      </w:r>
    </w:p>
    <w:p>
      <w:r>
        <w:rPr>
          <w:b/>
        </w:rPr>
        <w:t xml:space="preserve">Pilot estimates: </w:t>
      </w:r>
      <w:r>
        <w:t xml:space="preserve">P10: 0 deaths, 1 injury, $5.0M property damage, $6.5M total direct cost. P50: 1 death, 4 injuries, $25.0M property damage, $45.0M total direct cost. P90: 6 deaths, 15 injuries, $120.0M property damage, $227.0M total direct cost. Injury severity uses the ballistic/edged weapon-class mix (blended fraction 10.2 percent of VSL).</w:t>
      </w:r>
    </w:p>
    <w:p>
      <w:r>
        <w:rPr>
          <w:b/>
        </w:rPr>
        <w:t xml:space="preserve">Assumptions: </w:t>
      </w:r>
      <w:r>
        <w:t xml:space="preserve">Objective is theft, diversion, or ground use of the aircraft. Minimal onboard population (crew only); consequence is dominated by airframe value and cargo loss, not mass casualty.</w:t>
      </w:r>
    </w:p>
    <w:p>
      <w:r>
        <w:rPr>
          <w:b/>
        </w:rPr>
        <w:t xml:space="preserve">Limitations: </w:t>
      </w:r>
      <w:r>
        <w:t xml:space="preserve">Very sparse direct evidence; small cargo crews cap casualty ceilings; relies on cargo-security and diversion analogs.</w:t>
      </w:r>
    </w:p>
    <w:p>
      <w:r>
        <w:rPr>
          <w:b/>
        </w:rPr>
        <w:t xml:space="preserve">Analytic confidence: </w:t>
      </w:r>
      <w:r>
        <w:t xml:space="preserve">Low.</w:t>
      </w:r>
    </w:p>
    <w:p>
      <w:pPr>
        <w:pStyle w:val="Heading2"/>
      </w:pPr>
      <w:r>
        <w:t>8.7 AV-07 - Public charter hijacking</w:t>
      </w:r>
    </w:p>
    <w:p>
      <w:r>
        <w:rPr>
          <w:b/>
        </w:rPr>
        <w:t xml:space="preserve">Evidence and analogs: </w:t>
      </w:r>
      <w:r>
        <w:t xml:space="preserve">Commercial hijacking record adjusted for charter occupancy and security variability. </w:t>
      </w:r>
      <w:r>
        <w:rPr>
          <w:sz w:val="14"/>
          <w:vertAlign w:val="superscript"/>
        </w:rPr>
        <w:t>[5,6,19]</w:t>
      </w:r>
    </w:p>
    <w:p>
      <w:r>
        <w:rPr>
          <w:b/>
        </w:rPr>
        <w:t xml:space="preserve">Pilot estimates: </w:t>
      </w:r>
      <w:r>
        <w:t xml:space="preserve">P10: 0 deaths, 2 injuries, $2.0M property damage, $4.9M total direct cost. P50: 10 deaths, 25 injuries, $30.0M property damage, $208.3M total direct cost. P90: 100 deaths, 125 injuries, $200.0M property damage, $1.80B total direct cost. Injury severity uses the ballistic/edged weapon-class mix (blended fraction 10.2 percent of VSL).</w:t>
      </w:r>
    </w:p>
    <w:p>
      <w:r>
        <w:rPr>
          <w:b/>
        </w:rPr>
        <w:t xml:space="preserve">Assumptions: </w:t>
      </w:r>
      <w:r>
        <w:t>Passenger charter aircraft; occupancy and screening controls may differ from scheduled service.</w:t>
      </w:r>
    </w:p>
    <w:p>
      <w:r>
        <w:rPr>
          <w:b/>
        </w:rPr>
        <w:t xml:space="preserve">Limitations: </w:t>
      </w:r>
      <w:r>
        <w:t>Public charter is heterogeneous; estimate must be tailored to aircraft and passenger count.</w:t>
      </w:r>
    </w:p>
    <w:p>
      <w:r>
        <w:rPr>
          <w:b/>
        </w:rPr>
        <w:t xml:space="preserve">Analytic confidence: </w:t>
      </w:r>
      <w:r>
        <w:t>Low.</w:t>
      </w:r>
    </w:p>
    <w:p>
      <w:pPr>
        <w:pStyle w:val="Heading2"/>
      </w:pPr>
      <w:r>
        <w:t>8.8 AV-08 - All IID on commercial passenger aircraft</w:t>
      </w:r>
    </w:p>
    <w:p>
      <w:r>
        <w:rPr>
          <w:b/>
        </w:rPr>
        <w:t xml:space="preserve">Evidence and analogs: </w:t>
      </w:r>
      <w:r>
        <w:t xml:space="preserve">NTSB explosive/fire investigations and evacuation safety study. </w:t>
      </w:r>
      <w:r>
        <w:rPr>
          <w:sz w:val="14"/>
          <w:vertAlign w:val="superscript"/>
        </w:rPr>
        <w:t>[4,25]</w:t>
      </w:r>
    </w:p>
    <w:p>
      <w:r>
        <w:rPr>
          <w:b/>
        </w:rPr>
        <w:t xml:space="preserve">Pilot estimates: </w:t>
      </w:r>
      <w:r>
        <w:t xml:space="preserve">P10: 0 deaths, 5 injuries, $1.0M property damage, $12.4M total direct cost. P50: 8 deaths, 40 injuries, $25.0M property damage, $230.0M total direct cost. P90: 120 deaths, 180 injuries, $150.0M property damage, $2.27B total direct cost. Injury severity uses the blast weapon-class mix (blended fraction 16.1 percent of VSL).</w:t>
      </w:r>
    </w:p>
    <w:p>
      <w:r>
        <w:rPr>
          <w:b/>
        </w:rPr>
        <w:t xml:space="preserve">Assumptions: </w:t>
      </w:r>
      <w:r>
        <w:t>IID interpreted as improvised incendiary device; outcomes span contained cabin fire to loss of aircraft.</w:t>
      </w:r>
    </w:p>
    <w:p>
      <w:r>
        <w:rPr>
          <w:b/>
        </w:rPr>
        <w:t xml:space="preserve">Limitations: </w:t>
      </w:r>
      <w:r>
        <w:t>Confirm IID definition before operational use; fire behavior varies by location and phase of flight.</w:t>
      </w:r>
    </w:p>
    <w:p>
      <w:r>
        <w:rPr>
          <w:b/>
        </w:rPr>
        <w:t xml:space="preserve">Analytic confidence: </w:t>
      </w:r>
      <w:r>
        <w:t>Moderate-Low.</w:t>
      </w:r>
    </w:p>
    <w:p>
      <w:pPr>
        <w:pStyle w:val="Heading2"/>
      </w:pPr>
      <w:r>
        <w:t>8.9 AV-09 - All IID on cargo aircraft</w:t>
      </w:r>
    </w:p>
    <w:p>
      <w:r>
        <w:rPr>
          <w:b/>
        </w:rPr>
        <w:t xml:space="preserve">Evidence and analogs: </w:t>
      </w:r>
      <w:r>
        <w:t xml:space="preserve">NTSB fire/explosion reports and cargo-aircraft economic values. </w:t>
      </w:r>
      <w:r>
        <w:rPr>
          <w:sz w:val="14"/>
          <w:vertAlign w:val="superscript"/>
        </w:rPr>
        <w:t>[4,19,25]</w:t>
      </w:r>
    </w:p>
    <w:p>
      <w:r>
        <w:rPr>
          <w:b/>
        </w:rPr>
        <w:t xml:space="preserve">Pilot estimates: </w:t>
      </w:r>
      <w:r>
        <w:t xml:space="preserve">P10: 0 deaths, 1 injuries, $5.0M property damage, $7.3M total direct cost. P50: 2 deaths, 8 injuries, $35.0M property damage, $81.7M total direct cost. P90: 25 deaths, 50 injuries, $200.0M property damage, $669.3M total direct cost. Injury severity uses the blast weapon-class mix (blended fraction 16.1 percent of VSL).</w:t>
      </w:r>
    </w:p>
    <w:p>
      <w:r>
        <w:rPr>
          <w:b/>
        </w:rPr>
        <w:t xml:space="preserve">Assumptions: </w:t>
      </w:r>
      <w:r>
        <w:t>IID interpreted as improvised incendiary device; limited crew but potentially high aircraft/cargo loss.</w:t>
      </w:r>
    </w:p>
    <w:p>
      <w:r>
        <w:rPr>
          <w:b/>
        </w:rPr>
        <w:t xml:space="preserve">Limitations: </w:t>
      </w:r>
      <w:r>
        <w:t>Cargo type and fire-suppression capability materially alter outcomes.</w:t>
      </w:r>
    </w:p>
    <w:p>
      <w:r>
        <w:rPr>
          <w:b/>
        </w:rPr>
        <w:t xml:space="preserve">Analytic confidence: </w:t>
      </w:r>
      <w:r>
        <w:t>Low.</w:t>
      </w:r>
    </w:p>
    <w:p>
      <w:pPr>
        <w:pStyle w:val="Heading2"/>
      </w:pPr>
      <w:r>
        <w:t>8.10 AV-10 - All Chem/Bio on commercial passenger aircraft</w:t>
      </w:r>
    </w:p>
    <w:p>
      <w:r>
        <w:rPr>
          <w:b/>
        </w:rPr>
        <w:t xml:space="preserve">Evidence and analogs: </w:t>
      </w:r>
      <w:r>
        <w:t xml:space="preserve">CDC chemical-agent health guidance; EPA dispersion tools; federal decontamination guidance. </w:t>
      </w:r>
      <w:r>
        <w:rPr>
          <w:sz w:val="14"/>
          <w:vertAlign w:val="superscript"/>
        </w:rPr>
        <w:t>[15,16,26]</w:t>
      </w:r>
    </w:p>
    <w:p>
      <w:r>
        <w:rPr>
          <w:b/>
        </w:rPr>
        <w:t xml:space="preserve">Pilot estimates: </w:t>
      </w:r>
      <w:r>
        <w:t xml:space="preserve">P10: 0 deaths, 10 injuries, $1.0M property damage, $19.7M total direct cost. P50: 5 deaths, 100 injuries, $10.0M property damage, $267.6M total direct cost. P90: 75 deaths, 300 injuries, $75.0M property damage, $1.70B total direct cost. Injury severity uses the chemical/biological weapon-class mix (blended fraction 13.1 percent of VSL).</w:t>
      </w:r>
    </w:p>
    <w:p>
      <w:r>
        <w:rPr>
          <w:b/>
        </w:rPr>
        <w:t xml:space="preserve">Assumptions: </w:t>
      </w:r>
      <w:r>
        <w:t>Generic toxic chemical or biological exposure; excludes agent-specific classified parameters.</w:t>
      </w:r>
    </w:p>
    <w:p>
      <w:r>
        <w:rPr>
          <w:b/>
        </w:rPr>
        <w:t xml:space="preserve">Limitations: </w:t>
      </w:r>
      <w:r>
        <w:t>Agent, dose, ventilation, detection, medical response, and incubation dominate results.</w:t>
      </w:r>
    </w:p>
    <w:p>
      <w:r>
        <w:rPr>
          <w:b/>
        </w:rPr>
        <w:t xml:space="preserve">Analytic confidence: </w:t>
      </w:r>
      <w:r>
        <w:t>Low.</w:t>
      </w:r>
    </w:p>
    <w:p>
      <w:pPr>
        <w:pStyle w:val="Heading2"/>
      </w:pPr>
      <w:r>
        <w:t>8.11 AV-11 - All Chem/Bio at airport</w:t>
      </w:r>
    </w:p>
    <w:p>
      <w:r>
        <w:rPr>
          <w:b/>
        </w:rPr>
        <w:t xml:space="preserve">Evidence and analogs: </w:t>
      </w:r>
      <w:r>
        <w:t xml:space="preserve">CDC toxicology; EPA ALOHA/CAMEO; public mass-decontamination guidance. </w:t>
      </w:r>
      <w:r>
        <w:rPr>
          <w:sz w:val="14"/>
          <w:vertAlign w:val="superscript"/>
        </w:rPr>
        <w:t>[15,16,26]</w:t>
      </w:r>
    </w:p>
    <w:p>
      <w:r>
        <w:rPr>
          <w:b/>
        </w:rPr>
        <w:t xml:space="preserve">Pilot estimates: </w:t>
      </w:r>
      <w:r>
        <w:t xml:space="preserve">P10: 0 deaths, 25 injuries, $2.0M property damage, $48.7M total direct cost. P50: 15 deaths, 300 injuries, $30.0M property damage, $802.8M total direct cost. P90: 150 deaths, 1500 injuries, $250.0M property damage, $5.18B total direct cost. Injury severity uses the chemical/biological weapon-class mix (blended fraction 13.1 percent of VSL).</w:t>
      </w:r>
    </w:p>
    <w:p>
      <w:r>
        <w:rPr>
          <w:b/>
        </w:rPr>
        <w:t xml:space="preserve">Assumptions: </w:t>
      </w:r>
      <w:r>
        <w:t>Public terminal release with variable ventilation and rapid emergency response.</w:t>
      </w:r>
    </w:p>
    <w:p>
      <w:r>
        <w:rPr>
          <w:b/>
        </w:rPr>
        <w:t xml:space="preserve">Limitations: </w:t>
      </w:r>
      <w:r>
        <w:t>Not agent-specific; high case is an intentionally broad planning bound.</w:t>
      </w:r>
    </w:p>
    <w:p>
      <w:r>
        <w:rPr>
          <w:b/>
        </w:rPr>
        <w:t xml:space="preserve">Analytic confidence: </w:t>
      </w:r>
      <w:r>
        <w:t>Low.</w:t>
      </w:r>
    </w:p>
    <w:p>
      <w:pPr>
        <w:pStyle w:val="Heading2"/>
      </w:pPr>
      <w:r>
        <w:t>8.12 SU-01 - Assault on surface passenger vessels/stations</w:t>
      </w:r>
    </w:p>
    <w:p>
      <w:r>
        <w:rPr>
          <w:b/>
        </w:rPr>
        <w:t xml:space="preserve">Evidence and analogs: </w:t>
      </w:r>
      <w:r>
        <w:t xml:space="preserve">Brooklyn subway mass shooting; FBI active-shooter record; Europol TE-SAT. </w:t>
      </w:r>
      <w:r>
        <w:rPr>
          <w:sz w:val="14"/>
          <w:vertAlign w:val="superscript"/>
        </w:rPr>
        <w:t>[8,21,23]</w:t>
      </w:r>
    </w:p>
    <w:p>
      <w:r>
        <w:rPr>
          <w:b/>
        </w:rPr>
        <w:t xml:space="preserve">Pilot estimates: </w:t>
      </w:r>
      <w:r>
        <w:t xml:space="preserve">P10: 1 deaths, 5 injuries, $500K property damage, $22.0M total direct cost. P50: 10 deaths, 50 injuries, $5.0M property damage, $219.7M total direct cost. P90: 60 deaths, 250 injuries, $50.0M property damage, $1.27B total direct cost. Injury severity uses the ballistic/edged weapon-class mix (blended fraction 10.2 percent of VSL).</w:t>
      </w:r>
    </w:p>
    <w:p>
      <w:r>
        <w:rPr>
          <w:b/>
        </w:rPr>
        <w:t xml:space="preserve">Assumptions: </w:t>
      </w:r>
      <w:r>
        <w:t>Firearm/grenade or bladed assault at vessel, station, or vehicle; ranges combine distinct subtypes.</w:t>
      </w:r>
    </w:p>
    <w:p>
      <w:r>
        <w:rPr>
          <w:b/>
        </w:rPr>
        <w:t xml:space="preserve">Limitations: </w:t>
      </w:r>
      <w:r>
        <w:t>Scenario should eventually be separated by vessel, station, and onboard configuration.</w:t>
      </w:r>
    </w:p>
    <w:p>
      <w:r>
        <w:rPr>
          <w:b/>
        </w:rPr>
        <w:t xml:space="preserve">Analytic confidence: </w:t>
      </w:r>
      <w:r>
        <w:t>Moderate.</w:t>
      </w:r>
    </w:p>
    <w:p>
      <w:pPr>
        <w:pStyle w:val="Heading2"/>
      </w:pPr>
      <w:r>
        <w:t>8.13 SU-02 - Assault on Pipeline ICS center</w:t>
      </w:r>
    </w:p>
    <w:p>
      <w:r>
        <w:rPr>
          <w:b/>
        </w:rPr>
        <w:t xml:space="preserve">Evidence and analogs: </w:t>
      </w:r>
      <w:r>
        <w:t xml:space="preserve">FBI active-shooter distributions; NTSB SCADA/control-system investigations; CISA critical infrastructure guidance. </w:t>
      </w:r>
      <w:r>
        <w:rPr>
          <w:sz w:val="14"/>
          <w:vertAlign w:val="superscript"/>
        </w:rPr>
        <w:t>[3,23,30]</w:t>
      </w:r>
    </w:p>
    <w:p>
      <w:r>
        <w:rPr>
          <w:b/>
        </w:rPr>
        <w:t xml:space="preserve">Pilot estimates: </w:t>
      </w:r>
      <w:r>
        <w:t xml:space="preserve">P10: 0 deaths, 2 injuries, $500K property damage, $3.4M total direct cost. P50: 2 deaths, 10 injuries, $5.0M property damage, $47.9M total direct cost. P90: 10 deaths, 40 injuries, $50.0M property damage, $250.1M total direct cost. Injury severity uses the ballistic/edged weapon-class mix (blended fraction 10.2 percent of VSL).</w:t>
      </w:r>
    </w:p>
    <w:p>
      <w:r>
        <w:rPr>
          <w:b/>
        </w:rPr>
        <w:t xml:space="preserve">Assumptions: </w:t>
      </w:r>
      <w:r>
        <w:t>Direct casualties/property damage at control center only; pipeline service loss is modeled in the consequence module.</w:t>
      </w:r>
    </w:p>
    <w:p>
      <w:r>
        <w:rPr>
          <w:b/>
        </w:rPr>
        <w:t xml:space="preserve">Limitations: </w:t>
      </w:r>
      <w:r>
        <w:t>Public data on pipeline-control-center attacks are extremely limited.</w:t>
      </w:r>
    </w:p>
    <w:p>
      <w:r>
        <w:rPr>
          <w:b/>
        </w:rPr>
        <w:t xml:space="preserve">Analytic confidence: </w:t>
      </w:r>
      <w:r>
        <w:t>Low.</w:t>
      </w:r>
    </w:p>
    <w:p>
      <w:pPr>
        <w:pStyle w:val="Heading2"/>
      </w:pPr>
      <w:r>
        <w:t>8.14 SU-03 - Vehicle ramming</w:t>
      </w:r>
    </w:p>
    <w:p>
      <w:r>
        <w:rPr>
          <w:b/>
        </w:rPr>
        <w:t xml:space="preserve">Evidence and analogs: </w:t>
      </w:r>
      <w:r>
        <w:t xml:space="preserve">New York 2017 truck attack; New Orleans 2025 attack; Charlottesville 2017. </w:t>
      </w:r>
      <w:r>
        <w:rPr>
          <w:sz w:val="14"/>
          <w:vertAlign w:val="superscript"/>
        </w:rPr>
        <w:t>[9,10,27]</w:t>
      </w:r>
    </w:p>
    <w:p>
      <w:r>
        <w:rPr>
          <w:b/>
        </w:rPr>
        <w:t xml:space="preserve">Pilot estimates: </w:t>
      </w:r>
      <w:r>
        <w:t xml:space="preserve">P10: 1 deaths, 5 injuries, $100K property damage, $17.4M total direct cost. P50: 8 deaths, 35 injuries, $1.0M property damage, $136.5M total direct cost. P90: 40 deaths, 150 injuries, $10.0M property damage, $671.7M total direct cost. Injury severity uses the blunt/vehicular weapon-class mix (blended fraction 4.4 percent of VSL).</w:t>
      </w:r>
    </w:p>
    <w:p>
      <w:r>
        <w:rPr>
          <w:b/>
        </w:rPr>
        <w:t xml:space="preserve">Assumptions: </w:t>
      </w:r>
      <w:r>
        <w:t>Single vehicle against a dense pedestrian area; excludes secondary explosives/firearms unless part of observed casualty totals.</w:t>
      </w:r>
    </w:p>
    <w:p>
      <w:r>
        <w:rPr>
          <w:b/>
        </w:rPr>
        <w:t xml:space="preserve">Limitations: </w:t>
      </w:r>
      <w:r>
        <w:t>Vehicle mass, speed, barriers, crowd geometry, and follow-on actions strongly affect results.</w:t>
      </w:r>
    </w:p>
    <w:p>
      <w:r>
        <w:rPr>
          <w:b/>
        </w:rPr>
        <w:t xml:space="preserve">Analytic confidence: </w:t>
      </w:r>
      <w:r>
        <w:t>Moderate-High.</w:t>
      </w:r>
    </w:p>
    <w:p>
      <w:pPr>
        <w:pStyle w:val="Heading2"/>
      </w:pPr>
      <w:r>
        <w:t>8.15 SU-04 - All UAS against surface transportation</w:t>
      </w:r>
    </w:p>
    <w:p>
      <w:r>
        <w:rPr>
          <w:b/>
        </w:rPr>
        <w:t xml:space="preserve">Evidence and analogs: </w:t>
      </w:r>
      <w:r>
        <w:t xml:space="preserve">CISA UAS critical-infrastructure guidance; TSA C-UAS program; GAO unauthorized UAS findings. </w:t>
      </w:r>
      <w:r>
        <w:rPr>
          <w:sz w:val="14"/>
          <w:vertAlign w:val="superscript"/>
        </w:rPr>
        <w:t>[11,12,13]</w:t>
      </w:r>
    </w:p>
    <w:p>
      <w:r>
        <w:rPr>
          <w:b/>
        </w:rPr>
        <w:t xml:space="preserve">Pilot estimates: </w:t>
      </w:r>
      <w:r>
        <w:t xml:space="preserve">P10: 0 deaths, 3 injuries, $250K property damage, $7.1M total direct cost. P50: 2 deaths, 20 injuries, $5.0M property damage, $79.1M total direct cost. P90: 20 deaths, 100 injuries, $50.0M property damage, $562.5M total direct cost. Injury severity uses the blast weapon-class mix (blended fraction 16.1 percent of VSL).</w:t>
      </w:r>
    </w:p>
    <w:p>
      <w:r>
        <w:rPr>
          <w:b/>
        </w:rPr>
        <w:t xml:space="preserve">Assumptions: </w:t>
      </w:r>
      <w:r>
        <w:t>Ranges cover surveillance/disruption, collision, and limited payload attack against surface systems.</w:t>
      </w:r>
    </w:p>
    <w:p>
      <w:r>
        <w:rPr>
          <w:b/>
        </w:rPr>
        <w:t xml:space="preserve">Limitations: </w:t>
      </w:r>
      <w:r>
        <w:t>No directly comparable successful domestic terrorist event; high estimate is model-derived.</w:t>
      </w:r>
    </w:p>
    <w:p>
      <w:r>
        <w:rPr>
          <w:b/>
        </w:rPr>
        <w:t xml:space="preserve">Analytic confidence: </w:t>
      </w:r>
      <w:r>
        <w:t>Low.</w:t>
      </w:r>
    </w:p>
    <w:p>
      <w:pPr>
        <w:pStyle w:val="Heading2"/>
      </w:pPr>
      <w:r>
        <w:t>8.16 SU-05 - Chem/Bio contamination of food transported by tanker truck</w:t>
      </w:r>
    </w:p>
    <w:p>
      <w:r>
        <w:rPr>
          <w:b/>
        </w:rPr>
        <w:t xml:space="preserve">Evidence and analogs: </w:t>
      </w:r>
      <w:r>
        <w:t xml:space="preserve">FDA intentional-adulteration rule and bulk-food transport guidance; CDC toxicology. </w:t>
      </w:r>
      <w:r>
        <w:rPr>
          <w:sz w:val="14"/>
          <w:vertAlign w:val="superscript"/>
        </w:rPr>
        <w:t>[14,15,28]</w:t>
      </w:r>
    </w:p>
    <w:p>
      <w:r>
        <w:rPr>
          <w:b/>
        </w:rPr>
        <w:t xml:space="preserve">Pilot estimates: </w:t>
      </w:r>
      <w:r>
        <w:t xml:space="preserve">P10: 0 deaths, 10 injuries, $500K property damage, $19.2M total direct cost. P50: 10 deaths, 250 injuries, $15.0M property damage, $623.5M total direct cost. P90: 250 deaths, 3000 injuries, $100.0M property damage, $9.25B total direct cost. Injury severity uses the chemical/biological weapon-class mix (blended fraction 13.1 percent of VSL).</w:t>
      </w:r>
    </w:p>
    <w:p>
      <w:r>
        <w:rPr>
          <w:b/>
        </w:rPr>
        <w:t xml:space="preserve">Assumptions: </w:t>
      </w:r>
      <w:r>
        <w:t>Contamination enters a distributed food stream before detection; recalls and business interruption are excluded from outcome property damage.</w:t>
      </w:r>
    </w:p>
    <w:p>
      <w:r>
        <w:rPr>
          <w:b/>
        </w:rPr>
        <w:t xml:space="preserve">Limitations: </w:t>
      </w:r>
      <w:r>
        <w:t>Highly sensitive to food type, dilution, dose, detection point, distribution reach, and treatment.</w:t>
      </w:r>
    </w:p>
    <w:p>
      <w:r>
        <w:rPr>
          <w:b/>
        </w:rPr>
        <w:t xml:space="preserve">Analytic confidence: </w:t>
      </w:r>
      <w:r>
        <w:t>Low.</w:t>
      </w:r>
    </w:p>
    <w:p>
      <w:r>
        <w:rPr>
          <w:b/>
        </w:rPr>
        <w:t xml:space="preserve">Hijacking scenario splits. </w:t>
      </w:r>
      <w:r>
        <w:t xml:space="preserve">Passenger and cargo hijacking are each split into a traditional variant (8.5, 8.6) and an aircraft-as-weapon variant (8.17, 8.18). Lumping a coercive-diversion hijacking with an aircraft-as-weapon attack in one family obscured a difference that makes a difference: the aircraft-as-weapon consequence is one to two orders of magnitude larger and is driven by the ground target rather than the aircraft.</w:t>
      </w:r>
    </w:p>
    <w:p>
      <w:pPr>
        <w:pStyle w:val="Heading2"/>
      </w:pPr>
      <w:r>
        <w:t xml:space="preserve">8.17 AV-05b - Commercial passenger aircraft hijacking, aircraft as weapon into a populated or economic target (9/11-style)</w:t>
      </w:r>
    </w:p>
    <w:p>
      <w:r>
        <w:rPr>
          <w:b/>
        </w:rPr>
        <w:t xml:space="preserve">Evidence and analogs: </w:t>
      </w:r>
      <w:r>
        <w:t xml:space="preserve">9/11 Commission documentation for the ground-target impact mechanism; structural-collapse and mass-casualty building-impact analogs.</w:t>
      </w:r>
    </w:p>
    <w:p>
      <w:r>
        <w:rPr>
          <w:b/>
        </w:rPr>
        <w:t xml:space="preserve">Pilot estimates: </w:t>
      </w:r>
      <w:r>
        <w:t xml:space="preserve">P10: 100 deaths, 150 injuries, $500.0M property damage, $2.26B total direct cost. P50: 500 deaths, 800 injuries, $5.00B property damage, $13.93B total direct cost. P90: 3000 deaths, 6000 injuries, $40.00B property damage, $96.31B total direct cost. Injury severity uses the blast weapon-class mix (blended fraction 16.1 percent of VSL).</w:t>
      </w:r>
    </w:p>
    <w:p>
      <w:r>
        <w:rPr>
          <w:b/>
        </w:rPr>
        <w:t xml:space="preserve">Assumptions: </w:t>
      </w:r>
      <w:r>
        <w:t xml:space="preserve">Objective is to use the aircraft as a weapon against a high-occupancy ground target. Casualties and property are dominated by the ground target, not the aircraft; blast and structural-collapse trauma govern injury severity. This is the catastrophic tail previously buried inside the lumped hijacking family. These are conditional consequences and are not probability-weighted.</w:t>
      </w:r>
    </w:p>
    <w:p>
      <w:r>
        <w:rPr>
          <w:b/>
        </w:rPr>
        <w:t xml:space="preserve">Limitations: </w:t>
      </w:r>
      <w:r>
        <w:t xml:space="preserve">The single defining U.S. event (2001) predates the post-2001 screen and is used only for the ground-impact consequence mechanism, which the 2001-2002 regime change does not alter given a breach. Hardened doors and screening reduce the likelihood of breach but not the physical consequence conditional on aircraft-as-weapon use; the temporal-screen exception is recorded per Section 4.4.</w:t>
      </w:r>
    </w:p>
    <w:p>
      <w:r>
        <w:rPr>
          <w:b/>
        </w:rPr>
        <w:t xml:space="preserve">Analytic confidence: </w:t>
      </w:r>
      <w:r>
        <w:t xml:space="preserve">Low.</w:t>
      </w:r>
    </w:p>
    <w:p>
      <w:pPr>
        <w:pStyle w:val="Heading2"/>
      </w:pPr>
      <w:r>
        <w:t xml:space="preserve">8.18 AV-06b - Cargo aircraft hijacking, aircraft as weapon into a populated or economic target</w:t>
      </w:r>
    </w:p>
    <w:p>
      <w:r>
        <w:rPr>
          <w:b/>
        </w:rPr>
        <w:t xml:space="preserve">Evidence and analogs: </w:t>
      </w:r>
      <w:r>
        <w:t xml:space="preserve">Aircraft-as-weapon ground-impact mechanism (as AV-05b), scaled to a cargo airframe with no onboard passenger load.</w:t>
      </w:r>
    </w:p>
    <w:p>
      <w:r>
        <w:rPr>
          <w:b/>
        </w:rPr>
        <w:t xml:space="preserve">Pilot estimates: </w:t>
      </w:r>
      <w:r>
        <w:t xml:space="preserve">P10: 50 deaths, 80 injuries, $300.0M property damage, $1.19B total direct cost. P50: 300 deaths, 500 injuries, $3.00B property damage, $8.40B total direct cost. P90: 2000 deaths, 3500 injuries, $25.00B property damage, $61.40B total direct cost. Injury severity uses the blast weapon-class mix (blended fraction 16.1 percent of VSL).</w:t>
      </w:r>
    </w:p>
    <w:p>
      <w:r>
        <w:rPr>
          <w:b/>
        </w:rPr>
        <w:t xml:space="preserve">Assumptions: </w:t>
      </w:r>
      <w:r>
        <w:t xml:space="preserve">Same aircraft-as-weapon mechanism as AV-05b but with a cargo airframe: no passenger load, so onboard casualties are minimal and total casualties are driven by the ground target. Cargo aircraft may carry a larger long-haul fuel load, reflected in the high case. Conditional consequence only.</w:t>
      </w:r>
    </w:p>
    <w:p>
      <w:r>
        <w:rPr>
          <w:b/>
        </w:rPr>
        <w:t xml:space="preserve">Limitations: </w:t>
      </w:r>
      <w:r>
        <w:t xml:space="preserve">No observed cargo aircraft-as-weapon event; consequence scale is inferred from the passenger aircraft-as-weapon mechanism and ground-target analogs. The temporal-screen exception is recorded per Section 4.4.</w:t>
      </w:r>
    </w:p>
    <w:p>
      <w:r>
        <w:rPr>
          <w:b/>
        </w:rPr>
        <w:t xml:space="preserve">Analytic confidence: </w:t>
      </w:r>
      <w:r>
        <w:t xml:space="preserve">Low.</w:t>
      </w:r>
    </w:p>
    <w:p>
      <w:pPr>
        <w:pStyle w:val="Heading1"/>
      </w:pPr>
      <w:r>
        <w:t>9. Consequence Target Results</w:t>
      </w:r>
    </w:p>
    <w:p>
      <w:r>
        <w:t>The following table reports the pilot's P50 total consequence for each target at selected outage durations. Values include first-order casualties and infrastructure damage plus the generic second-order outage calculation.</w:t>
      </w:r>
    </w:p>
    <w:tbl>
      <w:tblPr>
        <w:tblStyle w:val="TableGrid"/>
        <w:tblW w:type="auto" w:w="0"/>
        <w:jc w:val="center"/>
        <w:tblLook w:firstColumn="1" w:firstRow="1" w:lastColumn="0" w:lastRow="0" w:noHBand="0" w:noVBand="1" w:val="04A0"/>
      </w:tblPr>
      <w:tblGrid>
        <w:gridCol w:w="1330"/>
        <w:gridCol w:w="1330"/>
        <w:gridCol w:w="1330"/>
        <w:gridCol w:w="1330"/>
        <w:gridCol w:w="1330"/>
        <w:gridCol w:w="1330"/>
        <w:gridCol w:w="1330"/>
      </w:tblGrid>
      <w:tr>
        <w:tc>
          <w:tcPr>
            <w:tcW w:type="dxa" w:w="1330"/>
            <w:shd w:fill="2F75B5"/>
          </w:tcPr>
          <w:p>
            <w:r>
              <w:rPr>
                <w:color w:val="FFFFFF"/>
              </w:rPr>
              <w:t xml:space="preserve">Target</w:t>
            </w:r>
          </w:p>
        </w:tc>
        <w:tc>
          <w:tcPr>
            <w:tcW w:type="dxa" w:w="1330"/>
            <w:shd w:fill="2F75B5"/>
          </w:tcPr>
          <w:p>
            <w:r>
              <w:rPr>
                <w:color w:val="FFFFFF"/>
              </w:rPr>
              <w:t xml:space="preserve">1 Day</w:t>
            </w:r>
          </w:p>
        </w:tc>
        <w:tc>
          <w:tcPr>
            <w:tcW w:type="dxa" w:w="1330"/>
            <w:shd w:fill="2F75B5"/>
          </w:tcPr>
          <w:p>
            <w:r>
              <w:rPr>
                <w:color w:val="FFFFFF"/>
              </w:rPr>
              <w:t xml:space="preserve">3 Days</w:t>
            </w:r>
          </w:p>
        </w:tc>
        <w:tc>
          <w:tcPr>
            <w:tcW w:type="dxa" w:w="1330"/>
            <w:shd w:fill="2F75B5"/>
          </w:tcPr>
          <w:p>
            <w:r>
              <w:rPr>
                <w:color w:val="FFFFFF"/>
              </w:rPr>
              <w:t xml:space="preserve">7 Days</w:t>
            </w:r>
          </w:p>
        </w:tc>
        <w:tc>
          <w:tcPr>
            <w:tcW w:type="dxa" w:w="1330"/>
            <w:shd w:fill="2F75B5"/>
          </w:tcPr>
          <w:p>
            <w:r>
              <w:rPr>
                <w:color w:val="FFFFFF"/>
              </w:rPr>
              <w:t xml:space="preserve">30 Days</w:t>
            </w:r>
          </w:p>
        </w:tc>
        <w:tc>
          <w:tcPr>
            <w:tcW w:type="dxa" w:w="1330"/>
            <w:shd w:fill="2F75B5"/>
          </w:tcPr>
          <w:p>
            <w:r>
              <w:rPr>
                <w:color w:val="FFFFFF"/>
              </w:rPr>
              <w:t xml:space="preserve">45 Days</w:t>
            </w:r>
          </w:p>
        </w:tc>
        <w:tc>
          <w:tcPr>
            <w:tcW w:type="dxa" w:w="1330"/>
            <w:shd w:fill="2F75B5"/>
          </w:tcPr>
          <w:p>
            <w:r>
              <w:rPr>
                <w:color w:val="FFFFFF"/>
              </w:rPr>
              <w:t xml:space="preserve">90 Days</w:t>
            </w:r>
          </w:p>
        </w:tc>
      </w:tr>
      <w:tr>
        <w:tc>
          <w:tcPr>
            <w:tcW w:type="dxa" w:w="1330"/>
          </w:tcPr>
          <w:p>
            <w:pPr>
              <w:pStyle w:val="TableSmall"/>
            </w:pPr>
            <w:r>
              <w:t xml:space="preserve">Pipeline Segment</w:t>
            </w:r>
          </w:p>
        </w:tc>
        <w:tc>
          <w:tcPr>
            <w:tcW w:type="dxa" w:w="1330"/>
          </w:tcPr>
          <w:p>
            <w:pPr>
              <w:pStyle w:val="TableSmall"/>
            </w:pPr>
            <w:r>
              <w:t xml:space="preserve">$50.2M</w:t>
            </w:r>
          </w:p>
        </w:tc>
        <w:tc>
          <w:tcPr>
            <w:tcW w:type="dxa" w:w="1330"/>
          </w:tcPr>
          <w:p>
            <w:pPr>
              <w:pStyle w:val="TableSmall"/>
            </w:pPr>
            <w:r>
              <w:t xml:space="preserve">$122.8M</w:t>
            </w:r>
          </w:p>
        </w:tc>
        <w:tc>
          <w:tcPr>
            <w:tcW w:type="dxa" w:w="1330"/>
          </w:tcPr>
          <w:p>
            <w:pPr>
              <w:pStyle w:val="TableSmall"/>
            </w:pPr>
            <w:r>
              <w:t xml:space="preserve">$257.8M</w:t>
            </w:r>
          </w:p>
        </w:tc>
        <w:tc>
          <w:tcPr>
            <w:tcW w:type="dxa" w:w="1330"/>
          </w:tcPr>
          <w:p>
            <w:pPr>
              <w:pStyle w:val="TableSmall"/>
            </w:pPr>
            <w:r>
              <w:t xml:space="preserve">$1.08B</w:t>
            </w:r>
          </w:p>
        </w:tc>
        <w:tc>
          <w:tcPr>
            <w:tcW w:type="dxa" w:w="1330"/>
          </w:tcPr>
          <w:p>
            <w:pPr>
              <w:pStyle w:val="TableSmall"/>
            </w:pPr>
            <w:r>
              <w:t xml:space="preserve">$1.82B</w:t>
            </w:r>
          </w:p>
        </w:tc>
        <w:tc>
          <w:tcPr>
            <w:tcW w:type="dxa" w:w="1330"/>
          </w:tcPr>
          <w:p>
            <w:pPr>
              <w:pStyle w:val="TableSmall"/>
            </w:pPr>
            <w:r>
              <w:t xml:space="preserve">$3.88B</w:t>
            </w:r>
          </w:p>
        </w:tc>
      </w:tr>
      <w:tr>
        <w:tc>
          <w:tcPr>
            <w:tcW w:type="dxa" w:w="1330"/>
          </w:tcPr>
          <w:p>
            <w:pPr>
              <w:pStyle w:val="TableSmall"/>
            </w:pPr>
            <w:r>
              <w:t xml:space="preserve">Pump Station</w:t>
            </w:r>
          </w:p>
        </w:tc>
        <w:tc>
          <w:tcPr>
            <w:tcW w:type="dxa" w:w="1330"/>
          </w:tcPr>
          <w:p>
            <w:pPr>
              <w:pStyle w:val="TableSmall"/>
            </w:pPr>
            <w:r>
              <w:t xml:space="preserve">$35.5M</w:t>
            </w:r>
          </w:p>
        </w:tc>
        <w:tc>
          <w:tcPr>
            <w:tcW w:type="dxa" w:w="1330"/>
          </w:tcPr>
          <w:p>
            <w:pPr>
              <w:pStyle w:val="TableSmall"/>
            </w:pPr>
            <w:r>
              <w:t xml:space="preserve">$79.0M</w:t>
            </w:r>
          </w:p>
        </w:tc>
        <w:tc>
          <w:tcPr>
            <w:tcW w:type="dxa" w:w="1330"/>
          </w:tcPr>
          <w:p>
            <w:pPr>
              <w:pStyle w:val="TableSmall"/>
            </w:pPr>
            <w:r>
              <w:t xml:space="preserve">$160.0M</w:t>
            </w:r>
          </w:p>
        </w:tc>
        <w:tc>
          <w:tcPr>
            <w:tcW w:type="dxa" w:w="1330"/>
          </w:tcPr>
          <w:p>
            <w:pPr>
              <w:pStyle w:val="TableSmall"/>
            </w:pPr>
            <w:r>
              <w:t xml:space="preserve">$655.0M</w:t>
            </w:r>
          </w:p>
        </w:tc>
        <w:tc>
          <w:tcPr>
            <w:tcW w:type="dxa" w:w="1330"/>
          </w:tcPr>
          <w:p>
            <w:pPr>
              <w:pStyle w:val="TableSmall"/>
            </w:pPr>
            <w:r>
              <w:t xml:space="preserve">$1.10B</w:t>
            </w:r>
          </w:p>
        </w:tc>
        <w:tc>
          <w:tcPr>
            <w:tcW w:type="dxa" w:w="1330"/>
          </w:tcPr>
          <w:p>
            <w:pPr>
              <w:pStyle w:val="TableSmall"/>
            </w:pPr>
            <w:r>
              <w:t xml:space="preserve">$2.34B</w:t>
            </w:r>
          </w:p>
        </w:tc>
      </w:tr>
      <w:tr>
        <w:tc>
          <w:tcPr>
            <w:tcW w:type="dxa" w:w="1330"/>
          </w:tcPr>
          <w:p>
            <w:pPr>
              <w:pStyle w:val="TableSmall"/>
            </w:pPr>
            <w:r>
              <w:t xml:space="preserve">Compressor Station</w:t>
            </w:r>
          </w:p>
        </w:tc>
        <w:tc>
          <w:tcPr>
            <w:tcW w:type="dxa" w:w="1330"/>
          </w:tcPr>
          <w:p>
            <w:pPr>
              <w:pStyle w:val="TableSmall"/>
            </w:pPr>
            <w:r>
              <w:t xml:space="preserve">$43.8M</w:t>
            </w:r>
          </w:p>
        </w:tc>
        <w:tc>
          <w:tcPr>
            <w:tcW w:type="dxa" w:w="1330"/>
          </w:tcPr>
          <w:p>
            <w:pPr>
              <w:pStyle w:val="TableSmall"/>
            </w:pPr>
            <w:r>
              <w:t xml:space="preserve">$101.8M</w:t>
            </w:r>
          </w:p>
        </w:tc>
        <w:tc>
          <w:tcPr>
            <w:tcW w:type="dxa" w:w="1330"/>
          </w:tcPr>
          <w:p>
            <w:pPr>
              <w:pStyle w:val="TableSmall"/>
            </w:pPr>
            <w:r>
              <w:t xml:space="preserve">$209.8M</w:t>
            </w:r>
          </w:p>
        </w:tc>
        <w:tc>
          <w:tcPr>
            <w:tcW w:type="dxa" w:w="1330"/>
          </w:tcPr>
          <w:p>
            <w:pPr>
              <w:pStyle w:val="TableSmall"/>
            </w:pPr>
            <w:r>
              <w:t xml:space="preserve">$869.8M</w:t>
            </w:r>
          </w:p>
        </w:tc>
        <w:tc>
          <w:tcPr>
            <w:tcW w:type="dxa" w:w="1330"/>
          </w:tcPr>
          <w:p>
            <w:pPr>
              <w:pStyle w:val="TableSmall"/>
            </w:pPr>
            <w:r>
              <w:t xml:space="preserve">$1.46B</w:t>
            </w:r>
          </w:p>
        </w:tc>
        <w:tc>
          <w:tcPr>
            <w:tcW w:type="dxa" w:w="1330"/>
          </w:tcPr>
          <w:p>
            <w:pPr>
              <w:pStyle w:val="TableSmall"/>
            </w:pPr>
            <w:r>
              <w:t xml:space="preserve">$3.11B</w:t>
            </w:r>
          </w:p>
        </w:tc>
      </w:tr>
      <w:tr>
        <w:tc>
          <w:tcPr>
            <w:tcW w:type="dxa" w:w="1330"/>
          </w:tcPr>
          <w:p>
            <w:pPr>
              <w:pStyle w:val="TableSmall"/>
            </w:pPr>
            <w:r>
              <w:t xml:space="preserve">Airport Terminal</w:t>
            </w:r>
          </w:p>
        </w:tc>
        <w:tc>
          <w:tcPr>
            <w:tcW w:type="dxa" w:w="1330"/>
          </w:tcPr>
          <w:p>
            <w:pPr>
              <w:pStyle w:val="TableSmall"/>
            </w:pPr>
            <w:r>
              <w:t xml:space="preserve">$334.5M</w:t>
            </w:r>
          </w:p>
        </w:tc>
        <w:tc>
          <w:tcPr>
            <w:tcW w:type="dxa" w:w="1330"/>
          </w:tcPr>
          <w:p>
            <w:pPr>
              <w:pStyle w:val="TableSmall"/>
            </w:pPr>
            <w:r>
              <w:t xml:space="preserve">$450.5M</w:t>
            </w:r>
          </w:p>
        </w:tc>
        <w:tc>
          <w:tcPr>
            <w:tcW w:type="dxa" w:w="1330"/>
          </w:tcPr>
          <w:p>
            <w:pPr>
              <w:pStyle w:val="TableSmall"/>
            </w:pPr>
            <w:r>
              <w:t xml:space="preserve">$666.5M</w:t>
            </w:r>
          </w:p>
        </w:tc>
        <w:tc>
          <w:tcPr>
            <w:tcW w:type="dxa" w:w="1330"/>
          </w:tcPr>
          <w:p>
            <w:pPr>
              <w:pStyle w:val="TableSmall"/>
            </w:pPr>
            <w:r>
              <w:t xml:space="preserve">$1.99B</w:t>
            </w:r>
          </w:p>
        </w:tc>
        <w:tc>
          <w:tcPr>
            <w:tcW w:type="dxa" w:w="1330"/>
          </w:tcPr>
          <w:p>
            <w:pPr>
              <w:pStyle w:val="TableSmall"/>
            </w:pPr>
            <w:r>
              <w:t xml:space="preserve">$3.17B</w:t>
            </w:r>
          </w:p>
        </w:tc>
        <w:tc>
          <w:tcPr>
            <w:tcW w:type="dxa" w:w="1330"/>
          </w:tcPr>
          <w:p>
            <w:pPr>
              <w:pStyle w:val="TableSmall"/>
            </w:pPr>
            <w:r>
              <w:t xml:space="preserve">$6.47B</w:t>
            </w:r>
          </w:p>
        </w:tc>
      </w:tr>
      <w:tr>
        <w:tc>
          <w:tcPr>
            <w:tcW w:type="dxa" w:w="1330"/>
          </w:tcPr>
          <w:p>
            <w:pPr>
              <w:pStyle w:val="TableSmall"/>
            </w:pPr>
            <w:r>
              <w:t xml:space="preserve">Freight Rail</w:t>
            </w:r>
          </w:p>
        </w:tc>
        <w:tc>
          <w:tcPr>
            <w:tcW w:type="dxa" w:w="1330"/>
          </w:tcPr>
          <w:p>
            <w:pPr>
              <w:pStyle w:val="TableSmall"/>
            </w:pPr>
            <w:r>
              <w:t xml:space="preserve">$50.4M</w:t>
            </w:r>
          </w:p>
        </w:tc>
        <w:tc>
          <w:tcPr>
            <w:tcW w:type="dxa" w:w="1330"/>
          </w:tcPr>
          <w:p>
            <w:pPr>
              <w:pStyle w:val="TableSmall"/>
            </w:pPr>
            <w:r>
              <w:t xml:space="preserve">$93.9M</w:t>
            </w:r>
          </w:p>
        </w:tc>
        <w:tc>
          <w:tcPr>
            <w:tcW w:type="dxa" w:w="1330"/>
          </w:tcPr>
          <w:p>
            <w:pPr>
              <w:pStyle w:val="TableSmall"/>
            </w:pPr>
            <w:r>
              <w:t xml:space="preserve">$174.9M</w:t>
            </w:r>
          </w:p>
        </w:tc>
        <w:tc>
          <w:tcPr>
            <w:tcW w:type="dxa" w:w="1330"/>
          </w:tcPr>
          <w:p>
            <w:pPr>
              <w:pStyle w:val="TableSmall"/>
            </w:pPr>
            <w:r>
              <w:t xml:space="preserve">$669.9M</w:t>
            </w:r>
          </w:p>
        </w:tc>
        <w:tc>
          <w:tcPr>
            <w:tcW w:type="dxa" w:w="1330"/>
          </w:tcPr>
          <w:p>
            <w:pPr>
              <w:pStyle w:val="TableSmall"/>
            </w:pPr>
            <w:r>
              <w:t xml:space="preserve">$1.11B</w:t>
            </w:r>
          </w:p>
        </w:tc>
        <w:tc>
          <w:tcPr>
            <w:tcW w:type="dxa" w:w="1330"/>
          </w:tcPr>
          <w:p>
            <w:pPr>
              <w:pStyle w:val="TableSmall"/>
            </w:pPr>
            <w:r>
              <w:t xml:space="preserve">$2.35B</w:t>
            </w:r>
          </w:p>
        </w:tc>
      </w:tr>
    </w:tbl>
    <w:p>
      <w:pPr>
        <w:pStyle w:val="Heading2"/>
      </w:pPr>
      <w:r>
        <w:t>Pipeline Segment</w:t>
      </w:r>
    </w:p>
    <w:p>
      <w:r>
        <w:rPr>
          <w:b/>
        </w:rPr>
        <w:t xml:space="preserve">Target definition: </w:t>
      </w:r>
      <w:r>
        <w:t>Representative hazardous-liquid or natural-gas transmission segment.</w:t>
      </w:r>
    </w:p>
    <w:p>
      <w:r>
        <w:rPr>
          <w:b/>
        </w:rPr>
        <w:t xml:space="preserve">Restoration assumptions: </w:t>
      </w:r>
      <w:r>
        <w:t>Minimum material outage 24 hours; P50 restoration 72 hours; P90 restoration 336 hours.</w:t>
      </w:r>
    </w:p>
    <w:p>
      <w:r>
        <w:rPr>
          <w:b/>
        </w:rPr>
        <w:t xml:space="preserve">Method and evidence: </w:t>
      </w:r>
      <w:r>
        <w:t xml:space="preserve">Daily indirect loss represents affected commodity value, substitution, curtailment, and dependent-sector disruption; excludes price-spike transfers. </w:t>
      </w:r>
      <w:r>
        <w:rPr>
          <w:sz w:val="14"/>
          <w:vertAlign w:val="superscript"/>
        </w:rPr>
        <w:t>[17,29,30,31]</w:t>
      </w:r>
    </w:p>
    <w:p>
      <w:r>
        <w:rPr>
          <w:b/>
        </w:rPr>
        <w:t xml:space="preserve">Confidence: </w:t>
      </w:r>
      <w:r>
        <w:t>Moderate-Low.</w:t>
      </w:r>
    </w:p>
    <w:p>
      <w:pPr>
        <w:pStyle w:val="Heading2"/>
      </w:pPr>
      <w:r>
        <w:t>Pump Station</w:t>
      </w:r>
    </w:p>
    <w:p>
      <w:r>
        <w:rPr>
          <w:b/>
        </w:rPr>
        <w:t xml:space="preserve">Target definition: </w:t>
      </w:r>
      <w:r>
        <w:t>Representative liquid-pipeline pump station.</w:t>
      </w:r>
    </w:p>
    <w:p>
      <w:r>
        <w:rPr>
          <w:b/>
        </w:rPr>
        <w:t xml:space="preserve">Restoration assumptions: </w:t>
      </w:r>
      <w:r>
        <w:t>Minimum material outage 12 hours; P50 restoration 48 hours; P90 restoration 240 hours.</w:t>
      </w:r>
    </w:p>
    <w:p>
      <w:r>
        <w:rPr>
          <w:b/>
        </w:rPr>
        <w:t xml:space="preserve">Method and evidence: </w:t>
      </w:r>
      <w:r>
        <w:t xml:space="preserve">Assumes partial rerouting/storage capability in low and central cases; no system-specific topology is embedded. </w:t>
      </w:r>
      <w:r>
        <w:rPr>
          <w:sz w:val="14"/>
          <w:vertAlign w:val="superscript"/>
        </w:rPr>
        <w:t>[17,29,31]</w:t>
      </w:r>
    </w:p>
    <w:p>
      <w:r>
        <w:rPr>
          <w:b/>
        </w:rPr>
        <w:t xml:space="preserve">Confidence: </w:t>
      </w:r>
      <w:r>
        <w:t>Low.</w:t>
      </w:r>
    </w:p>
    <w:p>
      <w:pPr>
        <w:pStyle w:val="Heading2"/>
      </w:pPr>
      <w:r>
        <w:t>Compressor Station</w:t>
      </w:r>
    </w:p>
    <w:p>
      <w:r>
        <w:rPr>
          <w:b/>
        </w:rPr>
        <w:t xml:space="preserve">Target definition: </w:t>
      </w:r>
      <w:r>
        <w:t>Representative natural-gas compressor station.</w:t>
      </w:r>
    </w:p>
    <w:p>
      <w:r>
        <w:rPr>
          <w:b/>
        </w:rPr>
        <w:t xml:space="preserve">Restoration assumptions: </w:t>
      </w:r>
      <w:r>
        <w:t>Minimum material outage 12 hours; P50 restoration 72 hours; P90 restoration 336 hours.</w:t>
      </w:r>
    </w:p>
    <w:p>
      <w:r>
        <w:rPr>
          <w:b/>
        </w:rPr>
        <w:t xml:space="preserve">Method and evidence: </w:t>
      </w:r>
      <w:r>
        <w:t xml:space="preserve">Indirect loss depends on season, storage, network redundancy, affected customers, and gas-fired generation exposure. </w:t>
      </w:r>
      <w:r>
        <w:rPr>
          <w:sz w:val="14"/>
          <w:vertAlign w:val="superscript"/>
        </w:rPr>
        <w:t>[17,29,31]</w:t>
      </w:r>
    </w:p>
    <w:p>
      <w:r>
        <w:rPr>
          <w:b/>
        </w:rPr>
        <w:t xml:space="preserve">Confidence: </w:t>
      </w:r>
      <w:r>
        <w:t>Low.</w:t>
      </w:r>
    </w:p>
    <w:p>
      <w:pPr>
        <w:pStyle w:val="Heading2"/>
      </w:pPr>
      <w:r>
        <w:t>Airport Terminal</w:t>
      </w:r>
    </w:p>
    <w:p>
      <w:r>
        <w:rPr>
          <w:b/>
        </w:rPr>
        <w:t xml:space="preserve">Target definition: </w:t>
      </w:r>
      <w:r>
        <w:t>Representative large-hub passenger terminal or major terminal complex.</w:t>
      </w:r>
    </w:p>
    <w:p>
      <w:r>
        <w:rPr>
          <w:b/>
        </w:rPr>
        <w:t xml:space="preserve">Restoration assumptions: </w:t>
      </w:r>
      <w:r>
        <w:t>Minimum material outage 4 hours; P50 restoration 24 hours; P90 restoration 168 hours.</w:t>
      </w:r>
    </w:p>
    <w:p>
      <w:r>
        <w:rPr>
          <w:b/>
        </w:rPr>
        <w:t xml:space="preserve">Method and evidence: </w:t>
      </w:r>
      <w:r>
        <w:t xml:space="preserve">Daily indirect loss includes displaced aviation activity, passenger delay, airport concessions, air cargo, and visitor effects; not airport-specific. </w:t>
      </w:r>
      <w:r>
        <w:rPr>
          <w:sz w:val="14"/>
          <w:vertAlign w:val="superscript"/>
        </w:rPr>
        <w:t>[7,19,32,33]</w:t>
      </w:r>
    </w:p>
    <w:p>
      <w:r>
        <w:rPr>
          <w:b/>
        </w:rPr>
        <w:t xml:space="preserve">Confidence: </w:t>
      </w:r>
      <w:r>
        <w:t>Moderate-Low.</w:t>
      </w:r>
    </w:p>
    <w:p>
      <w:pPr>
        <w:pStyle w:val="Heading2"/>
      </w:pPr>
      <w:r>
        <w:t>Freight Rail</w:t>
      </w:r>
    </w:p>
    <w:p>
      <w:r>
        <w:rPr>
          <w:b/>
        </w:rPr>
        <w:t xml:space="preserve">Target definition: </w:t>
      </w:r>
      <w:r>
        <w:t>Representative nationally significant freight-rail corridor, bridge, tunnel, yard, or intermodal node.</w:t>
      </w:r>
    </w:p>
    <w:p>
      <w:r>
        <w:rPr>
          <w:b/>
        </w:rPr>
        <w:t xml:space="preserve">Restoration assumptions: </w:t>
      </w:r>
      <w:r>
        <w:t>Minimum material outage 12 hours; P50 restoration 72 hours; P90 restoration 336 hours.</w:t>
      </w:r>
    </w:p>
    <w:p>
      <w:r>
        <w:rPr>
          <w:b/>
        </w:rPr>
        <w:t xml:space="preserve">Method and evidence: </w:t>
      </w:r>
      <w:r>
        <w:t xml:space="preserve">Indirect loss reflects delayed/lost freight value and dependent production; substitute routing is represented only through the range. </w:t>
      </w:r>
      <w:r>
        <w:rPr>
          <w:sz w:val="14"/>
          <w:vertAlign w:val="superscript"/>
        </w:rPr>
        <w:t>[18,20,34]</w:t>
      </w:r>
    </w:p>
    <w:p>
      <w:r>
        <w:rPr>
          <w:b/>
        </w:rPr>
        <w:t xml:space="preserve">Confidence: </w:t>
      </w:r>
      <w:r>
        <w:t>Moderate-Low.</w:t>
      </w:r>
    </w:p>
    <w:p>
      <w:pPr>
        <w:pStyle w:val="Heading1"/>
      </w:pPr>
      <w:r>
        <w:t>10. Key Judgments and Decisions Required</w:t>
      </w:r>
    </w:p>
    <w:p>
      <w:pPr>
        <w:pStyle w:val="ListNumber"/>
      </w:pPr>
      <w:r>
        <w:t>Bayesian methods are appropriate for sparse conditional outcomes, mitigation effectiveness, and future frequency estimation, but deterministic calculations should remain the primary method for VSL, observed property damage, throughput, and documented restoration cost.</w:t>
      </w:r>
    </w:p>
    <w:p>
      <w:pPr>
        <w:pStyle w:val="ListNumber"/>
      </w:pPr>
      <w:r>
        <w:t>Outcomes should remain limited to direct physical effects. Indirect consequences should be calculated in a separate consequence module to prevent double counting.</w:t>
      </w:r>
    </w:p>
    <w:p>
      <w:pPr>
        <w:pStyle w:val="ListNumber"/>
      </w:pPr>
      <w:r>
        <w:t>Observed incidents should be the primary anchor, but strict observed-only rules would make several valid scenario families non-estimable. Mechanistic and analogical estimates are acceptable when explicitly labeled and assigned broad uncertainty. The observed base is deliberately not limited to terrorist events: accidents, crime, and non-adversarial outages are admitted within the permitted scopes defined in Section 4.5, because terrorist events alone are too sparse to characterize consequence distributions in most families.</w:t>
      </w:r>
    </w:p>
    <w:p>
      <w:pPr>
        <w:pStyle w:val="ListNumber"/>
      </w:pPr>
      <w:r>
        <w:t>Temporal screening must be mode-dependent rather than uniform. Aviation evidence is screened to on or after September 11, 2001 because the 2001-2002 regime change was discontinuous; other modes retain pre-2001 evidence for steady-state characterization only. Aggregating the two evidence bases into a single cross-modal comparison would be an error.</w:t>
      </w:r>
    </w:p>
    <w:p>
      <w:pPr>
        <w:pStyle w:val="ListNumber"/>
      </w:pPr>
      <w:r>
        <w:t>The pilot should not impose an arbitrary probability floor for unobserved events. Zero recorded events should result in low confidence and broad credible intervals, not a precise zero or invented minimum.</w:t>
      </w:r>
    </w:p>
    <w:p>
      <w:pPr>
        <w:pStyle w:val="ListNumber"/>
      </w:pPr>
      <w:r>
        <w:t>Mass transit and highway third- and fourth-order effects should be screened in all cases and modeled only where duration, geographic reach, network centrality, or critical-sector dependency exceeds an approved materiality threshold.</w:t>
      </w:r>
    </w:p>
    <w:p>
      <w:pPr>
        <w:pStyle w:val="ListNumber"/>
      </w:pPr>
      <w:r>
        <w:t>IID must be formally defined before the pilot is used. This product provisionally interprets IID as improvised incendiary device.</w:t>
      </w:r>
    </w:p>
    <w:p>
      <w:pPr>
        <w:pStyle w:val="ListNumber"/>
      </w:pPr>
      <w:r>
        <w:t>All UAS, Chem/Bio, and broad assault families should eventually be separated by mechanism, target configuration, and mitigation regime.</w:t>
      </w:r>
    </w:p>
    <w:p>
      <w:pPr>
        <w:pStyle w:val="ListNumber"/>
      </w:pPr>
      <w:r>
        <w:t>Frequency estimation should be a separate phase using completed attacks, attempts, and advanced plots as distinct datasets.</w:t>
      </w:r>
    </w:p>
    <w:p>
      <w:pPr>
        <w:pStyle w:val="Heading1"/>
      </w:pPr>
      <w:r>
        <w:t>11. Limitations and Validation Plan</w:t>
      </w:r>
    </w:p>
    <w:p>
      <w:pPr>
        <w:pStyle w:val="Heading2"/>
      </w:pPr>
      <w:r>
        <w:t>11.1 Principal limitations</w:t>
      </w:r>
    </w:p>
    <w:p>
      <w:pPr>
        <w:pStyle w:val="ListBullet"/>
      </w:pPr>
      <w:r>
        <w:t>Sparse observations and substantial post-incident security-regime changes. Aviation evidence is screened to on or after September 11, 2001, which further reduces an already sparse aviation sample; non-aviation modes retain pre-2001 evidence for steady-state purposes only, so aviation and non-aviation evidence bases are not directly comparable in aggregate.</w:t>
      </w:r>
    </w:p>
    <w:p>
      <w:pPr>
        <w:pStyle w:val="ListBullet"/>
      </w:pPr>
      <w:r>
        <w:t>Heterogeneous scenario families that combine multiple weapons, targets, or operating environments.</w:t>
      </w:r>
    </w:p>
    <w:p>
      <w:pPr>
        <w:pStyle w:val="ListBullet"/>
      </w:pPr>
      <w:r>
        <w:t>Generic target archetypes rather than named assets with actual throughput, topology, redundancy, and restoration data.</w:t>
      </w:r>
    </w:p>
    <w:p>
      <w:pPr>
        <w:pStyle w:val="ListBullet"/>
      </w:pPr>
      <w:r>
        <w:t>Generic average injury-severity fractions where official incident records lack MAIS detail.</w:t>
      </w:r>
    </w:p>
    <w:p>
      <w:pPr>
        <w:pStyle w:val="ListBullet"/>
      </w:pPr>
      <w:r>
        <w:t>Second-order values are screening estimates and not full regional or national input-output simulations.</w:t>
      </w:r>
    </w:p>
    <w:p>
      <w:pPr>
        <w:pStyle w:val="ListBullet"/>
      </w:pPr>
      <w:r>
        <w:t>No classified operational, intelligence, defense mission, or actual TSSRA data.</w:t>
      </w:r>
    </w:p>
    <w:p>
      <w:pPr>
        <w:pStyle w:val="ListBullet"/>
      </w:pPr>
      <w:r>
        <w:t>No annual frequency or probability estimate in this phase.</w:t>
      </w:r>
    </w:p>
    <w:p>
      <w:pPr>
        <w:pStyle w:val="Heading2"/>
      </w:pPr>
      <w:r>
        <w:t>11.2 Recommended validation sequence</w:t>
      </w:r>
    </w:p>
    <w:p>
      <w:pPr>
        <w:pStyle w:val="ListNumber"/>
      </w:pPr>
      <w:r>
        <w:t>Confirm scenario definitions, especially IID, All UAS, Chem/Bio, airport terminal, freight rail, and pipeline ICS center.</w:t>
      </w:r>
    </w:p>
    <w:p>
      <w:pPr>
        <w:pStyle w:val="ListNumber"/>
      </w:pPr>
      <w:r>
        <w:t>Have subject-matter experts review the scenario P10/P50/P90 casualty and property-damage assumptions.</w:t>
      </w:r>
    </w:p>
    <w:p>
      <w:pPr>
        <w:pStyle w:val="ListNumber"/>
      </w:pPr>
      <w:r>
        <w:t>Replace archetype target inputs with asset-specific throughput, alternate routing, storage/inventory, restoration, and customer dependency values.</w:t>
      </w:r>
    </w:p>
    <w:p>
      <w:pPr>
        <w:pStyle w:val="ListNumber"/>
      </w:pPr>
      <w:r>
        <w:t>Validate injury-severity distributions and property-damage inflation adjustments.</w:t>
      </w:r>
    </w:p>
    <w:p>
      <w:pPr>
        <w:pStyle w:val="ListNumber"/>
      </w:pPr>
      <w:r>
        <w:t>Run structured sensitivity analysis and identify assumptions responsible for at least 80 percent of output variance.</w:t>
      </w:r>
    </w:p>
    <w:p>
      <w:pPr>
        <w:pStyle w:val="ListNumber"/>
      </w:pPr>
      <w:r>
        <w:t>Back-test the method against held-out official incidents.</w:t>
      </w:r>
    </w:p>
    <w:p>
      <w:pPr>
        <w:pStyle w:val="ListNumber"/>
      </w:pPr>
      <w:r>
        <w:t>Approve a source whitelist and evidence-adjudication protocol.</w:t>
      </w:r>
    </w:p>
    <w:p>
      <w:pPr>
        <w:pStyle w:val="ListNumber"/>
      </w:pPr>
      <w:r>
        <w:t>Curate the referenced incident list for every run: remove aviation incidents predating September 11, 2001 that lack a recorded mechanism-based justification, confirm each remaining reference is scenario-appropriate, and verify that no pre-2001 non-aviation evidence has been pooled into a cross-modal aggregate.</w:t>
      </w:r>
    </w:p>
    <w:p>
      <w:pPr>
        <w:pStyle w:val="ListNumber"/>
      </w:pPr>
      <w:r>
        <w:t>Confirm that each non-adversarial analog is used only within its permitted scope: accidents for first- and second-order consequences, crime for first-order only, and outage or maintenance events for second-order only.</w:t>
      </w:r>
    </w:p>
    <w:p>
      <w:pPr>
        <w:pStyle w:val="ListNumber"/>
      </w:pPr>
      <w:r>
        <w:t>Only after outcome and consequence validation, add annual frequency and Bayesian updating.</w:t>
      </w:r>
    </w:p>
    <w:p>
      <w:r>
        <w:br w:type="page"/>
      </w:r>
    </w:p>
    <w:p>
      <w:pPr>
        <w:pStyle w:val="Heading1"/>
      </w:pPr>
      <w:r>
        <w:t>Endnotes</w:t>
      </w:r>
    </w:p>
    <w:p>
      <w:pPr>
        <w:pStyle w:val="SmallNote"/>
      </w:pPr>
      <w:r>
        <w:t>Endnote numbers correspond to the source IDs in the companion workbook (S001-S034). Access dates should be refreshed when the pilot is formally updated.</w:t>
      </w:r>
    </w:p>
    <w:p>
      <w:pPr>
        <w:ind w:hanging="360" w:left="360"/>
      </w:pPr>
      <w:r>
        <w:rPr>
          <w:b/>
        </w:rPr>
        <w:t xml:space="preserve">1. U.S. Department of Transportation. </w:t>
      </w:r>
      <w:r>
        <w:t>Revised Departmental Guidance on Valuation of a Statistical Life in Economic Analysis. https://www.transportation.gov/office-policy/transportation-policy/revised-departmental-guidance-on-valuation-of-a-statistical-life-in-economic-analysis. Analytic role: VSL and injury valuation basis. Applied to: All scenarios and targets.</w:t>
      </w:r>
    </w:p>
    <w:p>
      <w:pPr>
        <w:ind w:hanging="360" w:left="360"/>
      </w:pPr>
      <w:r>
        <w:rPr>
          <w:b/>
        </w:rPr>
        <w:t xml:space="preserve">2. Bureau of Economic Analysis. </w:t>
      </w:r>
      <w:r>
        <w:t>Input-Output Accounts data and methodology. https://www.bea.gov/data/industries/input-output-accounts-data. Analytic role: Cross-industry dependency and indirect-consequence framework. Applied to: Consequence model.</w:t>
      </w:r>
    </w:p>
    <w:p>
      <w:pPr>
        <w:ind w:hanging="360" w:left="360"/>
      </w:pPr>
      <w:r>
        <w:rPr>
          <w:b/>
        </w:rPr>
        <w:t xml:space="preserve">3. Cybersecurity and Infrastructure Security Agency. </w:t>
      </w:r>
      <w:r>
        <w:t>Critical Infrastructure Sectors. https://www.cisa.gov/topics/critical-infrastructure-security-and-resilience/critical-infrastructure-sectors. Analytic role: Sector taxonomy and dependency framing. Applied to: Cross-sector model.</w:t>
      </w:r>
    </w:p>
    <w:p>
      <w:pPr>
        <w:ind w:hanging="360" w:left="360"/>
      </w:pPr>
      <w:r>
        <w:rPr>
          <w:b/>
        </w:rPr>
        <w:t xml:space="preserve">4. National Transportation Safety Board. </w:t>
      </w:r>
      <w:r>
        <w:t>Aviation accident reports and sabotage/explosion investigations. https://www.ntsb.gov/investigations/AccidentReports/Pages/Reports.aspx. Analytic role: Aircraft fire/explosion and consequence analogs. Applied to: AV-08; AV-09.</w:t>
      </w:r>
    </w:p>
    <w:p>
      <w:pPr>
        <w:ind w:hanging="360" w:left="360"/>
      </w:pPr>
      <w:r>
        <w:rPr>
          <w:b/>
        </w:rPr>
        <w:t xml:space="preserve">5. National Commission on Terrorist Attacks Upon the United States. </w:t>
      </w:r>
      <w:r>
        <w:t>The 9/11 Commission Report. https://9-11commission.gov/report/911Report.pdf. Analytic role: Hijacking and bladed-weapon attack evidence. Applied to: AV-03; AV-05; AV-06; AV-07.</w:t>
      </w:r>
    </w:p>
    <w:p>
      <w:pPr>
        <w:ind w:hanging="360" w:left="360"/>
      </w:pPr>
      <w:r>
        <w:rPr>
          <w:b/>
        </w:rPr>
        <w:t xml:space="preserve">6. U.S. Department of Justice. </w:t>
      </w:r>
      <w:r>
        <w:t>Pan Am Flight 73 sentencing memorandum / Safarini case. https://www.justice.gov/sites/default/files/usao-dc/legacy/2013/08/07/pan_am_73_sentg_memo.pdf. Analytic role: Ground aircraft assault and hijacking analog. Applied to: AV-02; AV-05; AV-07.</w:t>
      </w:r>
    </w:p>
    <w:p>
      <w:pPr>
        <w:ind w:hanging="360" w:left="360"/>
      </w:pPr>
      <w:r>
        <w:rPr>
          <w:b/>
        </w:rPr>
        <w:t xml:space="preserve">7. Federal Bureau of Investigation. </w:t>
      </w:r>
      <w:r>
        <w:t>Active Shooter Incidents in the United States, 2000-2018. https://www.fbi.gov/file-repository/active-shooter-incidents-2000-2018.pdf. Analytic role: Airport passenger-assembly and facility assault casualty analogs. Applied to: AV-04; SU-02.</w:t>
      </w:r>
    </w:p>
    <w:p>
      <w:pPr>
        <w:ind w:hanging="360" w:left="360"/>
      </w:pPr>
      <w:r>
        <w:rPr>
          <w:b/>
        </w:rPr>
        <w:t xml:space="preserve">8. Federal Bureau of Investigation. </w:t>
      </w:r>
      <w:r>
        <w:t>Frank James sentenced for Brooklyn subway mass shooting. https://www.fbi.gov/contact-us/field-offices/newyork/news/frank-james-sentenced-to-life-in-prison-for-subway-mass-shooting. Analytic role: Surface passenger system assault analog. Applied to: SU-01.</w:t>
      </w:r>
    </w:p>
    <w:p>
      <w:pPr>
        <w:ind w:hanging="360" w:left="360"/>
      </w:pPr>
      <w:r>
        <w:rPr>
          <w:b/>
        </w:rPr>
        <w:t xml:space="preserve">9. U.S. Department of Justice. </w:t>
      </w:r>
      <w:r>
        <w:t>Sayfullo Saipov sentencing for 2017 New York truck attack. https://www.justice.gov/archives/opa/pr/judge-imposes-eight-consecutive-life-sentences-plus-260-years-prison-isis-inspired-2017. Analytic role: Vehicle-ramming casualty analog. Applied to: SU-03.</w:t>
      </w:r>
    </w:p>
    <w:p>
      <w:pPr>
        <w:ind w:hanging="360" w:left="360"/>
      </w:pPr>
      <w:r>
        <w:rPr>
          <w:b/>
        </w:rPr>
        <w:t xml:space="preserve">10. Federal Bureau of Investigation. </w:t>
      </w:r>
      <w:r>
        <w:t>Bourbon Street Attack Investigation Updates. https://www.fbi.gov/news/press-releases/bourbon-street-attack-investigation-updates. Analytic role: Vehicle-ramming casualty analog. Applied to: SU-03.</w:t>
      </w:r>
    </w:p>
    <w:p>
      <w:pPr>
        <w:ind w:hanging="360" w:left="360"/>
      </w:pPr>
      <w:r>
        <w:rPr>
          <w:b/>
        </w:rPr>
        <w:t xml:space="preserve">11. U.S. Government Accountability Office. </w:t>
      </w:r>
      <w:r>
        <w:t>Federal Efforts to Address Unauthorized Drone Flights Near Airports. https://www.gao.gov/products/gao-24-107195. Analytic role: UAS aviation hazard, incident, and mitigation evidence. Applied to: AV-01; SU-04.</w:t>
      </w:r>
    </w:p>
    <w:p>
      <w:pPr>
        <w:ind w:hanging="360" w:left="360"/>
      </w:pPr>
      <w:r>
        <w:rPr>
          <w:b/>
        </w:rPr>
        <w:t xml:space="preserve">12. Transportation Security Administration. </w:t>
      </w:r>
      <w:r>
        <w:t>Counter-Unmanned Aircraft Systems Test Bed Program. https://www.tsa.gov/for-industry/c-uas. Analytic role: Aviation UAS mitigation and threat framing. Applied to: AV-01; SU-04.</w:t>
      </w:r>
    </w:p>
    <w:p>
      <w:pPr>
        <w:ind w:hanging="360" w:left="360"/>
      </w:pPr>
      <w:r>
        <w:rPr>
          <w:b/>
        </w:rPr>
        <w:t xml:space="preserve">13. Cybersecurity and Infrastructure Security Agency. </w:t>
      </w:r>
      <w:r>
        <w:t>Be Air Aware / Protect Critical Infrastructure and Public Gatherings. https://www.cisa.gov/topics/physical-security/be-air-aware/protect-critical-infrastructure-and-public-gatherings. Analytic role: Surface and critical-infrastructure UAS threat framing. Applied to: AV-01; SU-04.</w:t>
      </w:r>
    </w:p>
    <w:p>
      <w:pPr>
        <w:ind w:hanging="360" w:left="360"/>
      </w:pPr>
      <w:r>
        <w:rPr>
          <w:b/>
        </w:rPr>
        <w:t xml:space="preserve">14. Food and Drug Administration. </w:t>
      </w:r>
      <w:r>
        <w:t>Mitigation Strategies to Protect Food Against Intentional Adulteration. https://www.fda.gov/media/113684/download. Analytic role: Food-defense vulnerability and mitigation framework. Applied to: SU-05.</w:t>
      </w:r>
    </w:p>
    <w:p>
      <w:pPr>
        <w:ind w:hanging="360" w:left="360"/>
      </w:pPr>
      <w:r>
        <w:rPr>
          <w:b/>
        </w:rPr>
        <w:t xml:space="preserve">15. Centers for Disease Control and Prevention. </w:t>
      </w:r>
      <w:r>
        <w:t>Chemical emergency and nerve-agent medical guidance. https://www.cdc.gov/chemical-emergencies/chemical-fact-sheets/sarin.html. Analytic role: Health-effect and severity framing for chemical exposure. Applied to: AV-10; AV-11; SU-05.</w:t>
      </w:r>
    </w:p>
    <w:p>
      <w:pPr>
        <w:ind w:hanging="360" w:left="360"/>
      </w:pPr>
      <w:r>
        <w:rPr>
          <w:b/>
        </w:rPr>
        <w:t xml:space="preserve">16. Environmental Protection Agency. </w:t>
      </w:r>
      <w:r>
        <w:t>ALOHA Software / CAMEO chemical consequence modeling. https://www.epa.gov/cameo/aloha-software. Analytic role: Chemical plume consequence modeling framework. Applied to: AV-10; AV-11.</w:t>
      </w:r>
    </w:p>
    <w:p>
      <w:pPr>
        <w:ind w:hanging="360" w:left="360"/>
      </w:pPr>
      <w:r>
        <w:rPr>
          <w:b/>
        </w:rPr>
        <w:t xml:space="preserve">17. Pipeline and Hazardous Materials Safety Administration. </w:t>
      </w:r>
      <w:r>
        <w:t>Pipeline accident and incident data. https://www.phmsa.dot.gov/data-and-statistics/pipeline/distribution-transmission-gathering-lng-and-liquid-accident-and-incident-data. Analytic role: Pipeline casualties, property damage, and restoration analogs. Applied to: Pipeline Segment; Pump Station; Compressor Station.</w:t>
      </w:r>
    </w:p>
    <w:p>
      <w:pPr>
        <w:ind w:hanging="360" w:left="360"/>
      </w:pPr>
      <w:r>
        <w:rPr>
          <w:b/>
        </w:rPr>
        <w:t xml:space="preserve">18. Federal Railroad Administration. </w:t>
      </w:r>
      <w:r>
        <w:t>FRA Safety Data and Statistics. https://safetydata.fra.dot.gov/. Analytic role: Rail casualties, damage, and accident records. Applied to: Freight Rail.</w:t>
      </w:r>
    </w:p>
    <w:p>
      <w:pPr>
        <w:ind w:hanging="360" w:left="360"/>
      </w:pPr>
      <w:r>
        <w:rPr>
          <w:b/>
        </w:rPr>
        <w:t xml:space="preserve">19. Federal Aviation Administration. </w:t>
      </w:r>
      <w:r>
        <w:t>Aviation Economic Impact Report. https://www.faa.gov/economic-impact. Analytic role: Aviation economic activity and indirect-impact structure. Applied to: Airport Terminal; AV-05; AV-06; AV-07; AV-09.</w:t>
      </w:r>
    </w:p>
    <w:p>
      <w:pPr>
        <w:ind w:hanging="360" w:left="360"/>
      </w:pPr>
      <w:r>
        <w:rPr>
          <w:b/>
        </w:rPr>
        <w:t xml:space="preserve">20. Bureau of Transportation Statistics. </w:t>
      </w:r>
      <w:r>
        <w:t>Freight Analysis Framework. https://www.bts.gov/faf. Analytic role: Freight value, tonnage, mode, and geographic-flow evidence. Applied to: Freight Rail; Pipeline targets.</w:t>
      </w:r>
    </w:p>
    <w:p>
      <w:pPr>
        <w:ind w:hanging="360" w:left="360"/>
      </w:pPr>
      <w:r>
        <w:rPr>
          <w:b/>
        </w:rPr>
        <w:t xml:space="preserve">21. Europol. </w:t>
      </w:r>
      <w:r>
        <w:t>European Union Terrorism Situation and Trend Report 2025. https://www.europol.europa.eu/cms/sites/default/files/documents/EU_TE-SAT_2025.pdf. Analytic role: Official Western European attack and trend analogs. Applied to: SU-01; general outcome validation.</w:t>
      </w:r>
    </w:p>
    <w:p>
      <w:pPr>
        <w:ind w:hanging="360" w:left="360"/>
      </w:pPr>
      <w:r>
        <w:rPr>
          <w:b/>
        </w:rPr>
        <w:t xml:space="preserve">22. U.S. Department of Justice. </w:t>
      </w:r>
      <w:r>
        <w:t>Khalid Sheikh Mohammed indictment and aviation attack allegations. https://www.justice.gov/archive/opa/documents/ksm-indictment.pdf. Analytic role: Bladed-weapon/hijacking mechanism evidence. Applied to: AV-03.</w:t>
      </w:r>
    </w:p>
    <w:p>
      <w:pPr>
        <w:ind w:hanging="360" w:left="360"/>
      </w:pPr>
      <w:r>
        <w:rPr>
          <w:b/>
        </w:rPr>
        <w:t xml:space="preserve">23. Federal Bureau of Investigation. </w:t>
      </w:r>
      <w:r>
        <w:t>A Study of Active Shooter Incidents in the United States, 2000-2013. https://www.fbi.gov/file-repository/active-shooter-study-2000-2013-1.pdf. Analytic role: Casualty distributions and response-sensitive outcome analogs. Applied to: AV-02; AV-04; SU-01; SU-02.</w:t>
      </w:r>
    </w:p>
    <w:p>
      <w:pPr>
        <w:ind w:hanging="360" w:left="360"/>
      </w:pPr>
      <w:r>
        <w:rPr>
          <w:b/>
        </w:rPr>
        <w:t xml:space="preserve">24. National Transportation Safety Board. </w:t>
      </w:r>
      <w:r>
        <w:t>Aircraft accident report: explosive device detonation. https://www.ntsb.gov/investigations/AccidentReports/Reports/AAR7507.pdf. Analytic role: Aviation explosive/sabotage consequence analog. Applied to: AV-05; AV-06.</w:t>
      </w:r>
    </w:p>
    <w:p>
      <w:pPr>
        <w:ind w:hanging="360" w:left="360"/>
      </w:pPr>
      <w:r>
        <w:rPr>
          <w:b/>
        </w:rPr>
        <w:t xml:space="preserve">25. National Transportation Safety Board. </w:t>
      </w:r>
      <w:r>
        <w:t>Emergency Evacuation of Commercial Airplanes. https://www.ntsb.gov/safety/safety-studies/Documents/SS0001.pdf. Analytic role: Evacuation, smoke/fire, and survivability evidence. Applied to: AV-08; AV-09.</w:t>
      </w:r>
    </w:p>
    <w:p>
      <w:pPr>
        <w:ind w:hanging="360" w:left="360"/>
      </w:pPr>
      <w:r>
        <w:rPr>
          <w:b/>
        </w:rPr>
        <w:t xml:space="preserve">26. CDC/DHS/HHS. </w:t>
      </w:r>
      <w:r>
        <w:t>Evidence-Based Patient Decontamination / national mass chemical exposure guidance. https://stacks.cdc.gov/view/cdc/117331/cdc_117331_DS1.pdf. Analytic role: Mass exposure response and injury-severity uncertainty. Applied to: AV-10; AV-11.</w:t>
      </w:r>
    </w:p>
    <w:p>
      <w:pPr>
        <w:ind w:hanging="360" w:left="360"/>
      </w:pPr>
      <w:r>
        <w:rPr>
          <w:b/>
        </w:rPr>
        <w:t xml:space="preserve">27. U.S. Department of Justice. </w:t>
      </w:r>
      <w:r>
        <w:t>Charlottesville vehicle attack sentencing. https://www.justice.gov/archives/opa/pr/ohio-man-sentenced-life-prison-federal-hate-crimes-related-august-2017-car-attack-rally. Analytic role: Vehicle-ramming casualty analog. Applied to: SU-03.</w:t>
      </w:r>
    </w:p>
    <w:p>
      <w:pPr>
        <w:ind w:hanging="360" w:left="360"/>
      </w:pPr>
      <w:r>
        <w:rPr>
          <w:b/>
        </w:rPr>
        <w:t xml:space="preserve">28. Food and Drug Administration. </w:t>
      </w:r>
      <w:r>
        <w:t>Food Security Preventive Measures Guidance for Dairy Farms and Bulk Milk Transporters. https://www.fda.gov/regulatory-information/search-fda-guidance-documents/guidance-industry-food-security-preventive-measures-guidance-dairy-farms-bulk-milk-transporters-bulk. Analytic role: Bulk-food transport vulnerability framing; contextual only. Applied to: SU-05.</w:t>
      </w:r>
    </w:p>
    <w:p>
      <w:pPr>
        <w:ind w:hanging="360" w:left="360"/>
      </w:pPr>
      <w:r>
        <w:rPr>
          <w:b/>
        </w:rPr>
        <w:t xml:space="preserve">29. National Transportation Safety Board. </w:t>
      </w:r>
      <w:r>
        <w:t>Enbridge natural gas transmission pipeline rupture and fire, Danville, Kentucky. https://www.ntsb.gov/investigations/AccidentReports/Reports/PIR22002.pdf. Analytic role: Pipeline casualty, evacuation, and damage analog. Applied to: Pipeline targets.</w:t>
      </w:r>
    </w:p>
    <w:p>
      <w:pPr>
        <w:ind w:hanging="360" w:left="360"/>
      </w:pPr>
      <w:r>
        <w:rPr>
          <w:b/>
        </w:rPr>
        <w:t xml:space="preserve">30. National Transportation Safety Board. </w:t>
      </w:r>
      <w:r>
        <w:t>Pipeline control/SCADA investigation information. https://www.ntsb.gov/investigations/Pages/PLD24FR001.aspx. Analytic role: Control-system decision and shutdown consequence evidence. Applied to: SU-02; pipeline targets.</w:t>
      </w:r>
    </w:p>
    <w:p>
      <w:pPr>
        <w:ind w:hanging="360" w:left="360"/>
      </w:pPr>
      <w:r>
        <w:rPr>
          <w:b/>
        </w:rPr>
        <w:t xml:space="preserve">31. National Transportation Safety Board. </w:t>
      </w:r>
      <w:r>
        <w:t>Pipeline accident investigations and reports. https://www.ntsb.gov/tda/family/Pages/tda-pipeline.aspx. Analytic role: Pipeline restoration and physical consequence analogs. Applied to: Pipeline targets.</w:t>
      </w:r>
    </w:p>
    <w:p>
      <w:pPr>
        <w:ind w:hanging="360" w:left="360"/>
      </w:pPr>
      <w:r>
        <w:rPr>
          <w:b/>
        </w:rPr>
        <w:t xml:space="preserve">32. Federal Aviation Administration. </w:t>
      </w:r>
      <w:r>
        <w:t>FAA Daily Air Traffic Report. https://www.faa.gov/newsroom/faa-daily-air-traffic-report. Analytic role: Operational disruption and closure terminology. Applied to: Airport Terminal.</w:t>
      </w:r>
    </w:p>
    <w:p>
      <w:pPr>
        <w:ind w:hanging="360" w:left="360"/>
      </w:pPr>
      <w:r>
        <w:rPr>
          <w:b/>
        </w:rPr>
        <w:t xml:space="preserve">33. Federal Aviation Administration. </w:t>
      </w:r>
      <w:r>
        <w:t>Plans and Reports: Economic Impact Reports. https://www.faa.gov/about/plans_reports. Analytic role: Aviation economic impact methods. Applied to: Airport Terminal.</w:t>
      </w:r>
    </w:p>
    <w:p>
      <w:pPr>
        <w:ind w:hanging="360" w:left="360"/>
      </w:pPr>
      <w:r>
        <w:rPr>
          <w:b/>
        </w:rPr>
        <w:t xml:space="preserve">34. Federal Highway Administration / BTS. </w:t>
      </w:r>
      <w:r>
        <w:t>Freight Analysis Framework overview. https://ops.fhwa.dot.gov/freight/freight_analysis/faf/. Analytic role: Freight network and commodity-flow methodology. Applied to: Freight Rail.</w:t>
      </w:r>
    </w:p>
    <w:p>
      <w:r>
        <w:br w:type="page"/>
      </w:r>
    </w:p>
    <w:p>
      <w:pPr>
        <w:pStyle w:val="Heading1"/>
      </w:pPr>
      <w:r>
        <w:t>Appendix A - Companion Workbook Guide</w:t>
      </w:r>
    </w:p>
    <w:tbl>
      <w:tblPr>
        <w:tblStyle w:val="TableGrid"/>
        <w:tblW w:type="auto" w:w="0"/>
        <w:tblLook w:firstColumn="1" w:firstRow="1" w:lastColumn="0" w:lastRow="0" w:noHBand="0" w:noVBand="1" w:val="04A0"/>
      </w:tblPr>
      <w:tblGrid>
        <w:gridCol w:w="5112"/>
        <w:gridCol w:w="5112"/>
      </w:tblGrid>
      <w:tr>
        <w:tc>
          <w:tcPr>
            <w:tcW w:type="dxa" w:w="5112"/>
            <w:shd w:fill="2F75B5"/>
          </w:tcPr>
          <w:p>
            <w:r>
              <w:rPr>
                <w:color w:val="FFFFFF"/>
              </w:rPr>
              <w:t>Sheet</w:t>
            </w:r>
          </w:p>
        </w:tc>
        <w:tc>
          <w:tcPr>
            <w:tcW w:type="dxa" w:w="5112"/>
            <w:shd w:fill="2F75B5"/>
          </w:tcPr>
          <w:p>
            <w:r>
              <w:rPr>
                <w:color w:val="FFFFFF"/>
              </w:rPr>
              <w:t>Purpose</w:t>
            </w:r>
          </w:p>
        </w:tc>
      </w:tr>
      <w:tr>
        <w:tc>
          <w:tcPr>
            <w:tcW w:type="dxa" w:w="5112"/>
          </w:tcPr>
          <w:p>
            <w:pPr>
              <w:pStyle w:val="TableSmall"/>
            </w:pPr>
            <w:r>
              <w:t>Executive Summary</w:t>
            </w:r>
          </w:p>
        </w:tc>
        <w:tc>
          <w:tcPr>
            <w:tcW w:type="dxa" w:w="5112"/>
          </w:tcPr>
          <w:p>
            <w:pPr>
              <w:pStyle w:val="TableSmall"/>
            </w:pPr>
            <w:r>
              <w:t>Key counts, P50 outcome-cost chart, and three-day P50 target-consequence chart.</w:t>
            </w:r>
          </w:p>
        </w:tc>
      </w:tr>
      <w:tr>
        <w:tc>
          <w:tcPr>
            <w:tcW w:type="dxa" w:w="5112"/>
          </w:tcPr>
          <w:p>
            <w:pPr>
              <w:pStyle w:val="TableSmall"/>
            </w:pPr>
            <w:r>
              <w:t>Read Me</w:t>
            </w:r>
          </w:p>
        </w:tc>
        <w:tc>
          <w:tcPr>
            <w:tcW w:type="dxa" w:w="5112"/>
          </w:tcPr>
          <w:p>
            <w:pPr>
              <w:pStyle w:val="TableSmall"/>
            </w:pPr>
            <w:r>
              <w:t>Purpose, status, security boundary, interpretation, and workflow.</w:t>
            </w:r>
          </w:p>
        </w:tc>
      </w:tr>
      <w:tr>
        <w:tc>
          <w:tcPr>
            <w:tcW w:type="dxa" w:w="5112"/>
          </w:tcPr>
          <w:p>
            <w:pPr>
              <w:pStyle w:val="TableSmall"/>
            </w:pPr>
            <w:r>
              <w:t>VSL and Injuries</w:t>
            </w:r>
          </w:p>
        </w:tc>
        <w:tc>
          <w:tcPr>
            <w:tcW w:type="dxa" w:w="5112"/>
          </w:tcPr>
          <w:p>
            <w:pPr>
              <w:pStyle w:val="TableSmall"/>
            </w:pPr>
            <w:r>
              <w:t>DOT VSL input and MAIS injury fractions.</w:t>
            </w:r>
          </w:p>
        </w:tc>
      </w:tr>
      <w:tr>
        <w:tc>
          <w:tcPr>
            <w:tcW w:type="dxa" w:w="5112"/>
          </w:tcPr>
          <w:p>
            <w:pPr>
              <w:pStyle w:val="TableSmall"/>
            </w:pPr>
            <w:r>
              <w:t>Outcome Scenarios</w:t>
            </w:r>
          </w:p>
        </w:tc>
        <w:tc>
          <w:tcPr>
            <w:tcW w:type="dxa" w:w="5112"/>
          </w:tcPr>
          <w:p>
            <w:pPr>
              <w:pStyle w:val="TableSmall"/>
            </w:pPr>
            <w:r>
              <w:t>All 16 conditional P10/P50/P90 outcome estimates and formulas.</w:t>
            </w:r>
          </w:p>
        </w:tc>
      </w:tr>
      <w:tr>
        <w:tc>
          <w:tcPr>
            <w:tcW w:type="dxa" w:w="5112"/>
          </w:tcPr>
          <w:p>
            <w:pPr>
              <w:pStyle w:val="TableSmall"/>
            </w:pPr>
            <w:r>
              <w:t>Target Inputs</w:t>
            </w:r>
          </w:p>
        </w:tc>
        <w:tc>
          <w:tcPr>
            <w:tcW w:type="dxa" w:w="5112"/>
          </w:tcPr>
          <w:p>
            <w:pPr>
              <w:pStyle w:val="TableSmall"/>
            </w:pPr>
            <w:r>
              <w:t>Editable direct and daily indirect target-archetype parameters.</w:t>
            </w:r>
          </w:p>
        </w:tc>
      </w:tr>
      <w:tr>
        <w:tc>
          <w:tcPr>
            <w:tcW w:type="dxa" w:w="5112"/>
          </w:tcPr>
          <w:p>
            <w:pPr>
              <w:pStyle w:val="TableSmall"/>
            </w:pPr>
            <w:r>
              <w:t>Duration Factors</w:t>
            </w:r>
          </w:p>
        </w:tc>
        <w:tc>
          <w:tcPr>
            <w:tcW w:type="dxa" w:w="5112"/>
          </w:tcPr>
          <w:p>
            <w:pPr>
              <w:pStyle w:val="TableSmall"/>
            </w:pPr>
            <w:r>
              <w:t>Outage durations and generic escalation/buffer curve.</w:t>
            </w:r>
          </w:p>
        </w:tc>
      </w:tr>
      <w:tr>
        <w:tc>
          <w:tcPr>
            <w:tcW w:type="dxa" w:w="5112"/>
          </w:tcPr>
          <w:p>
            <w:pPr>
              <w:pStyle w:val="TableSmall"/>
            </w:pPr>
            <w:r>
              <w:t>Consequence Targets</w:t>
            </w:r>
          </w:p>
        </w:tc>
        <w:tc>
          <w:tcPr>
            <w:tcW w:type="dxa" w:w="5112"/>
          </w:tcPr>
          <w:p>
            <w:pPr>
              <w:pStyle w:val="TableSmall"/>
            </w:pPr>
            <w:r>
              <w:t>First-order, second-order, and total consequence for 35 target-duration combinations.</w:t>
            </w:r>
          </w:p>
        </w:tc>
      </w:tr>
      <w:tr>
        <w:tc>
          <w:tcPr>
            <w:tcW w:type="dxa" w:w="5112"/>
          </w:tcPr>
          <w:p>
            <w:pPr>
              <w:pStyle w:val="TableSmall"/>
            </w:pPr>
            <w:r>
              <w:t>Cross-Sector Allocation</w:t>
            </w:r>
          </w:p>
        </w:tc>
        <w:tc>
          <w:tcPr>
            <w:tcW w:type="dxa" w:w="5112"/>
          </w:tcPr>
          <w:p>
            <w:pPr>
              <w:pStyle w:val="TableSmall"/>
            </w:pPr>
            <w:r>
              <w:t>Eighty target-sector dependency allocation rows with 100-percent checks.</w:t>
            </w:r>
          </w:p>
        </w:tc>
      </w:tr>
      <w:tr>
        <w:tc>
          <w:tcPr>
            <w:tcW w:type="dxa" w:w="5112"/>
          </w:tcPr>
          <w:p>
            <w:pPr>
              <w:pStyle w:val="TableSmall"/>
            </w:pPr>
            <w:r>
              <w:t>Sources</w:t>
            </w:r>
          </w:p>
        </w:tc>
        <w:tc>
          <w:tcPr>
            <w:tcW w:type="dxa" w:w="5112"/>
          </w:tcPr>
          <w:p>
            <w:pPr>
              <w:pStyle w:val="TableSmall"/>
            </w:pPr>
            <w:r>
              <w:t>Thirty-four official public sources, URLs, roles, and scenario mappings.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TSSRA Open-Source AI Pilot | All Listed Scenarios | Pilot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95959"/>
      <w:sz w:val="16"/>
    </w:rPr>
  </w:style>
  <w:style w:type="paragraph" w:customStyle="1" w:styleId="TableSmall">
    <w:name w:val="Table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