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after="60"/>
        <w:jc w:val="center"/>
      </w:pPr>
      <w:r>
        <w:rPr>
          <w:b/>
          <w:bCs/>
          <w:color w:val="1F3864"/>
          <w:sz w:val="20"/>
          <w:szCs w:val="20"/>
        </w:rPr>
        <w:t xml:space="preserve">OPEN SOURCE ASSESSMENT</w:t>
      </w:r>
    </w:p>
    <w:p>
      <w:pPr>
        <w:spacing w:after="60" w:before="160"/>
        <w:jc w:val="center"/>
      </w:pPr>
      <w:r>
        <w:rPr>
          <w:b/>
          <w:bCs/>
          <w:sz w:val="36"/>
          <w:szCs w:val="36"/>
        </w:rPr>
        <w:t xml:space="preserve">When Will Quantum Computing Become a Risk to the U.S. Transportation Sector?</w:t>
      </w:r>
    </w:p>
    <w:p>
      <w:pPr>
        <w:spacing w:after="200"/>
        <w:jc w:val="center"/>
      </w:pPr>
      <w:r>
        <w:rPr>
          <w:i/>
          <w:iCs/>
          <w:color w:val="555555"/>
          <w:sz w:val="24"/>
          <w:szCs w:val="24"/>
        </w:rPr>
        <w:t xml:space="preserve">A Plain-Language Forecast of Risk Emergence Through 2035</w:t>
      </w:r>
    </w:p>
    <w:p>
      <w:pPr>
        <w:spacing w:after="40" w:line="276"/>
      </w:pPr>
      <w:r>
        <w:rPr>
          <w:sz w:val="18"/>
          <w:szCs w:val="18"/>
        </w:rPr>
        <w:t xml:space="preserve">Date of assessment: 16 June 2026.</w:t>
      </w:r>
    </w:p>
    <w:p>
      <w:pPr>
        <w:spacing w:after="40" w:line="276"/>
      </w:pPr>
      <w:r>
        <w:rPr>
          <w:sz w:val="18"/>
          <w:szCs w:val="18"/>
        </w:rPr>
        <w:t xml:space="preserve">Classification: UNCLASSIFIED — OPEN SOURCE. This product is not marked For Official Use Only, Sensitive Security Information, or classified.</w:t>
      </w:r>
    </w:p>
    <w:p>
      <w:pPr>
        <w:spacing w:after="40" w:line="276"/>
      </w:pPr>
      <w:r>
        <w:rPr>
          <w:sz w:val="18"/>
          <w:szCs w:val="18"/>
        </w:rPr>
        <w:t xml:space="preserve">Analytic standards applied: Intelligence Community Directive 203 (analytic standards — objective, all-source, probabilistic, with alternatives); Intelligence Community Directive 206 (every fact traceable to an original source, cited as numbered endnotes); and Office of Management and Budget risk-in-context guidance (quantitative ranges instead of single numbers, plus sensitivity analysis). Structured Analytic Techniques are applied throughout.</w:t>
      </w:r>
    </w:p>
    <w:p>
      <w:pPr>
        <w:spacing w:after="200" w:line="276"/>
      </w:pPr>
      <w:r>
        <w:rPr>
          <w:sz w:val="18"/>
          <w:szCs w:val="18"/>
        </w:rPr>
        <w:t xml:space="preserve">Plain-language note on probability words: this report pairs each likelihood word with a percentage band so the words are not ambiguous. The bands used are: very unlikely (about 5–20 percent), unlikely (about 20–45 percent), roughly even chance (about 45–55 percent), likely (about 55–80 percent), and very likely (about 80–95 percent).</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The Short Answer</w:t>
      </w:r>
    </w:p>
    <w:p>
      <w:pPr>
        <w:spacing w:after="120" w:line="276"/>
      </w:pPr>
      <w:r>
        <w:t xml:space="preserve">The risk has two parts, and they arrive at different times. The first part — an enemy quietly copying scrambled (encrypted) data today so it can be unscrambled years from now once a code-breaking quantum computer exists — is already a live risk in 2026 for all five transportation areas in this study. This is called </w:t>
      </w:r>
      <w:r>
        <w:rPr>
          <w:i/>
          <w:iCs/>
        </w:rPr>
        <w:t xml:space="preserve">“harvest now, decrypt later.”</w:t>
      </w:r>
      <w:r>
        <w:t xml:space="preserve"> The second part — a quantum computer powerful enough to break today’s public-key encryption while a transportation system is actually running — is assessed as </w:t>
      </w:r>
      <w:r>
        <w:rPr>
          <w:b/>
          <w:bCs/>
        </w:rPr>
        <w:t xml:space="preserve">unlikely before 2030 (about 5–15 percent)</w:t>
      </w:r>
      <w:r>
        <w:t xml:space="preserve"> and as </w:t>
      </w:r>
      <w:r>
        <w:rPr>
          <w:b/>
          <w:bCs/>
        </w:rPr>
        <w:t xml:space="preserve">unlikely-to-roughly-even by 2035 (about 20–40 percent, with a best single estimate near 28 percent).</w:t>
      </w:r>
    </w:p>
    <w:p>
      <w:pPr>
        <w:spacing w:after="120" w:line="276"/>
      </w:pPr>
      <w:r>
        <w:t xml:space="preserve">No such code-breaking quantum computer exists today, and none is close. The best error-corrected machines available in 2026 work with only a few dozen reliable (“logical”) qubits, while breaking the most common public-key encryption (RSA-2048) is estimated to need roughly 1,400 logical qubits and fewer than one million raw (“noisy”) qubits running for about a week.</w:t>
      </w:r>
      <w:r>
        <w:rPr>
          <w:rStyle w:val="FootnoteReference"/>
        </w:rPr>
        <w:footnoteReference w:id="1"/>
      </w:r>
      <w:r>
        <w:t xml:space="preserve"> Expert surveys put the chance of such a machine within ten years at roughly one-in-five to one-in-three as of 2024,</w:t>
      </w:r>
      <w:r>
        <w:rPr>
          <w:rStyle w:val="FootnoteReference"/>
        </w:rPr>
        <w:footnoteReference w:id="2"/>
      </w:r>
      <w:r>
        <w:t xml:space="preserve"> rising to about 28–49 percent in the 2025 update.</w:t>
      </w:r>
      <w:r>
        <w:rPr>
          <w:rStyle w:val="FootnoteReference"/>
        </w:rPr>
        <w:footnoteReference w:id="3"/>
      </w:r>
    </w:p>
    <w:p>
      <w:pPr>
        <w:spacing w:after="120" w:line="276"/>
      </w:pPr>
      <w:r>
        <w:t xml:space="preserve">The most important finding for transportation is this: the biggest danger is not the exact date the quantum computer arrives. It is that transportation equipment lasts a very long time — aircraft, locomotives, ships, pipeline control systems, and their built-in encryption often stay in service for 20 to 40 years or more. Equipment bought today may still be running when the threat matures, and much of it cannot be easily upgraded in the field. The danger is therefore </w:t>
      </w:r>
      <w:r>
        <w:rPr>
          <w:b/>
          <w:bCs/>
        </w:rPr>
        <w:t xml:space="preserve">falling behind on replacement (migration lag)</w:t>
      </w:r>
      <w:r>
        <w:t xml:space="preserve">, measured against a fixed federal finish line of 2035.</w:t>
      </w:r>
      <w:r>
        <w:rPr>
          <w:rStyle w:val="FootnoteReference"/>
        </w:rPr>
        <w:footnoteReference w:id="4"/>
      </w:r>
    </w:p>
    <w:p>
      <w:pPr>
        <w:pStyle w:val="Heading1"/>
      </w:pPr>
      <w:r>
        <w:t xml:space="preserve">Key Findings</w:t>
      </w:r>
    </w:p>
    <w:p>
      <w:pPr>
        <w:spacing w:after="60" w:line="276"/>
      </w:pPr>
      <w:r>
        <w:rPr>
          <w:b/>
          <w:bCs/>
        </w:rPr>
        <w:t xml:space="preserve">KF-1 — No code-breaking quantum computer exists today, and the goal is still several hardware generations away (high confidence).</w:t>
      </w:r>
    </w:p>
    <w:p>
      <w:pPr>
        <w:spacing w:after="140" w:line="276"/>
      </w:pPr>
      <w:r>
        <w:t xml:space="preserve">As of mid-2026 the best error-corrected demonstrations handle only tens of reliable qubits. Quantinuum’s Helios machine (announced 5 November 2025) used 98 physical qubits to produce 48 error-corrected qubits at very high accuracy.</w:t>
      </w:r>
      <w:r>
        <w:rPr>
          <w:rStyle w:val="FootnoteReference"/>
        </w:rPr>
        <w:footnoteReference w:id="5"/>
      </w:r>
      <w:r>
        <w:t xml:space="preserve"> A Harvard-led team demonstrated 48 error-corrected qubits in 2023–2024, and Atom Computing with Microsoft linked 24 such qubits in 2024.</w:t>
      </w:r>
      <w:r>
        <w:rPr>
          <w:rStyle w:val="FootnoteReference"/>
        </w:rPr>
        <w:footnoteReference w:id="6"/>
      </w:r>
      <w:r>
        <w:t xml:space="preserve"> Breaking RSA-2048 is estimated to need about 1,400 reliable qubits — and the resource estimate has fallen sharply, from 20 million raw qubits in 2019 to under one million in 2025, a roughly twenty-fold drop driven by better math, not just better hardware.</w:t>
      </w:r>
      <w:r>
        <w:rPr>
          <w:rStyle w:val="FootnoteReference"/>
        </w:rPr>
        <w:footnoteReference w:id="7"/>
      </w:r>
      <w:r>
        <w:rPr>
          <w:rStyle w:val="FootnoteReference"/>
        </w:rPr>
        <w:footnoteReference w:id="1"/>
      </w:r>
    </w:p>
    <w:p>
      <w:pPr>
        <w:spacing w:after="60" w:line="276"/>
      </w:pPr>
      <w:r>
        <w:rPr>
          <w:b/>
          <w:bCs/>
        </w:rPr>
        <w:t xml:space="preserve">KF-2 — Expert forecasts cluster in the 2030s but carry wide error bars (moderate confidence).</w:t>
      </w:r>
    </w:p>
    <w:p>
      <w:pPr>
        <w:spacing w:after="140" w:line="276"/>
      </w:pPr>
      <w:r>
        <w:t xml:space="preserve">The Global Risk Institute’s 2024 expert survey put the chance of a code-breaking quantum computer within ten years at about 19–34 percent, and within five years at about 5–14 percent.</w:t>
      </w:r>
      <w:r>
        <w:rPr>
          <w:rStyle w:val="FootnoteReference"/>
        </w:rPr>
        <w:footnoteReference w:id="2"/>
      </w:r>
      <w:r>
        <w:t xml:space="preserve"> The 2025 update raised the ten-year figure to about 28–49 percent.</w:t>
      </w:r>
      <w:r>
        <w:rPr>
          <w:rStyle w:val="FootnoteReference"/>
        </w:rPr>
        <w:footnoteReference w:id="3"/>
      </w:r>
      <w:r>
        <w:t xml:space="preserve"> The Government Accountability Office summarizes the expert view as “10 to 20 years” and stresses the harvest-now-decrypt-later risk.</w:t>
      </w:r>
      <w:r>
        <w:rPr>
          <w:rStyle w:val="FootnoteReference"/>
        </w:rPr>
        <w:footnoteReference w:id="8"/>
      </w:r>
      <w:r>
        <w:rPr>
          <w:rStyle w:val="FootnoteReference"/>
        </w:rPr>
        <w:footnoteReference w:id="9"/>
      </w:r>
      <w:r>
        <w:t xml:space="preserve"> These are judgments under deep uncertainty, not measurements.</w:t>
      </w:r>
    </w:p>
    <w:p>
      <w:pPr>
        <w:spacing w:after="60" w:line="276"/>
      </w:pPr>
      <w:r>
        <w:rPr>
          <w:b/>
          <w:bCs/>
        </w:rPr>
        <w:t xml:space="preserve">KF-3 — The harvest-now-decrypt-later threat is happening in the present tense (high confidence).</w:t>
      </w:r>
    </w:p>
    <w:p>
      <w:pPr>
        <w:spacing w:after="140" w:line="276"/>
      </w:pPr>
      <w:r>
        <w:t xml:space="preserve">An enemy can record scrambled data now and unscramble it later, once a quantum computer is available. The governing rule of thumb (Mosca’s inequality) is simple: if the time your data must stay secret, plus the time it takes you to upgrade your encryption, is longer than the time until the threat arrives, then you are already exposed. Federal policy builds this directly into its planning by protecting any data expected to still be sensitive in 2035.</w:t>
      </w:r>
      <w:r>
        <w:rPr>
          <w:rStyle w:val="FootnoteReference"/>
        </w:rPr>
        <w:footnoteReference w:id="10"/>
      </w:r>
    </w:p>
    <w:p>
      <w:pPr>
        <w:spacing w:after="60" w:line="276"/>
      </w:pPr>
      <w:r>
        <w:rPr>
          <w:b/>
          <w:bCs/>
        </w:rPr>
        <w:t xml:space="preserve">KF-4 — Federal policy sets a hard 2035 finish line (high confidence).</w:t>
      </w:r>
    </w:p>
    <w:p>
      <w:pPr>
        <w:spacing w:after="140" w:line="276"/>
      </w:pPr>
      <w:r>
        <w:t xml:space="preserve">A 2022 National Security Memorandum directs agencies to reduce quantum risk by 2035.</w:t>
      </w:r>
      <w:r>
        <w:rPr>
          <w:rStyle w:val="FootnoteReference"/>
        </w:rPr>
        <w:footnoteReference w:id="4"/>
      </w:r>
      <w:r>
        <w:t xml:space="preserve"> The National Security Agency’s CNSA 2.0 guidance requires quantum-resistant encryption in new national-security systems now and full transition by 2035.</w:t>
      </w:r>
      <w:r>
        <w:rPr>
          <w:rStyle w:val="FootnoteReference"/>
        </w:rPr>
        <w:footnoteReference w:id="11"/>
      </w:r>
      <w:r>
        <w:t xml:space="preserve"> The Office of Management and Budget requires yearly encryption inventories through 2035.</w:t>
      </w:r>
      <w:r>
        <w:rPr>
          <w:rStyle w:val="FootnoteReference"/>
        </w:rPr>
        <w:footnoteReference w:id="10"/>
      </w:r>
      <w:r>
        <w:t xml:space="preserve"> The standards themselves are finished: the National Institute of Standards and Technology published three quantum-resistant standards on 14 August 2024,</w:t>
      </w:r>
      <w:r>
        <w:rPr>
          <w:rStyle w:val="FootnoteReference"/>
        </w:rPr>
        <w:footnoteReference w:id="12"/>
      </w:r>
      <w:r>
        <w:t xml:space="preserve"> and added a fifth, backup algorithm (HQC) in March 2025.</w:t>
      </w:r>
      <w:r>
        <w:rPr>
          <w:rStyle w:val="FootnoteReference"/>
        </w:rPr>
        <w:footnoteReference w:id="13"/>
      </w:r>
      <w:r>
        <w:t xml:space="preserve"> The estimated government-wide cost to upgrade priority systems between 2025 and 2035 is about $7.1 billion in 2024 dollars, not counting national-security systems.</w:t>
      </w:r>
      <w:r>
        <w:rPr>
          <w:rStyle w:val="FootnoteReference"/>
        </w:rPr>
        <w:footnoteReference w:id="14"/>
      </w:r>
    </w:p>
    <w:p>
      <w:pPr>
        <w:spacing w:after="60" w:line="276"/>
      </w:pPr>
      <w:r>
        <w:rPr>
          <w:b/>
          <w:bCs/>
        </w:rPr>
        <w:t xml:space="preserve">KF-5 — Long-lived transportation equipment makes replacement delay the dominant risk (high confidence).</w:t>
      </w:r>
    </w:p>
    <w:p>
      <w:pPr>
        <w:spacing w:after="140" w:line="276"/>
      </w:pPr>
      <w:r>
        <w:t xml:space="preserve">Aircraft and their avionics, locomotives, ships, pipeline control systems, and built-in industrial controllers routinely run for 20 to 40 years or more, and often cannot be upgraded in the field. The federal critical-infrastructure assessment specifically warns that aviation hardware “has a long lifetime in the field and needs to integrate forward compatibility” with quantum-resistant encryption soon.</w:t>
      </w:r>
      <w:r>
        <w:rPr>
          <w:rStyle w:val="FootnoteReference"/>
        </w:rPr>
        <w:footnoteReference w:id="15"/>
      </w:r>
    </w:p>
    <w:p>
      <w:pPr>
        <w:spacing w:after="60" w:line="276"/>
      </w:pPr>
      <w:r>
        <w:rPr>
          <w:b/>
          <w:bCs/>
        </w:rPr>
        <w:t xml:space="preserve">KF-6 — Many transportation links are unprotected today — a separate, nearer problem than quantum (high confidence).</w:t>
      </w:r>
    </w:p>
    <w:p>
      <w:pPr>
        <w:spacing w:after="140" w:line="276"/>
      </w:pPr>
      <w:r>
        <w:t xml:space="preserve">Several core transportation signals are broadcast with no encryption or authentication at all: aircraft position broadcasts (ADS-B) and aircraft text messaging (ACARS) in aviation,</w:t>
      </w:r>
      <w:r>
        <w:rPr>
          <w:rStyle w:val="FootnoteReference"/>
        </w:rPr>
        <w:footnoteReference w:id="16"/>
      </w:r>
      <w:r>
        <w:t xml:space="preserve"> and ship position broadcasts (AIS) in maritime. For these, the near-term threat is spoofing and jamming, not quantum code-breaking. Quantum-resistant encryption matters mainly where public-key encryption protects keys, credentials, certificates, and long-lived confidential data — not these open broadcasts.</w:t>
      </w:r>
    </w:p>
    <w:p>
      <w:pPr>
        <w:spacing w:after="60" w:line="276"/>
      </w:pPr>
      <w:r>
        <w:rPr>
          <w:b/>
          <w:bCs/>
        </w:rPr>
        <w:t xml:space="preserve">KF-7 — The government has not set transportation-specific quantum milestones (high confidence).</w:t>
      </w:r>
    </w:p>
    <w:p>
      <w:pPr>
        <w:spacing w:after="140" w:line="276"/>
      </w:pPr>
      <w:r>
        <w:t xml:space="preserve">The Government Accountability Office found that the national quantum-cybersecurity effort lacks interim milestones and performance measures for protecting critical infrastructure, and lacks a single office in charge of coordination. It recommended the Office of the National Cyber Director take the lead.</w:t>
      </w:r>
      <w:r>
        <w:rPr>
          <w:rStyle w:val="FootnoteReference"/>
        </w:rPr>
        <w:footnoteReference w:id="9"/>
      </w:r>
    </w:p>
    <w:p>
      <w:r>
        <w:br w:type="page"/>
      </w:r>
    </w:p>
    <w:p>
      <w:pPr>
        <w:pStyle w:val="Heading1"/>
      </w:pPr>
      <w:r>
        <w:t xml:space="preserve">Details and Supporting Analysis</w:t>
      </w:r>
    </w:p>
    <w:p>
      <w:pPr>
        <w:pStyle w:val="Heading2"/>
      </w:pPr>
      <w:r>
        <w:t xml:space="preserve">1. Where quantum computing stands today (2025–2026)</w:t>
      </w:r>
    </w:p>
    <w:p>
      <w:pPr>
        <w:spacing w:after="120" w:line="276"/>
      </w:pPr>
      <w:r>
        <w:t xml:space="preserve">There is no code-breaking quantum computer as of mid-2026. The most credible, independently reported or peer-reviewed milestones are:</w:t>
      </w:r>
    </w:p>
    <w:p>
      <w:pPr>
        <w:pStyle w:val="ListParagraph"/>
        <w:numPr>
          <w:ilvl w:val="0"/>
          <w:numId w:val="2"/>
        </w:numPr>
        <w:spacing w:after="80" w:line="276"/>
      </w:pPr>
      <w:r>
        <w:t xml:space="preserve">Google’s “Willow” chip (peer-reviewed in </w:t>
      </w:r>
      <w:r>
        <w:rPr>
          <w:i/>
          <w:iCs/>
        </w:rPr>
        <w:t xml:space="preserve">Nature</w:t>
      </w:r>
      <w:r>
        <w:t xml:space="preserve">, December 2024): a 105-qubit chip that, for the first time, showed error rates falling as the system grew — a key requirement for scaling. Critics correctly note this demonstrated reliable quantum </w:t>
      </w:r>
      <w:r>
        <w:rPr>
          <w:i/>
          <w:iCs/>
        </w:rPr>
        <w:t xml:space="preserve">memory</w:t>
      </w:r>
      <w:r>
        <w:t xml:space="preserve">, not the full code-breaking operations, and its error rate is still far above what cryptanalysis needs.</w:t>
      </w:r>
      <w:r>
        <w:rPr>
          <w:rStyle w:val="FootnoteReference"/>
        </w:rPr>
        <w:footnoteReference w:id="17"/>
      </w:r>
    </w:p>
    <w:p>
      <w:pPr>
        <w:pStyle w:val="ListParagraph"/>
        <w:numPr>
          <w:ilvl w:val="0"/>
          <w:numId w:val="2"/>
        </w:numPr>
        <w:spacing w:after="80" w:line="276"/>
      </w:pPr>
      <w:r>
        <w:t xml:space="preserve">Quantinuum’s “Helios” (5 November 2025): 98 physical qubits producing 48 error-corrected qubits at very high accuracy; the accuracy figure was corroborated by an independent university physicist. Its later roadmap dates remain company-stated and unconfirmed.</w:t>
      </w:r>
      <w:r>
        <w:rPr>
          <w:rStyle w:val="FootnoteReference"/>
        </w:rPr>
        <w:footnoteReference w:id="5"/>
      </w:r>
    </w:p>
    <w:p>
      <w:pPr>
        <w:pStyle w:val="ListParagraph"/>
        <w:numPr>
          <w:ilvl w:val="0"/>
          <w:numId w:val="2"/>
        </w:numPr>
        <w:spacing w:after="80" w:line="276"/>
      </w:pPr>
      <w:r>
        <w:t xml:space="preserve">Atom Computing/QuEra and Harvard (neutral-atom machines): 48 error-corrected qubits demonstrated in 2023–2024; 24 error-corrected qubits entangled by Atom Computing with Microsoft in 2024.</w:t>
      </w:r>
      <w:r>
        <w:rPr>
          <w:rStyle w:val="FootnoteReference"/>
        </w:rPr>
        <w:footnoteReference w:id="6"/>
      </w:r>
    </w:p>
    <w:p>
      <w:pPr>
        <w:pStyle w:val="ListParagraph"/>
        <w:numPr>
          <w:ilvl w:val="0"/>
          <w:numId w:val="2"/>
        </w:numPr>
        <w:spacing w:after="80" w:line="276"/>
      </w:pPr>
      <w:r>
        <w:t xml:space="preserve">IBM’s roadmap: a “Starling” machine targeted for 2029 with 200 reliable qubits. IBM states plainly that this will </w:t>
      </w:r>
      <w:r>
        <w:rPr>
          <w:i/>
          <w:iCs/>
        </w:rPr>
        <w:t xml:space="preserve">not</w:t>
      </w:r>
      <w:r>
        <w:t xml:space="preserve"> be a code-breaking machine, because breaking RSA-2048 needs thousands of reliable qubits running very long calculations. This is a company roadmap, not an independent result.</w:t>
      </w:r>
      <w:r>
        <w:rPr>
          <w:rStyle w:val="FootnoteReference"/>
        </w:rPr>
        <w:footnoteReference w:id="18"/>
      </w:r>
    </w:p>
    <w:p>
      <w:pPr>
        <w:spacing w:after="120" w:line="276"/>
      </w:pPr>
      <w:r>
        <w:t xml:space="preserve">The size of the target is shrinking. In 2019 the estimate to break RSA-2048 was 20 million raw qubits running for 8 hours.</w:t>
      </w:r>
      <w:r>
        <w:rPr>
          <w:rStyle w:val="FootnoteReference"/>
        </w:rPr>
        <w:footnoteReference w:id="7"/>
      </w:r>
      <w:r>
        <w:t xml:space="preserve"> By May 2025 a Google researcher estimated under one million raw qubits (about 1,400 reliable qubits) running for under a week,</w:t>
      </w:r>
      <w:r>
        <w:rPr>
          <w:rStyle w:val="FootnoteReference"/>
        </w:rPr>
        <w:footnoteReference w:id="1"/>
      </w:r>
      <w:r>
        <w:t xml:space="preserve"> and a separate 2024 study cut the reliable-qubit count to about 1,730 at the cost of a longer calculation.</w:t>
      </w:r>
      <w:r>
        <w:rPr>
          <w:rStyle w:val="FootnoteReference"/>
        </w:rPr>
        <w:footnoteReference w:id="19"/>
      </w:r>
      <w:r>
        <w:t xml:space="preserve"> The trend is steadily downward, which is why waiting for certainty is not a safe strategy.</w:t>
      </w:r>
    </w:p>
    <w:p>
      <w:pPr>
        <w:pStyle w:val="Heading2"/>
      </w:pPr>
      <w:r>
        <w:t xml:space="preserve">2. Our forecast: chance a code-breaking quantum computer exists by a given year</w:t>
      </w:r>
    </w:p>
    <w:p>
      <w:pPr>
        <w:spacing w:after="120" w:line="276"/>
      </w:pPr>
      <w:r>
        <w:t xml:space="preserve">The table below blends the expert surveys and the falling resource estimates into a single set of probabilities. These numbers are deliberately given as a best estimate plus a range, and they are written so they can be scored for accuracy later (Brier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By the end of</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Best estimate</w:t>
            </w:r>
          </w:p>
        </w:tc>
        <w:tc>
          <w:tcPr>
            <w:tcW w:type="dxa" w:w="3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Plain-language likelihood</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2028</w:t>
            </w:r>
          </w:p>
        </w:tc>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~3%</w:t>
            </w:r>
          </w:p>
        </w:tc>
        <w:tc>
          <w:tcPr>
            <w:tcW w:type="dxa" w:w="3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very unlikely</w:t>
            </w:r>
          </w:p>
        </w:tc>
      </w:tr>
      <w:tr>
        <w:tc>
          <w:tcPr>
            <w:tcW w:type="dxa" w:w="24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2030</w:t>
            </w:r>
          </w:p>
        </w:tc>
        <w:tc>
          <w:tcPr>
            <w:tcW w:type="dxa" w:w="30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~7%</w:t>
            </w:r>
          </w:p>
        </w:tc>
        <w:tc>
          <w:tcPr>
            <w:tcW w:type="dxa" w:w="396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very unlikely</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2033</w:t>
            </w:r>
          </w:p>
        </w:tc>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~17%</w:t>
            </w:r>
          </w:p>
        </w:tc>
        <w:tc>
          <w:tcPr>
            <w:tcW w:type="dxa" w:w="3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unlikely</w:t>
            </w:r>
          </w:p>
        </w:tc>
      </w:tr>
      <w:tr>
        <w:tc>
          <w:tcPr>
            <w:tcW w:type="dxa" w:w="24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2035</w:t>
            </w:r>
          </w:p>
        </w:tc>
        <w:tc>
          <w:tcPr>
            <w:tcW w:type="dxa" w:w="30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~28% (range 20–40%)</w:t>
            </w:r>
          </w:p>
        </w:tc>
        <w:tc>
          <w:tcPr>
            <w:tcW w:type="dxa" w:w="396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unlikely → roughly even chance</w:t>
            </w:r>
          </w:p>
        </w:tc>
      </w:tr>
      <w:tr>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2040</w:t>
            </w:r>
          </w:p>
        </w:tc>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~50%</w:t>
            </w:r>
          </w:p>
        </w:tc>
        <w:tc>
          <w:tcPr>
            <w:tcW w:type="dxa" w:w="39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roughly even chance</w:t>
            </w:r>
          </w:p>
        </w:tc>
      </w:tr>
    </w:tbl>
    <w:p>
      <w:pPr>
        <w:spacing w:after="160" w:line="276"/>
      </w:pPr>
      <w:r>
        <w:t xml:space="preserve">Sources for the table: expert elicitation,</w:t>
      </w:r>
      <w:r>
        <w:rPr>
          <w:rStyle w:val="FootnoteReference"/>
        </w:rPr>
        <w:footnoteReference w:id="2"/>
      </w:r>
      <w:r>
        <w:rPr>
          <w:rStyle w:val="FootnoteReference"/>
        </w:rPr>
        <w:footnoteReference w:id="3"/>
      </w:r>
      <w:r>
        <w:t xml:space="preserve"> the Government Accountability Office’s “10 to 20 years” framing,</w:t>
      </w:r>
      <w:r>
        <w:rPr>
          <w:rStyle w:val="FootnoteReference"/>
        </w:rPr>
        <w:footnoteReference w:id="8"/>
      </w:r>
      <w:r>
        <w:t xml:space="preserve"> and the 2025 resource estimate.</w:t>
      </w:r>
      <w:r>
        <w:rPr>
          <w:rStyle w:val="FootnoteReference"/>
        </w:rPr>
        <w:footnoteReference w:id="1"/>
      </w:r>
    </w:p>
    <w:p>
      <w:pPr>
        <w:pStyle w:val="Heading2"/>
      </w:pPr>
      <w:r>
        <w:t xml:space="preserve">3. The standards and rules that set the 2035 finish line</w:t>
      </w:r>
    </w:p>
    <w:p>
      <w:pPr>
        <w:spacing w:after="120" w:line="276"/>
      </w:pPr>
      <w:r>
        <w:t xml:space="preserve">The technical solutions are ready. The National Institute of Standards and Technology published three quantum-resistant encryption standards on 14 August 2024 — known by their plain names ML-KEM (for key exchange), ML-DSA, and SLH-DSA (for digital signatures).</w:t>
      </w:r>
      <w:r>
        <w:rPr>
          <w:rStyle w:val="FootnoteReference"/>
        </w:rPr>
        <w:footnoteReference w:id="12"/>
      </w:r>
      <w:r>
        <w:t xml:space="preserve"> It added a fifth, backup key-exchange algorithm called HQC in March 2025, with a draft standard expected around 2027.</w:t>
      </w:r>
      <w:r>
        <w:rPr>
          <w:rStyle w:val="FootnoteReference"/>
        </w:rPr>
        <w:footnoteReference w:id="13"/>
      </w:r>
    </w:p>
    <w:p>
      <w:pPr>
        <w:spacing w:after="120" w:line="276"/>
      </w:pPr>
      <w:r>
        <w:t xml:space="preserve">The rules requiring agencies to use them include: the 2022 National Security Memorandum setting the 2035 goal;</w:t>
      </w:r>
      <w:r>
        <w:rPr>
          <w:rStyle w:val="FootnoteReference"/>
        </w:rPr>
        <w:footnoteReference w:id="4"/>
      </w:r>
      <w:r>
        <w:t xml:space="preserve"> the Office of Management and Budget’s 2022 memo requiring yearly encryption inventories;</w:t>
      </w:r>
      <w:r>
        <w:rPr>
          <w:rStyle w:val="FootnoteReference"/>
        </w:rPr>
        <w:footnoteReference w:id="10"/>
      </w:r>
      <w:r>
        <w:t xml:space="preserve"> the Quantum Computing Cybersecurity Preparedness Act of 2022;</w:t>
      </w:r>
      <w:r>
        <w:rPr>
          <w:rStyle w:val="FootnoteReference"/>
        </w:rPr>
        <w:footnoteReference w:id="20"/>
      </w:r>
      <w:r>
        <w:t xml:space="preserve"> the National Security Agency’s CNSA 2.0 phased timeline ending in 2035;</w:t>
      </w:r>
      <w:r>
        <w:rPr>
          <w:rStyle w:val="FootnoteReference"/>
        </w:rPr>
        <w:footnoteReference w:id="11"/>
      </w:r>
      <w:r>
        <w:t xml:space="preserve"> and the draft guidance to stop using RSA and elliptic-curve encryption for new systems after 2030 and to disallow them by 2035.</w:t>
      </w:r>
      <w:r>
        <w:rPr>
          <w:rStyle w:val="FootnoteReference"/>
        </w:rPr>
        <w:footnoteReference w:id="21"/>
      </w:r>
      <w:r>
        <w:t xml:space="preserve"> A joint federal factsheet urges every organization to start with an encryption inventory now.</w:t>
      </w:r>
      <w:r>
        <w:rPr>
          <w:rStyle w:val="FootnoteReference"/>
        </w:rPr>
        <w:footnoteReference w:id="22"/>
      </w:r>
    </w:p>
    <w:p>
      <w:pPr>
        <w:pStyle w:val="Heading2"/>
      </w:pPr>
      <w:r>
        <w:t xml:space="preserve">4. What each transportation area depends on (all five weighted equally)</w:t>
      </w:r>
    </w:p>
    <w:p>
      <w:pPr>
        <w:spacing w:after="120" w:line="276"/>
      </w:pPr>
      <w:r>
        <w:t xml:space="preserve">The authoritative U.S. government study is a 2022 RAND assessment done for the Cybersecurity and Infrastructure Security Agency, which rated all 55 “National Critical Functions” for how urgently they need help upgrading their encryption.</w:t>
      </w:r>
      <w:r>
        <w:rPr>
          <w:rStyle w:val="FootnoteReference"/>
        </w:rPr>
        <w:footnoteReference w:id="15"/>
      </w:r>
      <w:r>
        <w:t xml:space="preserve"> Its transportation ratings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Transportation function</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Urgency</w:t>
            </w:r>
          </w:p>
        </w:tc>
        <w:tc>
          <w:tcPr>
            <w:tcW w:type="dxa" w:w="3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Priority for federal help</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Air (cargo &amp; passengers)</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Medium</w:t>
            </w:r>
          </w:p>
        </w:tc>
        <w:tc>
          <w:tcPr>
            <w:tcW w:type="dxa" w:w="3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Medium (highest in transportation)</w:t>
            </w:r>
          </w:p>
        </w:tc>
      </w:tr>
      <w:tr>
        <w:tc>
          <w:tcPr>
            <w:tcW w:type="dxa" w:w="336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Rail</w:t>
            </w:r>
          </w:p>
        </w:tc>
        <w:tc>
          <w:tcPr>
            <w:tcW w:type="dxa" w:w="24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Medium</w:t>
            </w:r>
          </w:p>
        </w:tc>
        <w:tc>
          <w:tcPr>
            <w:tcW w:type="dxa" w:w="36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Low</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Road</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Medium</w:t>
            </w:r>
          </w:p>
        </w:tc>
        <w:tc>
          <w:tcPr>
            <w:tcW w:type="dxa" w:w="3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Low</w:t>
            </w:r>
          </w:p>
        </w:tc>
      </w:tr>
      <w:tr>
        <w:tc>
          <w:tcPr>
            <w:tcW w:type="dxa" w:w="336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Vessel / maritime</w:t>
            </w:r>
          </w:p>
        </w:tc>
        <w:tc>
          <w:tcPr>
            <w:tcW w:type="dxa" w:w="24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Medium</w:t>
            </w:r>
          </w:p>
        </w:tc>
        <w:tc>
          <w:tcPr>
            <w:tcW w:type="dxa" w:w="36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Low</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Pipeline</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Low</w:t>
            </w:r>
          </w:p>
        </w:tc>
        <w:tc>
          <w:tcPr>
            <w:tcW w:type="dxa" w:w="3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sz w:val="18"/>
                <w:szCs w:val="18"/>
              </w:rPr>
              <w:t xml:space="preserve">Low (flagged as complex to fix)</w:t>
            </w:r>
          </w:p>
        </w:tc>
      </w:tr>
      <w:tr>
        <w:tc>
          <w:tcPr>
            <w:tcW w:type="dxa" w:w="336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Mass transit</w:t>
            </w:r>
          </w:p>
        </w:tc>
        <w:tc>
          <w:tcPr>
            <w:tcW w:type="dxa" w:w="24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Medium</w:t>
            </w:r>
          </w:p>
        </w:tc>
        <w:tc>
          <w:tcPr>
            <w:tcW w:type="dxa" w:w="3600"/>
            <w:tcBorders>
              <w:top w:val="single" w:color="BBBBBB" w:sz="1"/>
              <w:left w:val="single" w:color="BBBBBB" w:sz="1"/>
              <w:bottom w:val="single" w:color="BBBBBB" w:sz="1"/>
              <w:right w:val="single" w:color="BBBBBB" w:sz="1"/>
            </w:tcBorders>
            <w:shd w:fill="EEF2F8" w:val="clear"/>
            <w:tcMar>
              <w:top w:type="dxa" w:w="50"/>
              <w:left w:type="dxa" w:w="100"/>
              <w:bottom w:type="dxa" w:w="50"/>
              <w:right w:type="dxa" w:w="100"/>
            </w:tcMar>
          </w:tcPr>
          <w:p>
            <w:r>
              <w:rPr>
                <w:sz w:val="18"/>
                <w:szCs w:val="18"/>
              </w:rPr>
              <w:t xml:space="preserve">Low</w:t>
            </w:r>
          </w:p>
        </w:tc>
      </w:tr>
    </w:tbl>
    <w:p>
      <w:pPr>
        <w:spacing w:after="140" w:line="276"/>
      </w:pPr>
      <w:r>
        <w:t xml:space="preserve">No transportation function was rated high priority; that rating was reserved for the internet and information-technology “enabler” functions and for functions holding data that must stay secret for ten or more years.</w:t>
      </w:r>
      <w:r>
        <w:rPr>
          <w:rStyle w:val="FootnoteReference"/>
        </w:rPr>
        <w:footnoteReference w:id="15"/>
      </w:r>
      <w:r>
        <w:t xml:space="preserve"> Several transportation functions rely heavily on industrial control systems, which the study judged are often easier to upgrade because they lean on symmetric encryption (which quantum computers only weaken, not break).</w:t>
      </w:r>
    </w:p>
    <w:p>
      <w:pPr>
        <w:pStyle w:val="Heading3"/>
      </w:pPr>
      <w:r>
        <w:t xml:space="preserve">Aviation</w:t>
      </w:r>
    </w:p>
    <w:p>
      <w:pPr>
        <w:spacing w:after="120" w:line="276"/>
      </w:pPr>
      <w:r>
        <w:t xml:space="preserve">Aircraft position broadcasts (ADS-B) and aircraft text messaging (ACARS) carry no encryption or authentication, so the near-term threat is spoofing, not quantum code-breaking.</w:t>
      </w:r>
      <w:r>
        <w:rPr>
          <w:rStyle w:val="FootnoteReference"/>
        </w:rPr>
        <w:footnoteReference w:id="16"/>
      </w:r>
      <w:r>
        <w:t xml:space="preserve"> The quantum-relevant exposure is in Transportation Security Administration information systems, credentialing certificates, airline and airport business systems, and satellite-link key exchange. The federal study notes aviation hardware lasts a long time in the field and needs forward compatibility soon.</w:t>
      </w:r>
      <w:r>
        <w:rPr>
          <w:rStyle w:val="FootnoteReference"/>
        </w:rPr>
        <w:footnoteReference w:id="15"/>
      </w:r>
      <w:r>
        <w:t xml:space="preserve"> A reported 2026 Federal Aviation Administration request for information on upgrading the National Airspace System is </w:t>
      </w:r>
      <w:r>
        <w:rPr>
          <w:i/>
          <w:iCs/>
        </w:rPr>
        <w:t xml:space="preserve">unconfirmed</w:t>
      </w:r>
      <w:r>
        <w:t xml:space="preserve"> pending a primary federal source; it would in any case be an inquiry, not a finished plan.</w:t>
      </w:r>
    </w:p>
    <w:p>
      <w:pPr>
        <w:pStyle w:val="Heading3"/>
      </w:pPr>
      <w:r>
        <w:t xml:space="preserve">Maritime and ports</w:t>
      </w:r>
    </w:p>
    <w:p>
      <w:pPr>
        <w:spacing w:after="120" w:line="276"/>
      </w:pPr>
      <w:r>
        <w:t xml:space="preserve">Ship position broadcasts (AIS) are unencrypted and easily spoofed. The quantum-relevant exposure is in port terminal operating systems, certificates, electronic chart systems, and satellite-link key exchange. The 2017 NotPetya attack on the shipping company Maersk shows how severe ordinary cyber exposure already is: the company reported a $200–300 million hit and had to reinstall about 4,000 servers and 45,000 personal computers.</w:t>
      </w:r>
      <w:r>
        <w:rPr>
          <w:rStyle w:val="FootnoteReference"/>
        </w:rPr>
        <w:footnoteReference w:id="23"/>
      </w:r>
      <w:r>
        <w:t xml:space="preserve"> The federal study rated maritime low priority and noted its reliance on industrial control systems.</w:t>
      </w:r>
      <w:r>
        <w:rPr>
          <w:rStyle w:val="FootnoteReference"/>
        </w:rPr>
        <w:footnoteReference w:id="15"/>
      </w:r>
    </w:p>
    <w:p>
      <w:pPr>
        <w:pStyle w:val="Heading3"/>
      </w:pPr>
      <w:r>
        <w:t xml:space="preserve">Rail (freight and passenger)</w:t>
      </w:r>
    </w:p>
    <w:p>
      <w:pPr>
        <w:spacing w:after="120" w:line="276"/>
      </w:pPr>
      <w:r>
        <w:t xml:space="preserve">Positive Train Control — the system that can automatically stop a train — protects its messages with symmetric keys, which quantum computers only weaken rather than break, so strong symmetric encryption such as AES-256 stays safe. The quantum-relevant exposure is in the key-management and back-office certificate systems that use public-key encryption. The federal study rated rail low priority and industrial-control-heavy.</w:t>
      </w:r>
      <w:r>
        <w:rPr>
          <w:rStyle w:val="FootnoteReference"/>
        </w:rPr>
        <w:footnoteReference w:id="15"/>
      </w:r>
    </w:p>
    <w:p>
      <w:pPr>
        <w:pStyle w:val="Heading3"/>
      </w:pPr>
      <w:r>
        <w:t xml:space="preserve">Pipeline</w:t>
      </w:r>
    </w:p>
    <w:p>
      <w:pPr>
        <w:spacing w:after="120" w:line="276"/>
      </w:pPr>
      <w:r>
        <w:t xml:space="preserve">Pipeline control systems (SCADA) have very long lifecycles. Transportation Security Administration security directives and a 2024 proposed rule govern pipeline cybersecurity but do not yet set quantum-specific requirements.</w:t>
      </w:r>
      <w:r>
        <w:rPr>
          <w:rStyle w:val="FootnoteReference"/>
        </w:rPr>
        <w:footnoteReference w:id="24"/>
      </w:r>
      <w:r>
        <w:t xml:space="preserve"> The federal study rated pipeline low in urgency but flagged it as the one transportation function that is especially complicated to upgrade.</w:t>
      </w:r>
      <w:r>
        <w:rPr>
          <w:rStyle w:val="FootnoteReference"/>
        </w:rPr>
        <w:footnoteReference w:id="15"/>
      </w:r>
    </w:p>
    <w:p>
      <w:pPr>
        <w:pStyle w:val="Heading3"/>
      </w:pPr>
      <w:r>
        <w:t xml:space="preserve">Surface transportation and connected/automated vehicles</w:t>
      </w:r>
    </w:p>
    <w:p>
      <w:pPr>
        <w:spacing w:after="120" w:line="276"/>
      </w:pPr>
      <w:r>
        <w:t xml:space="preserve">The system that will issue security credentials to connected vehicles (the Security Credential Management System) relies on elliptic-curve encryption, which a code-breaking quantum computer would defeat.</w:t>
      </w:r>
      <w:r>
        <w:rPr>
          <w:rStyle w:val="FootnoteReference"/>
        </w:rPr>
        <w:footnoteReference w:id="25"/>
      </w:r>
      <w:r>
        <w:t xml:space="preserve"> Because vehicles last 10 to 20 years and roadside equipment longer, replacing these credentials across the fleet is a slow, hard problem that must be designed in from the start.</w:t>
      </w:r>
    </w:p>
    <w:p>
      <w:pPr>
        <w:pStyle w:val="Heading2"/>
      </w:pPr>
      <w:r>
        <w:t xml:space="preserve">5. Which transportation data is worth stealing now to read later</w:t>
      </w:r>
    </w:p>
    <w:p>
      <w:pPr>
        <w:spacing w:after="120" w:line="276"/>
      </w:pPr>
      <w:r>
        <w:t xml:space="preserve">Data that keeps its value for years includes passenger personal information and travel records, Transportation Security Administration biometric data, crew and manifest data, proprietary routing and logistics data, port and supply-chain commercial data, and the network designs and credentials of critical systems. The single highest-value target is the long-lived encryption keys and device certificates built into 20-to-40-year assets: stealing a long-lived signing key threatens </w:t>
      </w:r>
      <w:r>
        <w:rPr>
          <w:i/>
          <w:iCs/>
        </w:rPr>
        <w:t xml:space="preserve">future</w:t>
      </w:r>
      <w:r>
        <w:t xml:space="preserve"> operations — an enemy could later forge valid-looking commands or credentials — not just past secrets. The federal study judged most transportation data to have a short-to-medium secrecy lifetime, which lowers the urgency relative to national-security or medical data; the built-in-key problem is the main exception that keeps transportation meaningfully exposed.</w:t>
      </w:r>
      <w:r>
        <w:rPr>
          <w:rStyle w:val="FootnoteReference"/>
        </w:rPr>
        <w:footnoteReference w:id="15"/>
      </w:r>
    </w:p>
    <w:p>
      <w:r>
        <w:br w:type="page"/>
      </w:r>
    </w:p>
    <w:p>
      <w:pPr>
        <w:pStyle w:val="Heading1"/>
      </w:pPr>
      <w:r>
        <w:t xml:space="preserve">Structured Analytic Techniques</w:t>
      </w:r>
    </w:p>
    <w:p>
      <w:pPr>
        <w:pStyle w:val="Heading2"/>
      </w:pPr>
      <w:r>
        <w:t xml:space="preserve">Key Assumptions Check</w:t>
      </w:r>
    </w:p>
    <w:p>
      <w:pPr>
        <w:pStyle w:val="ListParagraph"/>
        <w:numPr>
          <w:ilvl w:val="0"/>
          <w:numId w:val="2"/>
        </w:numPr>
        <w:spacing w:after="80" w:line="276"/>
      </w:pPr>
      <w:r>
        <w:t xml:space="preserve">We assume the break comes through the known method (Shor’s algorithm on a fault-tolerant machine), and that ordinary computers will not break RSA or elliptic-curve encryption first. Robust.</w:t>
      </w:r>
    </w:p>
    <w:p>
      <w:pPr>
        <w:pStyle w:val="ListParagraph"/>
        <w:numPr>
          <w:ilvl w:val="0"/>
          <w:numId w:val="2"/>
        </w:numPr>
        <w:spacing w:after="80" w:line="276"/>
      </w:pPr>
      <w:r>
        <w:t xml:space="preserve">We assume published resource estimates roughly match reality. Moderate — estimates have only fallen, which suggests the true arrival could be earlier than a naive reading implies.</w:t>
      </w:r>
    </w:p>
    <w:p>
      <w:pPr>
        <w:pStyle w:val="ListParagraph"/>
        <w:numPr>
          <w:ilvl w:val="0"/>
          <w:numId w:val="2"/>
        </w:numPr>
        <w:spacing w:after="80" w:line="276"/>
      </w:pPr>
      <w:r>
        <w:t xml:space="preserve">We assume no hidden government already has a code-breaking machine. This cannot be verified (see the high-impact case below).</w:t>
      </w:r>
    </w:p>
    <w:p>
      <w:pPr>
        <w:pStyle w:val="ListParagraph"/>
        <w:numPr>
          <w:ilvl w:val="0"/>
          <w:numId w:val="2"/>
        </w:numPr>
        <w:spacing w:after="80" w:line="276"/>
      </w:pPr>
      <w:r>
        <w:t xml:space="preserve">We assume company roadmaps will slip, as they have historically. Robust.</w:t>
      </w:r>
    </w:p>
    <w:p>
      <w:pPr>
        <w:pStyle w:val="ListParagraph"/>
        <w:numPr>
          <w:ilvl w:val="0"/>
          <w:numId w:val="2"/>
        </w:numPr>
        <w:spacing w:after="80" w:line="276"/>
      </w:pPr>
      <w:r>
        <w:t xml:space="preserve">We assume symmetric encryption (AES-256) and hash-based signatures stay safe against quantum attack. Robust.</w:t>
      </w:r>
    </w:p>
    <w:p>
      <w:pPr>
        <w:pStyle w:val="Heading2"/>
      </w:pPr>
      <w:r>
        <w:t xml:space="preserve">Quality of Information Check</w:t>
      </w:r>
    </w:p>
    <w:p>
      <w:pPr>
        <w:spacing w:after="120" w:line="276"/>
      </w:pPr>
      <w:r>
        <w:t xml:space="preserve">Strongest sources: the standards and policy documents from the National Institute of Standards and Technology, the National Security Agency, the Office of Management and Budget, and the Government Accountability Office; the RAND assessment for the Cybersecurity and Infrastructure Security Agency; and peer-reviewed results in </w:t>
      </w:r>
      <w:r>
        <w:rPr>
          <w:i/>
          <w:iCs/>
        </w:rPr>
        <w:t xml:space="preserve">Nature</w:t>
      </w:r>
      <w:r>
        <w:t xml:space="preserve">. Weaker, flagged sources: company-reported qubit counts and roadmap dates, which are corroborated against peer-reviewed papers or independent reporting where possible and otherwise not relied upon. The expert-survey source has a disclosed conflict of interest (its authors sell quantum-safe products) and is treated as expert opinion, not fact.</w:t>
      </w:r>
      <w:r>
        <w:rPr>
          <w:rStyle w:val="FootnoteReference"/>
        </w:rPr>
        <w:footnoteReference w:id="2"/>
      </w:r>
      <w:r>
        <w:rPr>
          <w:rStyle w:val="FootnoteReference"/>
        </w:rPr>
        <w:footnoteReference w:id="3"/>
      </w:r>
    </w:p>
    <w:p>
      <w:pPr>
        <w:pStyle w:val="Heading2"/>
      </w:pPr>
      <w:r>
        <w:t xml:space="preserve">Warning Indicators (what would tell us the timeline is speeding up)</w:t>
      </w:r>
    </w:p>
    <w:p>
      <w:pPr>
        <w:pStyle w:val="ListParagraph"/>
        <w:numPr>
          <w:ilvl w:val="0"/>
          <w:numId w:val="2"/>
        </w:numPr>
        <w:spacing w:after="80" w:line="276"/>
      </w:pPr>
      <w:r>
        <w:t xml:space="preserve">A machine crossing about 100 reliable qubits with error rates near one-in-a-million (watch the 2029 roadmaps).</w:t>
      </w:r>
    </w:p>
    <w:p>
      <w:pPr>
        <w:pStyle w:val="ListParagraph"/>
        <w:numPr>
          <w:ilvl w:val="0"/>
          <w:numId w:val="2"/>
        </w:numPr>
        <w:spacing w:after="80" w:line="276"/>
      </w:pPr>
      <w:r>
        <w:t xml:space="preserve">The first working “magic-state factory” demonstrated in hardware (a building block for code-breaking math).</w:t>
      </w:r>
    </w:p>
    <w:p>
      <w:pPr>
        <w:pStyle w:val="ListParagraph"/>
        <w:numPr>
          <w:ilvl w:val="0"/>
          <w:numId w:val="2"/>
        </w:numPr>
        <w:spacing w:after="80" w:line="276"/>
      </w:pPr>
      <w:r>
        <w:t xml:space="preserve">A published quantum factoring of a non-trivial number larger than 100 bits.</w:t>
      </w:r>
    </w:p>
    <w:p>
      <w:pPr>
        <w:pStyle w:val="ListParagraph"/>
        <w:numPr>
          <w:ilvl w:val="0"/>
          <w:numId w:val="2"/>
        </w:numPr>
        <w:spacing w:after="80" w:line="276"/>
      </w:pPr>
      <w:r>
        <w:t xml:space="preserve">Further math advances cutting the requirement below about 1,000 reliable qubits.</w:t>
      </w:r>
    </w:p>
    <w:p>
      <w:pPr>
        <w:pStyle w:val="ListParagraph"/>
        <w:numPr>
          <w:ilvl w:val="0"/>
          <w:numId w:val="2"/>
        </w:numPr>
        <w:spacing w:after="80" w:line="276"/>
      </w:pPr>
      <w:r>
        <w:t xml:space="preserve">Sustained multi-day error-corrected operation (today this is measured in hours).</w:t>
      </w:r>
    </w:p>
    <w:p>
      <w:pPr>
        <w:pStyle w:val="ListParagraph"/>
        <w:numPr>
          <w:ilvl w:val="0"/>
          <w:numId w:val="2"/>
        </w:numPr>
        <w:spacing w:after="80" w:line="276"/>
      </w:pPr>
      <w:r>
        <w:t xml:space="preserve">Signs of a classified national program: unusual procurement, talent concentration, or fabrication investment.</w:t>
      </w:r>
    </w:p>
    <w:p>
      <w:pPr>
        <w:pStyle w:val="Heading2"/>
      </w:pPr>
      <w:r>
        <w:t xml:space="preserve">Analysis of Competing Hypotheses — when does this become an operational risk to transportation?</w:t>
      </w:r>
    </w:p>
    <w:p>
      <w:pPr>
        <w:pStyle w:val="ListParagraph"/>
        <w:numPr>
          <w:ilvl w:val="0"/>
          <w:numId w:val="2"/>
        </w:numPr>
        <w:spacing w:after="80" w:line="276"/>
      </w:pPr>
      <w:r>
        <w:t xml:space="preserve">H1 — Never within the horizon (after 2040). Fits the skeptics and roadmap slippage; clashes with steady progress and falling estimates. Lower likelihood.</w:t>
      </w:r>
    </w:p>
    <w:p>
      <w:pPr>
        <w:pStyle w:val="ListParagraph"/>
        <w:numPr>
          <w:ilvl w:val="0"/>
          <w:numId w:val="2"/>
        </w:numPr>
        <w:spacing w:after="80" w:line="276"/>
      </w:pPr>
      <w:r>
        <w:t xml:space="preserve">H2 — Late (2033–2035 and beyond). Fits the “10–20 years” framing and realistic roadmaps. Most defensible central case.</w:t>
      </w:r>
    </w:p>
    <w:p>
      <w:pPr>
        <w:pStyle w:val="ListParagraph"/>
        <w:numPr>
          <w:ilvl w:val="0"/>
          <w:numId w:val="2"/>
        </w:numPr>
        <w:spacing w:after="80" w:line="276"/>
      </w:pPr>
      <w:r>
        <w:t xml:space="preserve">H3 — Middle (2030–2033). Fits the most aggressive roadmaps combined with the 2025 resource estimate. Plausible and growing.</w:t>
      </w:r>
    </w:p>
    <w:p>
      <w:pPr>
        <w:pStyle w:val="ListParagraph"/>
        <w:numPr>
          <w:ilvl w:val="0"/>
          <w:numId w:val="2"/>
        </w:numPr>
        <w:spacing w:after="80" w:line="276"/>
      </w:pPr>
      <w:r>
        <w:t xml:space="preserve">H4 — Soon or already, in secret (before 2030). Fits only a hidden national breakthrough. Low likelihood, very high impact.</w:t>
      </w:r>
    </w:p>
    <w:p>
      <w:pPr>
        <w:pStyle w:val="Heading2"/>
      </w:pPr>
      <w:r>
        <w:t xml:space="preserve">Contrarian Checks</w:t>
      </w:r>
    </w:p>
    <w:p>
      <w:pPr>
        <w:spacing w:after="120" w:line="276"/>
      </w:pPr>
      <w:r>
        <w:t xml:space="preserve">Devil’s advocacy: the harvest-now risk may be overstated for transportation, because most transportation data has a short shelf life and many links are unprotected or use symmetric keys. The counterpoint: the long-lived built-in keys, and the fixed 2035 deadline, still bind regardless.</w:t>
      </w:r>
    </w:p>
    <w:p>
      <w:pPr>
        <w:spacing w:after="120" w:line="276"/>
      </w:pPr>
      <w:r>
        <w:t xml:space="preserve">High-impact, low-probability: a foreign government quietly builds a code-breaking machine around 2028–2030 and silently harvests transportation credentials, enabling later forged commands to trains, vehicles, or pipeline controls. Low odds, severe consequences — which is the core reason to act now rather than wait.</w:t>
      </w:r>
    </w:p>
    <w:p>
      <w:pPr>
        <w:spacing w:after="120" w:line="276"/>
      </w:pPr>
      <w:r>
        <w:t xml:space="preserve">What-if: if a further math breakthrough cuts the requirement to a few hundred reliable qubits, a 2029-class machine could become dangerous years sooner than expected.</w:t>
      </w:r>
    </w:p>
    <w:p>
      <w:r>
        <w:br w:type="page"/>
      </w:r>
    </w:p>
    <w:p>
      <w:pPr>
        <w:pStyle w:val="Heading1"/>
      </w:pPr>
      <w:r>
        <w:t xml:space="preserve">Recommendations</w:t>
      </w:r>
    </w:p>
    <w:p>
      <w:pPr>
        <w:pStyle w:val="Heading2"/>
      </w:pPr>
      <w:r>
        <w:t xml:space="preserve">Stage 1 — now through 2027 (no regrets)</w:t>
      </w:r>
    </w:p>
    <w:p>
      <w:pPr>
        <w:pStyle w:val="ListParagraph"/>
        <w:numPr>
          <w:ilvl w:val="0"/>
          <w:numId w:val="3"/>
        </w:numPr>
        <w:spacing w:after="80" w:line="276"/>
      </w:pPr>
      <w:r>
        <w:t xml:space="preserve">Build a full inventory of where encryption is used across all five areas, starting with the most valuable systems and anything whose data or keys must stay secure past 2035.</w:t>
      </w:r>
      <w:r>
        <w:rPr>
          <w:rStyle w:val="FootnoteReference"/>
        </w:rPr>
        <w:footnoteReference w:id="10"/>
      </w:r>
    </w:p>
    <w:p>
      <w:pPr>
        <w:pStyle w:val="ListParagraph"/>
        <w:numPr>
          <w:ilvl w:val="0"/>
          <w:numId w:val="3"/>
        </w:numPr>
        <w:spacing w:after="80" w:line="276"/>
      </w:pPr>
      <w:r>
        <w:t xml:space="preserve">Sort priorities by secrecy lifetime multiplied by equipment lifetime. Require every newly bought 20-to-40-year asset to support easy encryption swaps and forward compatibility from day one.</w:t>
      </w:r>
    </w:p>
    <w:p>
      <w:pPr>
        <w:pStyle w:val="ListParagraph"/>
        <w:numPr>
          <w:ilvl w:val="0"/>
          <w:numId w:val="3"/>
        </w:numPr>
        <w:spacing w:after="80" w:line="276"/>
      </w:pPr>
      <w:r>
        <w:t xml:space="preserve">Treat the unprotected links (ADS-B, ACARS, AIS) as a separate, present-day spoofing and jamming problem, handled independently of the quantum question.</w:t>
      </w:r>
    </w:p>
    <w:p>
      <w:pPr>
        <w:pStyle w:val="ListParagraph"/>
        <w:numPr>
          <w:ilvl w:val="0"/>
          <w:numId w:val="3"/>
        </w:numPr>
        <w:spacing w:after="80" w:line="276"/>
      </w:pPr>
      <w:r>
        <w:t xml:space="preserve">Start pilots that combine a quantum-resistant key exchange with today’s method (a “hybrid” approach) in Transportation Security Administration and business systems.</w:t>
      </w:r>
    </w:p>
    <w:p>
      <w:pPr>
        <w:pStyle w:val="Heading2"/>
      </w:pPr>
      <w:r>
        <w:t xml:space="preserve">Stage 2 — 2027 through 2030 (build)</w:t>
      </w:r>
    </w:p>
    <w:p>
      <w:pPr>
        <w:pStyle w:val="ListParagraph"/>
        <w:numPr>
          <w:ilvl w:val="0"/>
          <w:numId w:val="4"/>
        </w:numPr>
        <w:spacing w:after="80" w:line="276"/>
      </w:pPr>
      <w:r>
        <w:t xml:space="preserve">Upgrade the most valuable systems and all certificate systems to the new standards (ML-KEM and ML-DSA). Require quantum-resistant encryption in every purchase. Work with aviation and connected-vehicle standards bodies so manufacturers design it in.</w:t>
      </w:r>
    </w:p>
    <w:p>
      <w:pPr>
        <w:pStyle w:val="Heading2"/>
      </w:pPr>
      <w:r>
        <w:t xml:space="preserve">Stage 3 — 2030 through 2035 (finish)</w:t>
      </w:r>
    </w:p>
    <w:p>
      <w:pPr>
        <w:pStyle w:val="ListParagraph"/>
        <w:numPr>
          <w:ilvl w:val="0"/>
          <w:numId w:val="5"/>
        </w:numPr>
        <w:spacing w:after="80" w:line="276"/>
      </w:pPr>
      <w:r>
        <w:t xml:space="preserve">Complete the upgrade of all quantum-vulnerable public-key encryption by the 2035 federal deadline, and retire or replace any equipment that cannot be upgraded.</w:t>
      </w:r>
      <w:r>
        <w:rPr>
          <w:rStyle w:val="FootnoteReference"/>
        </w:rPr>
        <w:footnoteReference w:id="4"/>
      </w:r>
      <w:r>
        <w:rPr>
          <w:rStyle w:val="FootnoteReference"/>
        </w:rPr>
        <w:footnoteReference w:id="11"/>
      </w:r>
    </w:p>
    <w:p>
      <w:pPr>
        <w:pStyle w:val="Heading2"/>
      </w:pPr>
      <w:r>
        <w:t xml:space="preserve">Triggers that should speed up the schedule</w:t>
      </w:r>
    </w:p>
    <w:p>
      <w:pPr>
        <w:spacing w:after="120" w:line="276"/>
      </w:pPr>
      <w:r>
        <w:t xml:space="preserve">If any two of the warning indicators above appear — especially a machine above 100 reliable qubits at very low error, or a working magic-state factory — compress the timelines immediately and give first priority to systems with built-in keys on long-lived equipment.</w:t>
      </w:r>
    </w:p>
    <w:p>
      <w:pPr>
        <w:pStyle w:val="Heading1"/>
      </w:pPr>
      <w:r>
        <w:t xml:space="preserve">Caveats and Limitations</w:t>
      </w:r>
    </w:p>
    <w:p>
      <w:pPr>
        <w:pStyle w:val="ListParagraph"/>
        <w:numPr>
          <w:ilvl w:val="0"/>
          <w:numId w:val="2"/>
        </w:numPr>
        <w:spacing w:after="80" w:line="276"/>
      </w:pPr>
      <w:r>
        <w:t xml:space="preserve">All dates and probabilities are judgments under deep uncertainty, drawn from expert surveys and resource estimates. They carry wide error bars and are meant to be scored for accuracy over time, not treated as precise predictions.</w:t>
      </w:r>
    </w:p>
    <w:p>
      <w:pPr>
        <w:pStyle w:val="ListParagraph"/>
        <w:numPr>
          <w:ilvl w:val="0"/>
          <w:numId w:val="2"/>
        </w:numPr>
        <w:spacing w:after="80" w:line="276"/>
      </w:pPr>
      <w:r>
        <w:t xml:space="preserve">Single-source and unconfirmed items are flagged in the text as the user directed. Company roadmap claims (for example, specific future qubit counts) are company-stated and not independently verified. The reported 2026 Federal Aviation Administration request for information is unconfirmed pending a primary federal source.</w:t>
      </w:r>
    </w:p>
    <w:p>
      <w:pPr>
        <w:pStyle w:val="ListParagraph"/>
        <w:numPr>
          <w:ilvl w:val="0"/>
          <w:numId w:val="2"/>
        </w:numPr>
        <w:spacing w:after="80" w:line="276"/>
      </w:pPr>
      <w:r>
        <w:t xml:space="preserve">The RAND ratings date from 2022 and predate the 2024–2025 hardware results and the 2025 resource estimate; transportation’s relative priority could rise if estimates keep falling.</w:t>
      </w:r>
      <w:r>
        <w:rPr>
          <w:rStyle w:val="FootnoteReference"/>
        </w:rPr>
        <w:footnoteReference w:id="15"/>
      </w:r>
    </w:p>
    <w:p>
      <w:pPr>
        <w:pStyle w:val="ListParagraph"/>
        <w:numPr>
          <w:ilvl w:val="0"/>
          <w:numId w:val="2"/>
        </w:numPr>
        <w:spacing w:after="80" w:line="276"/>
      </w:pPr>
      <w:r>
        <w:t xml:space="preserve">Sensitivity analysis: the central judgment holds up even if the arrival date is off by five years in either direction, because the binding constraint for transportation is replacement delay against long equipment lifetimes and the fixed 2035 deadline — not the exact arrival date. If a hidden government machine already exists, the harvest-now risk is already higher than modeled.</w:t>
      </w:r>
    </w:p>
    <w:p>
      <w:pPr>
        <w:pStyle w:val="ListParagraph"/>
        <w:numPr>
          <w:ilvl w:val="0"/>
          <w:numId w:val="2"/>
        </w:numPr>
        <w:spacing w:after="80" w:line="276"/>
      </w:pPr>
      <w:r>
        <w:t xml:space="preserve">This is an open-source assessment. Classified information could shift the timeline judgment in either direction.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Quantum Risk to U.S. Transportation — Open-Source Forecast Through 2035 — 16 June 2026 —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6"/>
          <w:szCs w:val="16"/>
        </w:rPr>
        <w:t xml:space="preserve"> Gidney, C. (Google Quantum AI). “How to Factor 2048-Bit RSA Integers with Less Than a Million Noisy Qubits.” arXiv:2505.15917 [quant-ph]. Submitted 21 May 2025. Preprint, not yet peer-reviewed; treated as a recognized-researcher technical estimate.</w:t>
      </w:r>
    </w:p>
  </w:footnote>
  <w:footnote w:id="2">
    <w:p>
      <w:r>
        <w:rPr>
          <w:rStyle w:val="FootnoteReference"/>
        </w:rPr>
        <w:footnoteRef/>
      </w:r>
      <w:r>
        <w:rPr>
          <w:sz w:val="16"/>
          <w:szCs w:val="16"/>
        </w:rPr>
        <w:t xml:space="preserve"> Mosca, M., and Piani, M. “Quantum Threat Timeline Report 2024.” Global Risk Institute / evolutionQ Inc., December 2024. Expert-elicitation survey of 32 specialists. Originator sells quantum-safe products — a disclosed potential conflict of interest; treated as elicitation, not measurement.</w:t>
      </w:r>
    </w:p>
  </w:footnote>
  <w:footnote w:id="3">
    <w:p>
      <w:r>
        <w:rPr>
          <w:rStyle w:val="FootnoteReference"/>
        </w:rPr>
        <w:footnoteRef/>
      </w:r>
      <w:r>
        <w:rPr>
          <w:sz w:val="16"/>
          <w:szCs w:val="16"/>
        </w:rPr>
        <w:t xml:space="preserve"> Mosca, M., and Piani, M. “Quantum Threat Timeline Report 2025.” Global Risk Institute / evolutionQ Inc., released March 2026. Expert-elicitation survey of 26 specialists. Same conflict-of-interest caveat as the 2024 edition.</w:t>
      </w:r>
    </w:p>
  </w:footnote>
  <w:footnote w:id="4">
    <w:p>
      <w:r>
        <w:rPr>
          <w:rStyle w:val="FootnoteReference"/>
        </w:rPr>
        <w:footnoteRef/>
      </w:r>
      <w:r>
        <w:rPr>
          <w:sz w:val="16"/>
          <w:szCs w:val="16"/>
        </w:rPr>
        <w:t xml:space="preserve"> The White House (Office of Management and Budget). “National Security Memorandum on Promoting United States Leadership in Quantum Computing While Mitigating Risks to Vulnerable Cryptographic Systems” (NSM-10). 4 May 2022. Directs mitigation of quantum risk to the maximum extent feasible by 2035.</w:t>
      </w:r>
    </w:p>
  </w:footnote>
  <w:footnote w:id="5">
    <w:p>
      <w:r>
        <w:rPr>
          <w:rStyle w:val="FootnoteReference"/>
        </w:rPr>
        <w:footnoteRef/>
      </w:r>
      <w:r>
        <w:rPr>
          <w:sz w:val="16"/>
          <w:szCs w:val="16"/>
        </w:rPr>
        <w:t xml:space="preserve"> Quantinuum. “Helios Quantum Computer” technical announcement, 5 November 2025; independent gate-fidelity comment by R. Islam (University of Waterloo) reported in MIT Technology Review, November 2025. Vendor performance figures corroborated by the independent academic comment; remaining roadmap dates (Sol 2027, Apollo 2029) are vendor-stated and unconfirmed.</w:t>
      </w:r>
    </w:p>
  </w:footnote>
  <w:footnote w:id="6">
    <w:p>
      <w:r>
        <w:rPr>
          <w:rStyle w:val="FootnoteReference"/>
        </w:rPr>
        <w:footnoteRef/>
      </w:r>
      <w:r>
        <w:rPr>
          <w:sz w:val="16"/>
          <w:szCs w:val="16"/>
        </w:rPr>
        <w:t xml:space="preserve"> Bluvstein, D., et al. “Logical Quantum Processor Based on Reconfigurable Atom Arrays” (48 logical qubits, Harvard/QuEra/MIT/NIST). Nature, vol. 626, pp. 58–65. Published December 2023 / 2024. Peer-reviewed. Atom Computing–Microsoft 24-logical-qubit entanglement reported November 2024.</w:t>
      </w:r>
    </w:p>
  </w:footnote>
  <w:footnote w:id="7">
    <w:p>
      <w:r>
        <w:rPr>
          <w:rStyle w:val="FootnoteReference"/>
        </w:rPr>
        <w:footnoteRef/>
      </w:r>
      <w:r>
        <w:rPr>
          <w:sz w:val="16"/>
          <w:szCs w:val="16"/>
        </w:rPr>
        <w:t xml:space="preserve"> Gidney, C., and Ekerå, M. “How to Factor 2048-Bit RSA Integers in 8 Hours Using 20 Million Noisy Qubits.” Quantum, vol. 5, p. 433. 2021 (arXiv:1905.09749, 2019). Peer-reviewed; provides the earlier resource estimate against which the 2025 reduction is measured.</w:t>
      </w:r>
    </w:p>
  </w:footnote>
  <w:footnote w:id="8">
    <w:p>
      <w:r>
        <w:rPr>
          <w:rStyle w:val="FootnoteReference"/>
        </w:rPr>
        <w:footnoteRef/>
      </w:r>
      <w:r>
        <w:rPr>
          <w:sz w:val="16"/>
          <w:szCs w:val="16"/>
        </w:rPr>
        <w:t xml:space="preserve"> U.S. Government Accountability Office. “Science &amp; Tech Spotlight: Securing Data for a Post-Quantum World.” GAO-25-107703. 21 November 2024.</w:t>
      </w:r>
    </w:p>
  </w:footnote>
  <w:footnote w:id="9">
    <w:p>
      <w:r>
        <w:rPr>
          <w:rStyle w:val="FootnoteReference"/>
        </w:rPr>
        <w:footnoteRef/>
      </w:r>
      <w:r>
        <w:rPr>
          <w:sz w:val="16"/>
          <w:szCs w:val="16"/>
        </w:rPr>
        <w:t xml:space="preserve"> U.S. Government Accountability Office. “Future of Cybersecurity: Leadership Needed to Fully Define and Implement Federal Quantum-Resistant Cryptography Requirements.” GAO-25-108590. 24 June 2025.</w:t>
      </w:r>
    </w:p>
  </w:footnote>
  <w:footnote w:id="10">
    <w:p>
      <w:r>
        <w:rPr>
          <w:rStyle w:val="FootnoteReference"/>
        </w:rPr>
        <w:footnoteRef/>
      </w:r>
      <w:r>
        <w:rPr>
          <w:sz w:val="16"/>
          <w:szCs w:val="16"/>
        </w:rPr>
        <w:t xml:space="preserve"> Office of Management and Budget. “Migrating to Post-Quantum Cryptography” (Memorandum M-23-02). 18 November 2022. Requires annual cryptographic inventories of prioritized systems through 2035.</w:t>
      </w:r>
    </w:p>
  </w:footnote>
  <w:footnote w:id="11">
    <w:p>
      <w:r>
        <w:rPr>
          <w:rStyle w:val="FootnoteReference"/>
        </w:rPr>
        <w:footnoteRef/>
      </w:r>
      <w:r>
        <w:rPr>
          <w:sz w:val="16"/>
          <w:szCs w:val="16"/>
        </w:rPr>
        <w:t xml:space="preserve"> National Security Agency. “Commercial National Security Algorithm Suite 2.0” (CNSA 2.0) FAQ and Advisory. September 2022; updated May 2025. Sets phased PQC adoption for National Security Systems with full transition by 2035.</w:t>
      </w:r>
    </w:p>
  </w:footnote>
  <w:footnote w:id="12">
    <w:p>
      <w:r>
        <w:rPr>
          <w:rStyle w:val="FootnoteReference"/>
        </w:rPr>
        <w:footnoteRef/>
      </w:r>
      <w:r>
        <w:rPr>
          <w:sz w:val="16"/>
          <w:szCs w:val="16"/>
        </w:rPr>
        <w:t xml:space="preserve"> National Institute of Standards and Technology. “Announcing Issuance of FIPS 203 (Module-Lattice-Based Key-Encapsulation Mechanism Standard), FIPS 204 (Module-Lattice-Based Digital Signature Standard), and FIPS 205 (Stateless Hash-Based Digital Signature Standard).” Federal Register, 89 FR 66019, Docket 240719-0201. Published 14 August 2024; effective 14 August 2024.</w:t>
      </w:r>
    </w:p>
  </w:footnote>
  <w:footnote w:id="13">
    <w:p>
      <w:r>
        <w:rPr>
          <w:rStyle w:val="FootnoteReference"/>
        </w:rPr>
        <w:footnoteRef/>
      </w:r>
      <w:r>
        <w:rPr>
          <w:sz w:val="16"/>
          <w:szCs w:val="16"/>
        </w:rPr>
        <w:t xml:space="preserve"> National Institute of Standards and Technology. “HQC Selected for Standardization as a Fifth PQC Algorithm (Code-Based Key-Encapsulation Mechanism).” NIST IR 8545 / NIST announcement, 11 March 2025. Draft FIPS expected approximately 2027.</w:t>
      </w:r>
    </w:p>
  </w:footnote>
  <w:footnote w:id="14">
    <w:p>
      <w:r>
        <w:rPr>
          <w:rStyle w:val="FootnoteReference"/>
        </w:rPr>
        <w:footnoteRef/>
      </w:r>
      <w:r>
        <w:rPr>
          <w:sz w:val="16"/>
          <w:szCs w:val="16"/>
        </w:rPr>
        <w:t xml:space="preserve"> The White House / Office of Management and Budget. “Report on Post-Quantum Cryptography” (report to Congress under the Quantum Computing Cybersecurity Preparedness Act). July 2024. States the government-wide migration cost for prioritized systems for 2025–2035 is approximately $7.1 billion in 2024 dollars (excludes National Security Systems).</w:t>
      </w:r>
    </w:p>
  </w:footnote>
  <w:footnote w:id="15">
    <w:p>
      <w:r>
        <w:rPr>
          <w:rStyle w:val="FootnoteReference"/>
        </w:rPr>
        <w:footnoteRef/>
      </w:r>
      <w:r>
        <w:rPr>
          <w:sz w:val="16"/>
          <w:szCs w:val="16"/>
        </w:rPr>
        <w:t xml:space="preserve"> Vermeer, M.J.D.; Parker, E.; and Kochhar, A.K. “Preparing for Post-Quantum Critical Infrastructure: Assessments of Quantum Computing Vulnerabilities of National Critical Functions.” RAND Corporation / Homeland Security Operational Analysis Center, RR-A1367-6, for CISA National Risk Management Center. 18 August 2022.</w:t>
      </w:r>
    </w:p>
  </w:footnote>
  <w:footnote w:id="16">
    <w:p>
      <w:r>
        <w:rPr>
          <w:rStyle w:val="FootnoteReference"/>
        </w:rPr>
        <w:footnoteRef/>
      </w:r>
      <w:r>
        <w:rPr>
          <w:sz w:val="16"/>
          <w:szCs w:val="16"/>
        </w:rPr>
        <w:t xml:space="preserve"> Costin, A., and Francillon, A. “Ghost in the Air(Traffic): On Insecurity of ADS-B Protocol and Practical Attacks on ADS-B Devices.” Black Hat USA 2012 white paper; corroborated by NASA Technical Reports Server studies on ADS-B/ACARS lack of authentication. ADS-B and ACARS are broadcast without encryption or authentication by design.</w:t>
      </w:r>
    </w:p>
  </w:footnote>
  <w:footnote w:id="17">
    <w:p>
      <w:r>
        <w:rPr>
          <w:rStyle w:val="FootnoteReference"/>
        </w:rPr>
        <w:footnoteRef/>
      </w:r>
      <w:r>
        <w:rPr>
          <w:sz w:val="16"/>
          <w:szCs w:val="16"/>
        </w:rPr>
        <w:t xml:space="preserve"> Acharya, R., et al. (Google Quantum AI). “Quantum Error Correction Below the Surface Code Threshold.” Nature, vol. 638, pp. 920–926. Published December 2024 (Willow processor). Peer-reviewed.</w:t>
      </w:r>
    </w:p>
  </w:footnote>
  <w:footnote w:id="18">
    <w:p>
      <w:r>
        <w:rPr>
          <w:rStyle w:val="FootnoteReference"/>
        </w:rPr>
        <w:footnoteRef/>
      </w:r>
      <w:r>
        <w:rPr>
          <w:sz w:val="16"/>
          <w:szCs w:val="16"/>
        </w:rPr>
        <w:t xml:space="preserve"> IBM. “IBM Lays Out Clear Path to Fault-Tolerant Quantum Computing” (Starling 2029 / Blue Jay roadmap; qLDPC bivariate-bicycle codes). IBM Quantum technical blog, 10 June 2025. Vendor-stated roadmap; IBM explicitly states Starling is not a cryptographically relevant quantum computer.</w:t>
      </w:r>
    </w:p>
  </w:footnote>
  <w:footnote w:id="19">
    <w:p>
      <w:r>
        <w:rPr>
          <w:rStyle w:val="FootnoteReference"/>
        </w:rPr>
        <w:footnoteRef/>
      </w:r>
      <w:r>
        <w:rPr>
          <w:sz w:val="16"/>
          <w:szCs w:val="16"/>
        </w:rPr>
        <w:t xml:space="preserve"> Chevignard, C.; Fouque, P.-A.; and Schrottenloher, A. “Reducing the Number of Qubits in Quantum Factoring.” IACR ePrint 2024/1129, 2024. Preprint; recognized-researcher estimate (~1,730 logical qubits at higher gate cost).</w:t>
      </w:r>
    </w:p>
  </w:footnote>
  <w:footnote w:id="20">
    <w:p>
      <w:r>
        <w:rPr>
          <w:rStyle w:val="FootnoteReference"/>
        </w:rPr>
        <w:footnoteRef/>
      </w:r>
      <w:r>
        <w:rPr>
          <w:sz w:val="16"/>
          <w:szCs w:val="16"/>
        </w:rPr>
        <w:t xml:space="preserve"> U.S. Congress. “Quantum Computing Cybersecurity Preparedness Act” (H.R. 7535, Public Law 117-260). Enacted 21 December 2022.</w:t>
      </w:r>
    </w:p>
  </w:footnote>
  <w:footnote w:id="21">
    <w:p>
      <w:r>
        <w:rPr>
          <w:rStyle w:val="FootnoteReference"/>
        </w:rPr>
        <w:footnoteRef/>
      </w:r>
      <w:r>
        <w:rPr>
          <w:sz w:val="16"/>
          <w:szCs w:val="16"/>
        </w:rPr>
        <w:t xml:space="preserve"> National Institute of Standards and Technology. “Transition to Post-Quantum Cryptography Standards” (NIST IR 8547, initial public draft). November 2024. Sets deprecation of RSA/ECC after 2030 and disallowance by 2035 for the systems in scope.</w:t>
      </w:r>
    </w:p>
  </w:footnote>
  <w:footnote w:id="22">
    <w:p>
      <w:r>
        <w:rPr>
          <w:rStyle w:val="FootnoteReference"/>
        </w:rPr>
        <w:footnoteRef/>
      </w:r>
      <w:r>
        <w:rPr>
          <w:sz w:val="16"/>
          <w:szCs w:val="16"/>
        </w:rPr>
        <w:t xml:space="preserve"> Cybersecurity and Infrastructure Security Agency, National Security Agency, and National Institute of Standards and Technology. “Quantum-Readiness: Migration to Post-Quantum Cryptography” (joint cybersecurity information sheet). 21 August 2023.</w:t>
      </w:r>
    </w:p>
  </w:footnote>
  <w:footnote w:id="23">
    <w:p>
      <w:r>
        <w:rPr>
          <w:rStyle w:val="FootnoteReference"/>
        </w:rPr>
        <w:footnoteRef/>
      </w:r>
      <w:r>
        <w:rPr>
          <w:sz w:val="16"/>
          <w:szCs w:val="16"/>
        </w:rPr>
        <w:t xml:space="preserve"> Maersk / A.P. Møller-Maersk and CNBC. “Maersk Says NotPetya Cyberattack Could Cost $300 Million.” CNBC, 16 August 2017; corroborated by A.P. Møller-Maersk interim report Q2 2017 stating a $200–300 million negative impact and reinstallation of approximately 4,000 servers and 45,000 PCs.</w:t>
      </w:r>
    </w:p>
  </w:footnote>
  <w:footnote w:id="24">
    <w:p>
      <w:r>
        <w:rPr>
          <w:rStyle w:val="FootnoteReference"/>
        </w:rPr>
        <w:footnoteRef/>
      </w:r>
      <w:r>
        <w:rPr>
          <w:sz w:val="16"/>
          <w:szCs w:val="16"/>
        </w:rPr>
        <w:t xml:space="preserve"> Transportation Security Administration. Security Directive Pipeline-2021-01/02 series and Notice of Proposed Rulemaking, “Enhancing Surface Cyber Risk Management,” 89 FR (November 2024). Governs pipeline and surface cybersecurity; does not yet set post-quantum-cryptography-specific requirements.</w:t>
      </w:r>
    </w:p>
  </w:footnote>
  <w:footnote w:id="25">
    <w:p>
      <w:r>
        <w:rPr>
          <w:rStyle w:val="FootnoteReference"/>
        </w:rPr>
        <w:footnoteRef/>
      </w:r>
      <w:r>
        <w:rPr>
          <w:sz w:val="16"/>
          <w:szCs w:val="16"/>
        </w:rPr>
        <w:t xml:space="preserve"> Chen, J., and Lin, P. “Hybrid Post-Quantum and ECC Credentialing for Vehicular Networks” and related work on the Security Credential Management System (SCMS); arXiv:2501.07028, 2025; corroborated by USDOT/IEEE SCMS design documentation describing reliance on elliptic-curve cryptography and butterfly key expansion. The SCMS public-key infrastructure relies on quantum-vulnerable elliptic-curve cryptography.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b/>
        <w:bCs/>
        <w:color w:val="1F3864"/>
        <w:sz w:val="14"/>
        <w:szCs w:val="14"/>
      </w:rPr>
      <w:t xml:space="preserve">OPEN SOURCE ASSESSMENT — UNCLASSIFIED — AI-ASSISTED ANALYSIS; VERIFY BEFORE USE IN AGENCY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2026-06-16T16:42:06.641Z</dcterms:created>
  <dcterms:modified xsi:type="dcterms:W3CDTF">2026-06-16T16:42:06.641Z</dcterms:modified>
</cp:coreProperties>
</file>

<file path=docProps/custom.xml><?xml version="1.0" encoding="utf-8"?>
<Properties xmlns="http://schemas.openxmlformats.org/officeDocument/2006/custom-properties" xmlns:vt="http://schemas.openxmlformats.org/officeDocument/2006/docPropsVTypes"/>
</file>