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A1A1A"/>
          <w:sz w:val="32"/>
          <w:szCs w:val="32"/>
        </w:rPr>
        <w:t xml:space="preserve">Russia-Ukraine War Termination Forecast</w:t>
      </w:r>
    </w:p>
    <w:p>
      <w:pPr>
        <w:spacing w:after="120"/>
      </w:pPr>
      <w:r>
        <w:rPr>
          <w:rFonts w:ascii="Arial" w:cs="Arial" w:eastAsia="Arial" w:hAnsi="Arial"/>
          <w:color w:val="555555"/>
          <w:sz w:val="18"/>
          <w:szCs w:val="18"/>
        </w:rPr>
        <w:t xml:space="preserve">Bayesian Prior and Monte Carlo Simulation · 25,000 Iterations · Revision 2.5 (Reviewer-Feedback Integration) · 24 June 2026</w:t>
      </w:r>
    </w:p>
    <w:p>
      <w:pPr>
        <w:spacing w:after="80"/>
      </w:pPr>
      <w:r>
        <w:rPr>
          <w:rFonts w:ascii="Arial" w:cs="Arial" w:eastAsia="Arial" w:hAnsi="Arial"/>
          <w:b/>
          <w:bCs/>
          <w:sz w:val="17"/>
          <w:szCs w:val="17"/>
        </w:rPr>
        <w:t xml:space="preserve">Prepared by: </w:t>
      </w:r>
      <w:r>
        <w:rPr>
          <w:rFonts w:ascii="Arial" w:cs="Arial" w:eastAsia="Arial" w:hAnsi="Arial"/>
          <w:sz w:val="17"/>
          <w:szCs w:val="17"/>
        </w:rPr>
        <w:t xml:space="preserve">P. Meyers.   </w:t>
      </w:r>
      <w:r>
        <w:rPr>
          <w:rFonts w:ascii="Arial" w:cs="Arial" w:eastAsia="Arial" w:hAnsi="Arial"/>
          <w:b/>
          <w:bCs/>
          <w:sz w:val="17"/>
          <w:szCs w:val="17"/>
        </w:rPr>
        <w:t xml:space="preserve">Standards applied: </w:t>
      </w:r>
      <w:r>
        <w:rPr>
          <w:rFonts w:ascii="Arial" w:cs="Arial" w:eastAsia="Arial" w:hAnsi="Arial"/>
          <w:sz w:val="17"/>
          <w:szCs w:val="17"/>
        </w:rPr>
        <w:t xml:space="preserve">Intelligence Community Directive 203 (ICD-203, analytic tradecraft); Intelligence Community Directive 206 (ICD-206, source citation); Structured Analytic Techniques (SATs); and the Office of Management and Budget (OMB) Risk Bulletin.   </w:t>
      </w:r>
      <w:r>
        <w:rPr>
          <w:rFonts w:ascii="Arial" w:cs="Arial" w:eastAsia="Arial" w:hAnsi="Arial"/>
          <w:b/>
          <w:bCs/>
          <w:sz w:val="17"/>
          <w:szCs w:val="17"/>
        </w:rPr>
        <w:t xml:space="preserve">Sourcing: </w:t>
      </w:r>
      <w:r>
        <w:rPr>
          <w:rFonts w:ascii="Arial" w:cs="Arial" w:eastAsia="Arial" w:hAnsi="Arial"/>
          <w:sz w:val="17"/>
          <w:szCs w:val="17"/>
        </w:rPr>
        <w:t xml:space="preserve">Primary and institutional sources only.</w:t>
      </w:r>
    </w:p>
    <w:p>
      <w:pPr>
        <w:spacing w:after="60"/>
      </w:pPr>
      <w:r>
        <w:rPr>
          <w:rFonts w:ascii="Arial" w:cs="Arial" w:eastAsia="Arial" w:hAnsi="Arial"/>
          <w:i/>
          <w:iCs/>
          <w:color w:val="555555"/>
          <w:sz w:val="17"/>
          <w:szCs w:val="17"/>
        </w:rPr>
        <w:t xml:space="preserve">Designation: OPEN SOURCE ASSESSMENT. Public information only. No classified or restricted markings. Sections on sabotage, cyber, and infrastructure are kept deliberately high-level: this product assesses likelihood, strategic logic, indicators, and consequences only, and contains no operational, targeting, or technical detail.</w:t>
      </w:r>
    </w:p>
    <w:p>
      <w:pPr>
        <w:pBdr>
          <w:top w:val="single" w:color="D4A017" w:sz="2" w:space="6"/>
          <w:left w:val="single" w:color="D4A017" w:sz="2" w:space="6"/>
          <w:bottom w:val="single" w:color="D4A017" w:sz="2" w:space="6"/>
          <w:right w:val="single" w:color="D4A017" w:sz="2" w:space="6"/>
        </w:pBdr>
        <w:shd w:fill="FFF8E6" w:val="clear"/>
        <w:spacing w:after="120" w:before="40"/>
        <w:jc w:val="both"/>
      </w:pPr>
      <w:r>
        <w:rPr>
          <w:rFonts w:ascii="Arial" w:cs="Arial" w:eastAsia="Arial" w:hAnsi="Arial"/>
          <w:b/>
          <w:bCs/>
          <w:i w:val="false"/>
          <w:iCs w:val="false"/>
          <w:sz w:val="20"/>
          <w:szCs w:val="20"/>
        </w:rPr>
        <w:t xml:space="preserve">What changed since Revision 2.4. </w:t>
      </w:r>
      <w:r>
        <w:rPr>
          <w:rFonts w:ascii="Arial" w:cs="Arial" w:eastAsia="Arial" w:hAnsi="Arial"/>
          <w:b w:val="false"/>
          <w:bCs w:val="false"/>
          <w:i w:val="false"/>
          <w:iCs w:val="false"/>
          <w:sz w:val="20"/>
          <w:szCs w:val="20"/>
        </w:rPr>
        <w:t xml:space="preserve">A reviewer asked the forecast to address four issues: Russia's manpower math, the risk of Russian kinetic action against Western transport and logistics networks, Russian retaliation below the level of open war, and a possible Russian shift toward sparing its own troops while coercing Ukraine through infrastructure strikes. This revision integrates all four into the forecast logic, the scenario definitions, the sensitivity branches, and the watch list. The honest result: none of the four moves the headline timing. They change how the war is most likely to end inside conditional branches, they widen the uncertainty band, and they add a parallel transportation-security risk that runs alongside the war rather than deciding it. The headline numbers are held at the Revision 2.4 values, and the reasons are stated plainly below.</w:t>
      </w:r>
    </w:p>
    <w:p>
      <w:pPr>
        <w:pStyle w:val="Heading1"/>
        <w:spacing w:after="120" w:before="240"/>
      </w:pPr>
      <w:r>
        <w:rPr>
          <w:rFonts w:ascii="Arial" w:cs="Arial" w:eastAsia="Arial" w:hAnsi="Arial"/>
          <w:b/>
          <w:bCs/>
          <w:color w:val="0B2E4F"/>
          <w:sz w:val="26"/>
          <w:szCs w:val="26"/>
        </w:rPr>
        <w:t xml:space="preserve">How to Read This Forecast</w:t>
      </w:r>
    </w:p>
    <w:p>
      <w:pPr>
        <w:spacing w:after="120"/>
        <w:jc w:val="both"/>
      </w:pPr>
      <w:r>
        <w:rPr>
          <w:rFonts w:ascii="Arial" w:cs="Arial" w:eastAsia="Arial" w:hAnsi="Arial"/>
          <w:b w:val="false"/>
          <w:bCs w:val="false"/>
          <w:i w:val="false"/>
          <w:iCs w:val="false"/>
          <w:sz w:val="20"/>
          <w:szCs w:val="20"/>
        </w:rPr>
        <w:t xml:space="preserve">This forecast uses a few technical terms. Each is defined here in plain language. Every term used in a table below is on this list.</w:t>
      </w:r>
    </w:p>
    <w:p>
      <w:pPr>
        <w:spacing w:after="80"/>
        <w:ind w:left="360" w:hanging="360"/>
        <w:jc w:val="both"/>
      </w:pPr>
      <w:r>
        <w:rPr>
          <w:rFonts w:ascii="Arial" w:cs="Arial" w:eastAsia="Arial" w:hAnsi="Arial"/>
          <w:b/>
          <w:bCs/>
          <w:sz w:val="20"/>
          <w:szCs w:val="20"/>
        </w:rPr>
        <w:t xml:space="preserve">Bayesian prior — </w:t>
      </w:r>
      <w:r>
        <w:rPr>
          <w:rFonts w:ascii="Arial" w:cs="Arial" w:eastAsia="Arial" w:hAnsi="Arial"/>
          <w:sz w:val="20"/>
          <w:szCs w:val="20"/>
        </w:rPr>
        <w:t xml:space="preserve">A starting estimate based on history, before adding new evidence. Here, how often long wars of this kind have ended in any given year.</w:t>
      </w:r>
    </w:p>
    <w:p>
      <w:pPr>
        <w:spacing w:after="80"/>
        <w:ind w:left="360" w:hanging="360"/>
        <w:jc w:val="both"/>
      </w:pPr>
      <w:r>
        <w:rPr>
          <w:rFonts w:ascii="Arial" w:cs="Arial" w:eastAsia="Arial" w:hAnsi="Arial"/>
          <w:b/>
          <w:bCs/>
          <w:sz w:val="20"/>
          <w:szCs w:val="20"/>
        </w:rPr>
        <w:t xml:space="preserve">Monte Carlo simulation — </w:t>
      </w:r>
      <w:r>
        <w:rPr>
          <w:rFonts w:ascii="Arial" w:cs="Arial" w:eastAsia="Arial" w:hAnsi="Arial"/>
          <w:sz w:val="20"/>
          <w:szCs w:val="20"/>
        </w:rPr>
        <w:t xml:space="preserve">A method that runs the war forward thousands of times with chance-based inputs, then counts outcomes to get a probability for each. This forecast ran 25,000 times.</w:t>
      </w:r>
    </w:p>
    <w:p>
      <w:pPr>
        <w:spacing w:after="80"/>
        <w:ind w:left="360" w:hanging="360"/>
        <w:jc w:val="both"/>
      </w:pPr>
      <w:r>
        <w:rPr>
          <w:rFonts w:ascii="Arial" w:cs="Arial" w:eastAsia="Arial" w:hAnsi="Arial"/>
          <w:b/>
          <w:bCs/>
          <w:sz w:val="20"/>
          <w:szCs w:val="20"/>
        </w:rPr>
        <w:t xml:space="preserve">Annual termination hazard — </w:t>
      </w:r>
      <w:r>
        <w:rPr>
          <w:rFonts w:ascii="Arial" w:cs="Arial" w:eastAsia="Arial" w:hAnsi="Arial"/>
          <w:sz w:val="20"/>
          <w:szCs w:val="20"/>
        </w:rPr>
        <w:t xml:space="preserve">The chance the war ends in a single year, assuming it is still going at the start of that year.</w:t>
      </w:r>
    </w:p>
    <w:p>
      <w:pPr>
        <w:spacing w:after="80"/>
        <w:ind w:left="360" w:hanging="360"/>
        <w:jc w:val="both"/>
      </w:pPr>
      <w:r>
        <w:rPr>
          <w:rFonts w:ascii="Arial" w:cs="Arial" w:eastAsia="Arial" w:hAnsi="Arial"/>
          <w:b/>
          <w:bCs/>
          <w:sz w:val="20"/>
          <w:szCs w:val="20"/>
        </w:rPr>
        <w:t xml:space="preserve">Cumulative probability — </w:t>
      </w:r>
      <w:r>
        <w:rPr>
          <w:rFonts w:ascii="Arial" w:cs="Arial" w:eastAsia="Arial" w:hAnsi="Arial"/>
          <w:sz w:val="20"/>
          <w:szCs w:val="20"/>
        </w:rPr>
        <w:t xml:space="preserve">The chance the war has ended by the end of a given year, counting that year and all earlier years.</w:t>
      </w:r>
    </w:p>
    <w:p>
      <w:pPr>
        <w:spacing w:after="80"/>
        <w:ind w:left="360" w:hanging="360"/>
        <w:jc w:val="both"/>
      </w:pPr>
      <w:r>
        <w:rPr>
          <w:rFonts w:ascii="Arial" w:cs="Arial" w:eastAsia="Arial" w:hAnsi="Arial"/>
          <w:b/>
          <w:bCs/>
          <w:sz w:val="20"/>
          <w:szCs w:val="20"/>
        </w:rPr>
        <w:t xml:space="preserve">Conditional probability — </w:t>
      </w:r>
      <w:r>
        <w:rPr>
          <w:rFonts w:ascii="Arial" w:cs="Arial" w:eastAsia="Arial" w:hAnsi="Arial"/>
          <w:sz w:val="20"/>
          <w:szCs w:val="20"/>
        </w:rPr>
        <w:t xml:space="preserve">The chance of one particular ending, assuming the war has already ended within the window. In the Part 2 table these add up to 100 percent.</w:t>
      </w:r>
    </w:p>
    <w:p>
      <w:pPr>
        <w:spacing w:after="80"/>
        <w:ind w:left="360" w:hanging="360"/>
        <w:jc w:val="both"/>
      </w:pPr>
      <w:r>
        <w:rPr>
          <w:rFonts w:ascii="Arial" w:cs="Arial" w:eastAsia="Arial" w:hAnsi="Arial"/>
          <w:b/>
          <w:bCs/>
          <w:sz w:val="20"/>
          <w:szCs w:val="20"/>
        </w:rPr>
        <w:t xml:space="preserve">Marginal probability — </w:t>
      </w:r>
      <w:r>
        <w:rPr>
          <w:rFonts w:ascii="Arial" w:cs="Arial" w:eastAsia="Arial" w:hAnsi="Arial"/>
          <w:sz w:val="20"/>
          <w:szCs w:val="20"/>
        </w:rPr>
        <w:t xml:space="preserve">The chance of one particular ending across all futures, including the war continuing. It equals the conditional probability times the overall chance the war ends within the window.</w:t>
      </w:r>
    </w:p>
    <w:p>
      <w:pPr>
        <w:spacing w:after="80"/>
        <w:ind w:left="360" w:hanging="360"/>
        <w:jc w:val="both"/>
      </w:pPr>
      <w:r>
        <w:rPr>
          <w:rFonts w:ascii="Arial" w:cs="Arial" w:eastAsia="Arial" w:hAnsi="Arial"/>
          <w:b/>
          <w:bCs/>
          <w:sz w:val="20"/>
          <w:szCs w:val="20"/>
        </w:rPr>
        <w:t xml:space="preserve">Irrecoverable losses — </w:t>
      </w:r>
      <w:r>
        <w:rPr>
          <w:rFonts w:ascii="Arial" w:cs="Arial" w:eastAsia="Arial" w:hAnsi="Arial"/>
          <w:sz w:val="20"/>
          <w:szCs w:val="20"/>
        </w:rPr>
        <w:t xml:space="preserve">Soldiers who will never return to combat: the dead, most of the missing, and the permanently disabled. This is smaller than the headline casualty count, which also includes the wounded who recover and return.</w:t>
      </w:r>
    </w:p>
    <w:p>
      <w:pPr>
        <w:spacing w:after="80"/>
        <w:ind w:left="360" w:hanging="360"/>
        <w:jc w:val="both"/>
      </w:pPr>
      <w:r>
        <w:rPr>
          <w:rFonts w:ascii="Arial" w:cs="Arial" w:eastAsia="Arial" w:hAnsi="Arial"/>
          <w:b/>
          <w:bCs/>
          <w:sz w:val="20"/>
          <w:szCs w:val="20"/>
        </w:rPr>
        <w:t xml:space="preserve">Force generation — </w:t>
      </w:r>
      <w:r>
        <w:rPr>
          <w:rFonts w:ascii="Arial" w:cs="Arial" w:eastAsia="Arial" w:hAnsi="Arial"/>
          <w:sz w:val="20"/>
          <w:szCs w:val="20"/>
        </w:rPr>
        <w:t xml:space="preserve">The flow of new troops into the army: contract recruits, mobilized men, prisoners, foreign fighters, recovered wounded, and trained replacements from the pipeline.</w:t>
      </w:r>
    </w:p>
    <w:p>
      <w:pPr>
        <w:spacing w:after="80"/>
        <w:ind w:left="360" w:hanging="360"/>
        <w:jc w:val="both"/>
      </w:pPr>
      <w:r>
        <w:rPr>
          <w:rFonts w:ascii="Arial" w:cs="Arial" w:eastAsia="Arial" w:hAnsi="Arial"/>
          <w:b/>
          <w:bCs/>
          <w:sz w:val="20"/>
          <w:szCs w:val="20"/>
        </w:rPr>
        <w:t xml:space="preserve">Short-of-war action — </w:t>
      </w:r>
      <w:r>
        <w:rPr>
          <w:rFonts w:ascii="Arial" w:cs="Arial" w:eastAsia="Arial" w:hAnsi="Arial"/>
          <w:sz w:val="20"/>
          <w:szCs w:val="20"/>
        </w:rPr>
        <w:t xml:space="preserve">Hostile acts below the level of open war: cyber attacks, navigation jamming, sabotage, and influence operations, usually arranged so the state can deny them.</w:t>
      </w:r>
    </w:p>
    <w:p>
      <w:pPr>
        <w:spacing w:after="80"/>
        <w:ind w:left="360" w:hanging="360"/>
        <w:jc w:val="both"/>
      </w:pPr>
      <w:r>
        <w:rPr>
          <w:rFonts w:ascii="Arial" w:cs="Arial" w:eastAsia="Arial" w:hAnsi="Arial"/>
          <w:b/>
          <w:bCs/>
          <w:sz w:val="20"/>
          <w:szCs w:val="20"/>
        </w:rPr>
        <w:t xml:space="preserve">Hybrid / quasi-kinetic action — </w:t>
      </w:r>
      <w:r>
        <w:rPr>
          <w:rFonts w:ascii="Arial" w:cs="Arial" w:eastAsia="Arial" w:hAnsi="Arial"/>
          <w:sz w:val="20"/>
          <w:szCs w:val="20"/>
        </w:rPr>
        <w:t xml:space="preserve">A mix of covert and deniable methods — sabotage, arson, proxy crime — that fall between peace and open war.</w:t>
      </w:r>
    </w:p>
    <w:p>
      <w:pPr>
        <w:spacing w:after="80"/>
        <w:ind w:left="360" w:hanging="360"/>
        <w:jc w:val="both"/>
      </w:pPr>
      <w:r>
        <w:rPr>
          <w:rFonts w:ascii="Arial" w:cs="Arial" w:eastAsia="Arial" w:hAnsi="Arial"/>
          <w:b/>
          <w:bCs/>
          <w:sz w:val="20"/>
          <w:szCs w:val="20"/>
        </w:rPr>
        <w:t xml:space="preserve">Global Navigation Satellite System (GNSS) interference — </w:t>
      </w:r>
      <w:r>
        <w:rPr>
          <w:rFonts w:ascii="Arial" w:cs="Arial" w:eastAsia="Arial" w:hAnsi="Arial"/>
          <w:sz w:val="20"/>
          <w:szCs w:val="20"/>
        </w:rPr>
        <w:t xml:space="preserve">Jamming (blocking) or spoofing (faking) of satellite navigation signals such as the Global Positioning System (GPS), affecting aircraft and ships.</w:t>
      </w:r>
    </w:p>
    <w:p>
      <w:pPr>
        <w:pStyle w:val="Heading2"/>
        <w:spacing w:after="80" w:before="160"/>
      </w:pPr>
      <w:r>
        <w:rPr>
          <w:rFonts w:ascii="Arial" w:cs="Arial" w:eastAsia="Arial" w:hAnsi="Arial"/>
          <w:b/>
          <w:bCs/>
          <w:color w:val="204060"/>
          <w:sz w:val="22"/>
          <w:szCs w:val="22"/>
        </w:rPr>
        <w:t xml:space="preserve">Plain-language likelihood terms</w:t>
      </w:r>
    </w:p>
    <w:p>
      <w:pPr>
        <w:spacing w:after="120"/>
        <w:jc w:val="both"/>
      </w:pPr>
      <w:r>
        <w:rPr>
          <w:rFonts w:ascii="Arial" w:cs="Arial" w:eastAsia="Arial" w:hAnsi="Arial"/>
          <w:b w:val="false"/>
          <w:bCs w:val="false"/>
          <w:i w:val="false"/>
          <w:iCs w:val="false"/>
          <w:sz w:val="20"/>
          <w:szCs w:val="20"/>
        </w:rPr>
        <w:t xml:space="preserve">This forecast uses the standard intelligence-community words for likelihood. Each maps to a fixed percentage band. The forecast never uses one of these words outside its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3840"/>
      </w:tblGrid>
      <w:tr>
        <w:trPr>
          <w:tblHeader/>
        </w:trPr>
        <w:tc>
          <w:tcPr>
            <w:tcW w:type="dxa" w:w="3120"/>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left"/>
            </w:pPr>
            <w:r>
              <w:rPr>
                <w:rFonts w:ascii="Arial" w:cs="Arial" w:eastAsia="Arial" w:hAnsi="Arial"/>
                <w:b/>
                <w:bCs/>
                <w:color w:val="FFFFFF"/>
                <w:sz w:val="17"/>
                <w:szCs w:val="17"/>
              </w:rPr>
              <w:t xml:space="preserve">Likelihood word</w:t>
            </w:r>
          </w:p>
        </w:tc>
        <w:tc>
          <w:tcPr>
            <w:tcW w:type="dxa" w:w="2400"/>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center"/>
            </w:pPr>
            <w:r>
              <w:rPr>
                <w:rFonts w:ascii="Arial" w:cs="Arial" w:eastAsia="Arial" w:hAnsi="Arial"/>
                <w:b/>
                <w:bCs/>
                <w:color w:val="FFFFFF"/>
                <w:sz w:val="17"/>
                <w:szCs w:val="17"/>
              </w:rPr>
              <w:t xml:space="preserve">Percentage band</w:t>
            </w:r>
          </w:p>
        </w:tc>
        <w:tc>
          <w:tcPr>
            <w:tcW w:type="dxa" w:w="3840"/>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center"/>
            </w:pPr>
            <w:r>
              <w:rPr>
                <w:rFonts w:ascii="Arial" w:cs="Arial" w:eastAsia="Arial" w:hAnsi="Arial"/>
                <w:b/>
                <w:bCs/>
                <w:color w:val="FFFFFF"/>
                <w:sz w:val="17"/>
                <w:szCs w:val="17"/>
              </w:rPr>
              <w:t xml:space="preserve">Plain meaning</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Almost no chance / Remote</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1–5%</w:t>
            </w:r>
          </w:p>
        </w:tc>
        <w:tc>
          <w:tcPr>
            <w:tcW w:type="dxa" w:w="38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Would be a real surprise</w:t>
            </w:r>
          </w:p>
        </w:tc>
      </w:tr>
      <w:tr>
        <w:tc>
          <w:tcPr>
            <w:tcW w:type="dxa" w:w="312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Very unlikely</w:t>
            </w:r>
          </w:p>
        </w:tc>
        <w:tc>
          <w:tcPr>
            <w:tcW w:type="dxa" w:w="24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5–20%</w:t>
            </w:r>
          </w:p>
        </w:tc>
        <w:tc>
          <w:tcPr>
            <w:tcW w:type="dxa" w:w="384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Probably will not happen</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Unlikely</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20–45%</w:t>
            </w:r>
          </w:p>
        </w:tc>
        <w:tc>
          <w:tcPr>
            <w:tcW w:type="dxa" w:w="38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More likely no than yes</w:t>
            </w:r>
          </w:p>
        </w:tc>
      </w:tr>
      <w:tr>
        <w:tc>
          <w:tcPr>
            <w:tcW w:type="dxa" w:w="312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Roughly even odds</w:t>
            </w:r>
          </w:p>
        </w:tc>
        <w:tc>
          <w:tcPr>
            <w:tcW w:type="dxa" w:w="24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45–55%</w:t>
            </w:r>
          </w:p>
        </w:tc>
        <w:tc>
          <w:tcPr>
            <w:tcW w:type="dxa" w:w="384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About a coin flip</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Likely</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55–80%</w:t>
            </w:r>
          </w:p>
        </w:tc>
        <w:tc>
          <w:tcPr>
            <w:tcW w:type="dxa" w:w="38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More likely yes than no</w:t>
            </w:r>
          </w:p>
        </w:tc>
      </w:tr>
      <w:tr>
        <w:tc>
          <w:tcPr>
            <w:tcW w:type="dxa" w:w="312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Very likely</w:t>
            </w:r>
          </w:p>
        </w:tc>
        <w:tc>
          <w:tcPr>
            <w:tcW w:type="dxa" w:w="24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80–95%</w:t>
            </w:r>
          </w:p>
        </w:tc>
        <w:tc>
          <w:tcPr>
            <w:tcW w:type="dxa" w:w="384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Probably will happen</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Almost certain</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95–99%</w:t>
            </w:r>
          </w:p>
        </w:tc>
        <w:tc>
          <w:tcPr>
            <w:tcW w:type="dxa" w:w="38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Would be a real surprise if not</w:t>
            </w:r>
          </w:p>
        </w:tc>
      </w:tr>
    </w:tbl>
    <w:p>
      <w:r>
        <w:br w:type="page"/>
      </w:r>
    </w:p>
    <w:p>
      <w:pPr>
        <w:pStyle w:val="Heading1"/>
        <w:spacing w:after="120" w:before="240"/>
      </w:pPr>
      <w:r>
        <w:rPr>
          <w:rFonts w:ascii="Arial" w:cs="Arial" w:eastAsia="Arial" w:hAnsi="Arial"/>
          <w:b/>
          <w:bCs/>
          <w:color w:val="0B2E4F"/>
          <w:sz w:val="26"/>
          <w:szCs w:val="26"/>
        </w:rPr>
        <w:t xml:space="preserve">Key Findings</w:t>
      </w:r>
    </w:p>
    <w:p>
      <w:pPr>
        <w:pBdr>
          <w:top w:val="single" w:color="D9DEE3" w:sz="2" w:space="6"/>
          <w:left w:val="single" w:color="D9DEE3" w:sz="2" w:space="6"/>
          <w:bottom w:val="single" w:color="D9DEE3" w:sz="2" w:space="6"/>
          <w:right w:val="single" w:color="D9DEE3" w:sz="2" w:space="6"/>
        </w:pBdr>
        <w:shd w:fill="F4F6F8" w:val="clear"/>
        <w:spacing w:after="120" w:before="40"/>
        <w:jc w:val="both"/>
      </w:pPr>
      <w:r>
        <w:rPr>
          <w:rFonts w:ascii="Arial" w:cs="Arial" w:eastAsia="Arial" w:hAnsi="Arial"/>
          <w:b/>
          <w:bCs/>
          <w:i w:val="false"/>
          <w:iCs w:val="false"/>
          <w:sz w:val="20"/>
          <w:szCs w:val="20"/>
        </w:rPr>
        <w:t xml:space="preserve">Headline timing is unchanged. It remains unlikely (20–45%) that active fighting ends by the end of 2028, and the chance the war is still going after 2032 is roughly even odds (near 45 percent). </w:t>
      </w:r>
      <w:r>
        <w:rPr>
          <w:rFonts w:ascii="Arial" w:cs="Arial" w:eastAsia="Arial" w:hAnsi="Arial"/>
          <w:b w:val="false"/>
          <w:bCs w:val="false"/>
          <w:i w:val="false"/>
          <w:iCs w:val="false"/>
          <w:sz w:val="20"/>
          <w:szCs w:val="20"/>
        </w:rPr>
        <w:t xml:space="preserve">All four reviewer issues were tested against the model. None moved the headline timing. They change the mix of endings inside conditional branches, widen the uncertainty, and add a parallel security risk.</w:t>
      </w:r>
      <w:r>
        <w:rPr>
          <w:rFonts w:ascii="Arial" w:cs="Arial" w:eastAsia="Arial" w:hAnsi="Arial"/>
          <w:b w:val="false"/>
          <w:bCs w:val="false"/>
          <w:i w:val="false"/>
          <w:iCs w:val="false"/>
          <w:sz w:val="20"/>
          <w:szCs w:val="20"/>
          <w:vertAlign w:val="superscript"/>
        </w:rPr>
        <w:t xml:space="preserve">15, 17</w:t>
      </w:r>
    </w:p>
    <w:p>
      <w:pPr>
        <w:pBdr>
          <w:top w:val="single" w:color="D9DEE3" w:sz="2" w:space="6"/>
          <w:left w:val="single" w:color="D9DEE3" w:sz="2" w:space="6"/>
          <w:bottom w:val="single" w:color="D9DEE3" w:sz="2" w:space="6"/>
          <w:right w:val="single" w:color="D9DEE3" w:sz="2" w:space="6"/>
        </w:pBdr>
        <w:shd w:fill="F4F6F8" w:val="clear"/>
        <w:spacing w:after="120" w:before="40"/>
        <w:jc w:val="both"/>
      </w:pPr>
      <w:r>
        <w:rPr>
          <w:rFonts w:ascii="Arial" w:cs="Arial" w:eastAsia="Arial" w:hAnsi="Arial"/>
          <w:b/>
          <w:bCs/>
          <w:i w:val="false"/>
          <w:iCs w:val="false"/>
          <w:sz w:val="20"/>
          <w:szCs w:val="20"/>
        </w:rPr>
        <w:t xml:space="preserve">Manpower: Russia is losing the casualty-versus-recruitment race on headcount, but a hard collapse is not yet confirmed. </w:t>
      </w:r>
      <w:r>
        <w:rPr>
          <w:rFonts w:ascii="Arial" w:cs="Arial" w:eastAsia="Arial" w:hAnsi="Arial"/>
          <w:b w:val="false"/>
          <w:bCs w:val="false"/>
          <w:i w:val="false"/>
          <w:iCs w:val="false"/>
          <w:sz w:val="20"/>
          <w:szCs w:val="20"/>
        </w:rPr>
        <w:t xml:space="preserve">Open sources put Russian losses near 25,000–35,000 a month, while recruitment has slipped about 20 percent to roughly 900–950 a day. For several months, losses have outrun fresh recruitment. But independent analysts caution that irrecoverable losses (the dead and permanently disabled) run lower than the headline casualty figure, and Russia is drawing on reserves. The clearest, most certain effect is on force quality, which is falling. This confirms the Ukraine-favoring direction already in the forecast; it does not justify raising the collapse probability again.</w:t>
      </w:r>
      <w:r>
        <w:rPr>
          <w:rFonts w:ascii="Arial" w:cs="Arial" w:eastAsia="Arial" w:hAnsi="Arial"/>
          <w:b w:val="false"/>
          <w:bCs w:val="false"/>
          <w:i w:val="false"/>
          <w:iCs w:val="false"/>
          <w:sz w:val="20"/>
          <w:szCs w:val="20"/>
          <w:vertAlign w:val="superscript"/>
        </w:rPr>
        <w:t xml:space="preserve">15, 16, 17, 18, 19</w:t>
      </w:r>
    </w:p>
    <w:p>
      <w:pPr>
        <w:pBdr>
          <w:top w:val="single" w:color="D9DEE3" w:sz="2" w:space="6"/>
          <w:left w:val="single" w:color="D9DEE3" w:sz="2" w:space="6"/>
          <w:bottom w:val="single" w:color="D9DEE3" w:sz="2" w:space="6"/>
          <w:right w:val="single" w:color="D9DEE3" w:sz="2" w:space="6"/>
        </w:pBdr>
        <w:shd w:fill="F4F6F8" w:val="clear"/>
        <w:spacing w:after="120" w:before="40"/>
        <w:jc w:val="both"/>
      </w:pPr>
      <w:r>
        <w:rPr>
          <w:rFonts w:ascii="Arial" w:cs="Arial" w:eastAsia="Arial" w:hAnsi="Arial"/>
          <w:b/>
          <w:bCs/>
          <w:i w:val="false"/>
          <w:iCs w:val="false"/>
          <w:sz w:val="20"/>
          <w:szCs w:val="20"/>
        </w:rPr>
        <w:t xml:space="preserve">Western transport networks: a real and active threat, but mostly a parallel crisis, not a war-decider. </w:t>
      </w:r>
      <w:r>
        <w:rPr>
          <w:rFonts w:ascii="Arial" w:cs="Arial" w:eastAsia="Arial" w:hAnsi="Arial"/>
          <w:b w:val="false"/>
          <w:bCs w:val="false"/>
          <w:i w:val="false"/>
          <w:iCs w:val="false"/>
          <w:sz w:val="20"/>
          <w:szCs w:val="20"/>
        </w:rPr>
        <w:t xml:space="preserve">Russia has run a sabotage and “package plot” campaign against European logistics, including incendiary parcels that reached air-cargo hubs. This is serious for transportation security. But it has not decided the battlefield, and an attempt to choke Ukrainian supply this way would more likely harden Western resolve than break it. It feeds the remote wider-war branch without raising it.</w:t>
      </w:r>
      <w:r>
        <w:rPr>
          <w:rFonts w:ascii="Arial" w:cs="Arial" w:eastAsia="Arial" w:hAnsi="Arial"/>
          <w:b w:val="false"/>
          <w:bCs w:val="false"/>
          <w:i w:val="false"/>
          <w:iCs w:val="false"/>
          <w:sz w:val="20"/>
          <w:szCs w:val="20"/>
          <w:vertAlign w:val="superscript"/>
        </w:rPr>
        <w:t xml:space="preserve">20, 21</w:t>
      </w:r>
    </w:p>
    <w:p>
      <w:pPr>
        <w:pBdr>
          <w:top w:val="single" w:color="D9DEE3" w:sz="2" w:space="6"/>
          <w:left w:val="single" w:color="D9DEE3" w:sz="2" w:space="6"/>
          <w:bottom w:val="single" w:color="D9DEE3" w:sz="2" w:space="6"/>
          <w:right w:val="single" w:color="D9DEE3" w:sz="2" w:space="6"/>
        </w:pBdr>
        <w:shd w:fill="F4F6F8" w:val="clear"/>
        <w:spacing w:after="120" w:before="40"/>
        <w:jc w:val="both"/>
      </w:pPr>
      <w:r>
        <w:rPr>
          <w:rFonts w:ascii="Arial" w:cs="Arial" w:eastAsia="Arial" w:hAnsi="Arial"/>
          <w:b/>
          <w:bCs/>
          <w:i w:val="false"/>
          <w:iCs w:val="false"/>
          <w:sz w:val="20"/>
          <w:szCs w:val="20"/>
        </w:rPr>
        <w:t xml:space="preserve">Short-of-war retaliation is near-certain to continue and mostly widens uncertainty. </w:t>
      </w:r>
      <w:r>
        <w:rPr>
          <w:rFonts w:ascii="Arial" w:cs="Arial" w:eastAsia="Arial" w:hAnsi="Arial"/>
          <w:b w:val="false"/>
          <w:bCs w:val="false"/>
          <w:i w:val="false"/>
          <w:iCs w:val="false"/>
          <w:sz w:val="20"/>
          <w:szCs w:val="20"/>
        </w:rPr>
        <w:t xml:space="preserve">Navigation jamming, cyber probing, and influence operations are already constant. They shape behavior more than they break systems. They create a parallel homeland and transport-security risk and widen the forecast's uncertainty band, but they do not move the headline numbers.</w:t>
      </w:r>
      <w:r>
        <w:rPr>
          <w:rFonts w:ascii="Arial" w:cs="Arial" w:eastAsia="Arial" w:hAnsi="Arial"/>
          <w:b w:val="false"/>
          <w:bCs w:val="false"/>
          <w:i w:val="false"/>
          <w:iCs w:val="false"/>
          <w:sz w:val="20"/>
          <w:szCs w:val="20"/>
          <w:vertAlign w:val="superscript"/>
        </w:rPr>
        <w:t xml:space="preserve">22</w:t>
      </w:r>
    </w:p>
    <w:p>
      <w:pPr>
        <w:pBdr>
          <w:top w:val="single" w:color="D9DEE3" w:sz="2" w:space="6"/>
          <w:left w:val="single" w:color="D9DEE3" w:sz="2" w:space="6"/>
          <w:bottom w:val="single" w:color="D9DEE3" w:sz="2" w:space="6"/>
          <w:right w:val="single" w:color="D9DEE3" w:sz="2" w:space="6"/>
        </w:pBdr>
        <w:shd w:fill="F4F6F8" w:val="clear"/>
        <w:spacing w:after="120" w:before="40"/>
        <w:jc w:val="both"/>
      </w:pPr>
      <w:r>
        <w:rPr>
          <w:rFonts w:ascii="Arial" w:cs="Arial" w:eastAsia="Arial" w:hAnsi="Arial"/>
          <w:b/>
          <w:bCs/>
          <w:i w:val="false"/>
          <w:iCs w:val="false"/>
          <w:sz w:val="20"/>
          <w:szCs w:val="20"/>
        </w:rPr>
        <w:t xml:space="preserve">A Russian shift to sparing troops and coercing through infrastructure would push endings toward the middle. </w:t>
      </w:r>
      <w:r>
        <w:rPr>
          <w:rFonts w:ascii="Arial" w:cs="Arial" w:eastAsia="Arial" w:hAnsi="Arial"/>
          <w:b w:val="false"/>
          <w:bCs w:val="false"/>
          <w:i w:val="false"/>
          <w:iCs w:val="false"/>
          <w:sz w:val="20"/>
          <w:szCs w:val="20"/>
        </w:rPr>
        <w:t xml:space="preserve">Russia is already striking Ukrainian energy and rail hard. If it shifts further — sparing its own soldiers and leaning on infrastructure coercion — that would lower the chance of a Russian battlefield collapse and raise the chance of a frozen war or armistice. It would make the war more coercive and less about seizing ground. This is a conditional branch, not the base case, because Russia is still using manpower-heavy attacks now.</w:t>
      </w:r>
      <w:r>
        <w:rPr>
          <w:rFonts w:ascii="Arial" w:cs="Arial" w:eastAsia="Arial" w:hAnsi="Arial"/>
          <w:b w:val="false"/>
          <w:bCs w:val="false"/>
          <w:i w:val="false"/>
          <w:iCs w:val="false"/>
          <w:sz w:val="20"/>
          <w:szCs w:val="20"/>
          <w:vertAlign w:val="superscript"/>
        </w:rPr>
        <w:t xml:space="preserve">23, 24, 25</w:t>
      </w:r>
    </w:p>
    <w:p>
      <w:pPr>
        <w:pStyle w:val="Heading1"/>
        <w:spacing w:after="120" w:before="240"/>
      </w:pPr>
      <w:r>
        <w:rPr>
          <w:rFonts w:ascii="Arial" w:cs="Arial" w:eastAsia="Arial" w:hAnsi="Arial"/>
          <w:b/>
          <w:bCs/>
          <w:color w:val="0B2E4F"/>
          <w:sz w:val="26"/>
          <w:szCs w:val="26"/>
        </w:rPr>
        <w:t xml:space="preserve">Part 1: Does the War End by the End of 2028? (Held at Rev 2.4)</w:t>
      </w:r>
    </w:p>
    <w:p>
      <w:pPr>
        <w:spacing w:after="120"/>
        <w:jc w:val="both"/>
      </w:pPr>
      <w:r>
        <w:rPr>
          <w:rFonts w:ascii="Arial" w:cs="Arial" w:eastAsia="Arial" w:hAnsi="Arial"/>
          <w:b w:val="false"/>
          <w:bCs w:val="false"/>
          <w:i w:val="false"/>
          <w:iCs w:val="false"/>
          <w:sz w:val="20"/>
          <w:szCs w:val="20"/>
        </w:rPr>
        <w:t xml:space="preserve">The base case carried forward here rests on the evidentiary foundation built across Revisions 2.1 through 2.4: war-termination timing, peace-process status, the drone-enabled attrition shift, the southern logistics campaign, the deep-strike program, and the two-sided oil-economy picture.</w:t>
      </w:r>
      <w:r>
        <w:rPr>
          <w:rFonts w:ascii="Arial" w:cs="Arial" w:eastAsia="Arial" w:hAnsi="Arial"/>
          <w:b w:val="false"/>
          <w:bCs w:val="false"/>
          <w:i w:val="false"/>
          <w:iCs w:val="false"/>
          <w:sz w:val="20"/>
          <w:szCs w:val="20"/>
          <w:vertAlign w:val="superscript"/>
        </w:rPr>
        <w:t xml:space="preserve"> 1, 3, 5, 6, 7, 8, 9, 10, 12, 13, 14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1440"/>
        <w:gridCol w:w="3600"/>
      </w:tblGrid>
      <w:tr>
        <w:trPr>
          <w:tblHeader/>
        </w:trPr>
        <w:tc>
          <w:tcPr>
            <w:tcW w:type="dxa" w:w="2880"/>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left"/>
            </w:pPr>
            <w:r>
              <w:rPr>
                <w:rFonts w:ascii="Arial" w:cs="Arial" w:eastAsia="Arial" w:hAnsi="Arial"/>
                <w:b/>
                <w:bCs/>
                <w:color w:val="FFFFFF"/>
                <w:sz w:val="17"/>
                <w:szCs w:val="17"/>
              </w:rPr>
              <w:t xml:space="preserve">Outcome</w:t>
            </w:r>
          </w:p>
        </w:tc>
        <w:tc>
          <w:tcPr>
            <w:tcW w:type="dxa" w:w="1440"/>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center"/>
            </w:pPr>
            <w:r>
              <w:rPr>
                <w:rFonts w:ascii="Arial" w:cs="Arial" w:eastAsia="Arial" w:hAnsi="Arial"/>
                <w:b/>
                <w:bCs/>
                <w:color w:val="FFFFFF"/>
                <w:sz w:val="17"/>
                <w:szCs w:val="17"/>
              </w:rPr>
              <w:t xml:space="preserve">Rev 2.4</w:t>
            </w:r>
          </w:p>
        </w:tc>
        <w:tc>
          <w:tcPr>
            <w:tcW w:type="dxa" w:w="1440"/>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center"/>
            </w:pPr>
            <w:r>
              <w:rPr>
                <w:rFonts w:ascii="Arial" w:cs="Arial" w:eastAsia="Arial" w:hAnsi="Arial"/>
                <w:b/>
                <w:bCs/>
                <w:color w:val="FFFFFF"/>
                <w:sz w:val="17"/>
                <w:szCs w:val="17"/>
              </w:rPr>
              <w:t xml:space="preserve">Rev 2.5</w:t>
            </w:r>
          </w:p>
        </w:tc>
        <w:tc>
          <w:tcPr>
            <w:tcW w:type="dxa" w:w="3600"/>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center"/>
            </w:pPr>
            <w:r>
              <w:rPr>
                <w:rFonts w:ascii="Arial" w:cs="Arial" w:eastAsia="Arial" w:hAnsi="Arial"/>
                <w:b/>
                <w:bCs/>
                <w:color w:val="FFFFFF"/>
                <w:sz w:val="17"/>
                <w:szCs w:val="17"/>
              </w:rPr>
              <w:t xml:space="preserve">Likelihood word</w:t>
            </w:r>
          </w:p>
        </w:tc>
      </w:tr>
      <w:tr>
        <w:tc>
          <w:tcPr>
            <w:tcW w:type="dxa" w:w="28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Fighting ends by end of 2028</w:t>
            </w:r>
          </w:p>
        </w:tc>
        <w:tc>
          <w:tcPr>
            <w:tcW w:type="dxa" w:w="14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~35%</w:t>
            </w:r>
          </w:p>
        </w:tc>
        <w:tc>
          <w:tcPr>
            <w:tcW w:type="dxa" w:w="14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~35%</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Unlikely (20–45%)</w:t>
            </w:r>
          </w:p>
        </w:tc>
      </w:tr>
      <w:tr>
        <w:tc>
          <w:tcPr>
            <w:tcW w:type="dxa" w:w="288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War continues into 2029 or later</w:t>
            </w:r>
          </w:p>
        </w:tc>
        <w:tc>
          <w:tcPr>
            <w:tcW w:type="dxa" w:w="144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~65%</w:t>
            </w:r>
          </w:p>
        </w:tc>
        <w:tc>
          <w:tcPr>
            <w:tcW w:type="dxa" w:w="144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~65%</w:t>
            </w:r>
          </w:p>
        </w:tc>
        <w:tc>
          <w:tcPr>
            <w:tcW w:type="dxa" w:w="36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Likely (55–80%)</w:t>
            </w:r>
          </w:p>
        </w:tc>
      </w:tr>
      <w:tr>
        <w:tc>
          <w:tcPr>
            <w:tcW w:type="dxa" w:w="28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Still going after 2032</w:t>
            </w:r>
          </w:p>
        </w:tc>
        <w:tc>
          <w:tcPr>
            <w:tcW w:type="dxa" w:w="14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~45%</w:t>
            </w:r>
          </w:p>
        </w:tc>
        <w:tc>
          <w:tcPr>
            <w:tcW w:type="dxa" w:w="14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~45%</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Roughly even odds</w:t>
            </w:r>
          </w:p>
        </w:tc>
      </w:tr>
    </w:tbl>
    <w:p>
      <w:pPr>
        <w:spacing w:after="40"/>
      </w:pPr>
    </w:p>
    <w:p>
      <w:pPr>
        <w:pStyle w:val="Heading2"/>
        <w:spacing w:after="80" w:before="160"/>
      </w:pPr>
      <w:r>
        <w:rPr>
          <w:rFonts w:ascii="Arial" w:cs="Arial" w:eastAsia="Arial" w:hAnsi="Arial"/>
          <w:b/>
          <w:bCs/>
          <w:color w:val="204060"/>
          <w:sz w:val="22"/>
          <w:szCs w:val="22"/>
        </w:rPr>
        <w:t xml:space="preserve">Year-by-year cumulative chance the war has ended (rounded to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029"/>
        <w:gridCol w:w="1029"/>
        <w:gridCol w:w="1029"/>
        <w:gridCol w:w="1029"/>
        <w:gridCol w:w="1029"/>
        <w:gridCol w:w="1028"/>
        <w:gridCol w:w="1027"/>
      </w:tblGrid>
      <w:tr>
        <w:trPr>
          <w:tblHeader/>
        </w:trPr>
        <w:tc>
          <w:tcPr>
            <w:tcW w:type="dxa" w:w="2160"/>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left"/>
            </w:pPr>
            <w:r>
              <w:rPr>
                <w:rFonts w:ascii="Arial" w:cs="Arial" w:eastAsia="Arial" w:hAnsi="Arial"/>
                <w:b/>
                <w:bCs/>
                <w:color w:val="FFFFFF"/>
                <w:sz w:val="17"/>
                <w:szCs w:val="17"/>
              </w:rPr>
              <w:t xml:space="preserve">Year</w:t>
            </w:r>
          </w:p>
        </w:tc>
        <w:tc>
          <w:tcPr>
            <w:tcW w:type="dxa" w:w="1029"/>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center"/>
            </w:pPr>
            <w:r>
              <w:rPr>
                <w:rFonts w:ascii="Arial" w:cs="Arial" w:eastAsia="Arial" w:hAnsi="Arial"/>
                <w:b/>
                <w:bCs/>
                <w:color w:val="FFFFFF"/>
                <w:sz w:val="17"/>
                <w:szCs w:val="17"/>
              </w:rPr>
              <w:t xml:space="preserve">2026</w:t>
            </w:r>
          </w:p>
        </w:tc>
        <w:tc>
          <w:tcPr>
            <w:tcW w:type="dxa" w:w="1029"/>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center"/>
            </w:pPr>
            <w:r>
              <w:rPr>
                <w:rFonts w:ascii="Arial" w:cs="Arial" w:eastAsia="Arial" w:hAnsi="Arial"/>
                <w:b/>
                <w:bCs/>
                <w:color w:val="FFFFFF"/>
                <w:sz w:val="17"/>
                <w:szCs w:val="17"/>
              </w:rPr>
              <w:t xml:space="preserve">2027</w:t>
            </w:r>
          </w:p>
        </w:tc>
        <w:tc>
          <w:tcPr>
            <w:tcW w:type="dxa" w:w="1029"/>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center"/>
            </w:pPr>
            <w:r>
              <w:rPr>
                <w:rFonts w:ascii="Arial" w:cs="Arial" w:eastAsia="Arial" w:hAnsi="Arial"/>
                <w:b/>
                <w:bCs/>
                <w:color w:val="FFFFFF"/>
                <w:sz w:val="17"/>
                <w:szCs w:val="17"/>
              </w:rPr>
              <w:t xml:space="preserve">2028</w:t>
            </w:r>
          </w:p>
        </w:tc>
        <w:tc>
          <w:tcPr>
            <w:tcW w:type="dxa" w:w="1029"/>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center"/>
            </w:pPr>
            <w:r>
              <w:rPr>
                <w:rFonts w:ascii="Arial" w:cs="Arial" w:eastAsia="Arial" w:hAnsi="Arial"/>
                <w:b/>
                <w:bCs/>
                <w:color w:val="FFFFFF"/>
                <w:sz w:val="17"/>
                <w:szCs w:val="17"/>
              </w:rPr>
              <w:t xml:space="preserve">2029</w:t>
            </w:r>
          </w:p>
        </w:tc>
        <w:tc>
          <w:tcPr>
            <w:tcW w:type="dxa" w:w="1029"/>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center"/>
            </w:pPr>
            <w:r>
              <w:rPr>
                <w:rFonts w:ascii="Arial" w:cs="Arial" w:eastAsia="Arial" w:hAnsi="Arial"/>
                <w:b/>
                <w:bCs/>
                <w:color w:val="FFFFFF"/>
                <w:sz w:val="17"/>
                <w:szCs w:val="17"/>
              </w:rPr>
              <w:t xml:space="preserve">2030</w:t>
            </w:r>
          </w:p>
        </w:tc>
        <w:tc>
          <w:tcPr>
            <w:tcW w:type="dxa" w:w="1028"/>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center"/>
            </w:pPr>
            <w:r>
              <w:rPr>
                <w:rFonts w:ascii="Arial" w:cs="Arial" w:eastAsia="Arial" w:hAnsi="Arial"/>
                <w:b/>
                <w:bCs/>
                <w:color w:val="FFFFFF"/>
                <w:sz w:val="17"/>
                <w:szCs w:val="17"/>
              </w:rPr>
              <w:t xml:space="preserve">2031</w:t>
            </w:r>
          </w:p>
        </w:tc>
        <w:tc>
          <w:tcPr>
            <w:tcW w:type="dxa" w:w="1027"/>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center"/>
            </w:pPr>
            <w:r>
              <w:rPr>
                <w:rFonts w:ascii="Arial" w:cs="Arial" w:eastAsia="Arial" w:hAnsi="Arial"/>
                <w:b/>
                <w:bCs/>
                <w:color w:val="FFFFFF"/>
                <w:sz w:val="17"/>
                <w:szCs w:val="17"/>
              </w:rPr>
              <w:t xml:space="preserve">2032</w:t>
            </w:r>
          </w:p>
        </w:tc>
      </w:tr>
      <w:tr>
        <w:tc>
          <w:tcPr>
            <w:tcW w:type="dxa" w:w="2160"/>
            <w:tcBorders>
              <w:top w:val="single" w:color="CCCCCC" w:sz="1"/>
              <w:left w:val="single" w:color="CCCCCC" w:sz="1"/>
              <w:bottom w:val="single" w:color="CCCCCC" w:sz="1"/>
              <w:right w:val="single" w:color="CCCCCC" w:sz="1"/>
            </w:tcBorders>
            <w:shd w:fill="ECEFF3" w:val="clear"/>
            <w:tcMar>
              <w:top w:type="dxa" w:w="60"/>
              <w:left w:type="dxa" w:w="110"/>
              <w:bottom w:type="dxa" w:w="60"/>
              <w:right w:type="dxa" w:w="110"/>
            </w:tcMar>
            <w:vAlign w:val="center"/>
          </w:tcPr>
          <w:p>
            <w:pPr>
              <w:jc w:val="left"/>
            </w:pPr>
            <w:r>
              <w:rPr>
                <w:rFonts w:ascii="Arial" w:cs="Arial" w:eastAsia="Arial" w:hAnsi="Arial"/>
                <w:b/>
                <w:bCs/>
                <w:sz w:val="17"/>
                <w:szCs w:val="17"/>
              </w:rPr>
              <w:t xml:space="preserve">Chance ended by year end</w:t>
            </w:r>
          </w:p>
        </w:tc>
        <w:tc>
          <w:tcPr>
            <w:tcW w:type="dxa" w:w="1029"/>
            <w:tcBorders>
              <w:top w:val="single" w:color="CCCCCC" w:sz="1"/>
              <w:left w:val="single" w:color="CCCCCC" w:sz="1"/>
              <w:bottom w:val="single" w:color="CCCCCC" w:sz="1"/>
              <w:right w:val="single" w:color="CCCCCC" w:sz="1"/>
            </w:tcBorders>
            <w:shd w:fill="ECEFF3"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~10%</w:t>
            </w:r>
          </w:p>
        </w:tc>
        <w:tc>
          <w:tcPr>
            <w:tcW w:type="dxa" w:w="1029"/>
            <w:tcBorders>
              <w:top w:val="single" w:color="CCCCCC" w:sz="1"/>
              <w:left w:val="single" w:color="CCCCCC" w:sz="1"/>
              <w:bottom w:val="single" w:color="CCCCCC" w:sz="1"/>
              <w:right w:val="single" w:color="CCCCCC" w:sz="1"/>
            </w:tcBorders>
            <w:shd w:fill="ECEFF3"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~25%</w:t>
            </w:r>
          </w:p>
        </w:tc>
        <w:tc>
          <w:tcPr>
            <w:tcW w:type="dxa" w:w="1029"/>
            <w:tcBorders>
              <w:top w:val="single" w:color="CCCCCC" w:sz="1"/>
              <w:left w:val="single" w:color="CCCCCC" w:sz="1"/>
              <w:bottom w:val="single" w:color="CCCCCC" w:sz="1"/>
              <w:right w:val="single" w:color="CCCCCC" w:sz="1"/>
            </w:tcBorders>
            <w:shd w:fill="ECEFF3"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~35%</w:t>
            </w:r>
          </w:p>
        </w:tc>
        <w:tc>
          <w:tcPr>
            <w:tcW w:type="dxa" w:w="1029"/>
            <w:tcBorders>
              <w:top w:val="single" w:color="CCCCCC" w:sz="1"/>
              <w:left w:val="single" w:color="CCCCCC" w:sz="1"/>
              <w:bottom w:val="single" w:color="CCCCCC" w:sz="1"/>
              <w:right w:val="single" w:color="CCCCCC" w:sz="1"/>
            </w:tcBorders>
            <w:shd w:fill="ECEFF3"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~45%</w:t>
            </w:r>
          </w:p>
        </w:tc>
        <w:tc>
          <w:tcPr>
            <w:tcW w:type="dxa" w:w="1029"/>
            <w:tcBorders>
              <w:top w:val="single" w:color="CCCCCC" w:sz="1"/>
              <w:left w:val="single" w:color="CCCCCC" w:sz="1"/>
              <w:bottom w:val="single" w:color="CCCCCC" w:sz="1"/>
              <w:right w:val="single" w:color="CCCCCC" w:sz="1"/>
            </w:tcBorders>
            <w:shd w:fill="ECEFF3"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~50%</w:t>
            </w:r>
          </w:p>
        </w:tc>
        <w:tc>
          <w:tcPr>
            <w:tcW w:type="dxa" w:w="1028"/>
            <w:tcBorders>
              <w:top w:val="single" w:color="CCCCCC" w:sz="1"/>
              <w:left w:val="single" w:color="CCCCCC" w:sz="1"/>
              <w:bottom w:val="single" w:color="CCCCCC" w:sz="1"/>
              <w:right w:val="single" w:color="CCCCCC" w:sz="1"/>
            </w:tcBorders>
            <w:shd w:fill="ECEFF3"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~50%</w:t>
            </w:r>
          </w:p>
        </w:tc>
        <w:tc>
          <w:tcPr>
            <w:tcW w:type="dxa" w:w="1027"/>
            <w:tcBorders>
              <w:top w:val="single" w:color="CCCCCC" w:sz="1"/>
              <w:left w:val="single" w:color="CCCCCC" w:sz="1"/>
              <w:bottom w:val="single" w:color="CCCCCC" w:sz="1"/>
              <w:right w:val="single" w:color="CCCCCC" w:sz="1"/>
            </w:tcBorders>
            <w:shd w:fill="ECEFF3"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~55%</w:t>
            </w:r>
          </w:p>
        </w:tc>
      </w:tr>
    </w:tbl>
    <w:p>
      <w:pPr>
        <w:spacing w:after="60"/>
      </w:pPr>
    </w:p>
    <w:p>
      <w:pPr>
        <w:pStyle w:val="Heading1"/>
        <w:spacing w:after="120" w:before="240"/>
      </w:pPr>
      <w:r>
        <w:rPr>
          <w:rFonts w:ascii="Arial" w:cs="Arial" w:eastAsia="Arial" w:hAnsi="Arial"/>
          <w:b/>
          <w:bCs/>
          <w:color w:val="0B2E4F"/>
          <w:sz w:val="26"/>
          <w:szCs w:val="26"/>
        </w:rPr>
        <w:t xml:space="preserve">Part 2: If the War Ends, How? (Base Case Held)</w:t>
      </w:r>
    </w:p>
    <w:p>
      <w:pPr>
        <w:spacing w:after="120"/>
        <w:jc w:val="both"/>
      </w:pPr>
      <w:r>
        <w:rPr>
          <w:rFonts w:ascii="Arial" w:cs="Arial" w:eastAsia="Arial" w:hAnsi="Arial"/>
          <w:b w:val="false"/>
          <w:bCs w:val="false"/>
          <w:i w:val="false"/>
          <w:iCs w:val="false"/>
          <w:sz w:val="20"/>
          <w:szCs w:val="20"/>
        </w:rPr>
        <w:t xml:space="preserve">Conditional probabilities assume the war ends by 2032 and add to 100 percent. The base case is unchanged from Revision 2.4. The reviewer issues move these figures only inside the sensitivity branches shown later, not in the base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080"/>
        <w:gridCol w:w="1080"/>
        <w:gridCol w:w="1080"/>
        <w:gridCol w:w="2620"/>
      </w:tblGrid>
      <w:tr>
        <w:trPr>
          <w:tblHeader/>
        </w:trPr>
        <w:tc>
          <w:tcPr>
            <w:tcW w:type="dxa" w:w="3500"/>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left"/>
            </w:pPr>
            <w:r>
              <w:rPr>
                <w:rFonts w:ascii="Arial" w:cs="Arial" w:eastAsia="Arial" w:hAnsi="Arial"/>
                <w:b/>
                <w:bCs/>
                <w:color w:val="FFFFFF"/>
                <w:sz w:val="17"/>
                <w:szCs w:val="17"/>
              </w:rPr>
              <w:t xml:space="preserve">Ending (defined next section)</w:t>
            </w:r>
          </w:p>
        </w:tc>
        <w:tc>
          <w:tcPr>
            <w:tcW w:type="dxa" w:w="1080"/>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center"/>
            </w:pPr>
            <w:r>
              <w:rPr>
                <w:rFonts w:ascii="Arial" w:cs="Arial" w:eastAsia="Arial" w:hAnsi="Arial"/>
                <w:b/>
                <w:bCs/>
                <w:color w:val="FFFFFF"/>
                <w:sz w:val="17"/>
                <w:szCs w:val="17"/>
              </w:rPr>
              <w:t xml:space="preserve">Rev 2.5 conditional</w:t>
            </w:r>
          </w:p>
        </w:tc>
        <w:tc>
          <w:tcPr>
            <w:tcW w:type="dxa" w:w="1080"/>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center"/>
            </w:pPr>
            <w:r>
              <w:rPr>
                <w:rFonts w:ascii="Arial" w:cs="Arial" w:eastAsia="Arial" w:hAnsi="Arial"/>
                <w:b/>
                <w:bCs/>
                <w:color w:val="FFFFFF"/>
                <w:sz w:val="17"/>
                <w:szCs w:val="17"/>
              </w:rPr>
              <w:t xml:space="preserve">Rev 2.4 conditional</w:t>
            </w:r>
          </w:p>
        </w:tc>
        <w:tc>
          <w:tcPr>
            <w:tcW w:type="dxa" w:w="1080"/>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center"/>
            </w:pPr>
            <w:r>
              <w:rPr>
                <w:rFonts w:ascii="Arial" w:cs="Arial" w:eastAsia="Arial" w:hAnsi="Arial"/>
                <w:b/>
                <w:bCs/>
                <w:color w:val="FFFFFF"/>
                <w:sz w:val="17"/>
                <w:szCs w:val="17"/>
              </w:rPr>
              <w:t xml:space="preserve">Rev 2.5 marginal</w:t>
            </w:r>
          </w:p>
        </w:tc>
        <w:tc>
          <w:tcPr>
            <w:tcW w:type="dxa" w:w="2620"/>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center"/>
            </w:pPr>
            <w:r>
              <w:rPr>
                <w:rFonts w:ascii="Arial" w:cs="Arial" w:eastAsia="Arial" w:hAnsi="Arial"/>
                <w:b/>
                <w:bCs/>
                <w:color w:val="FFFFFF"/>
                <w:sz w:val="17"/>
                <w:szCs w:val="17"/>
              </w:rPr>
              <w:t xml:space="preserve">Likelihood word</w:t>
            </w:r>
          </w:p>
        </w:tc>
      </w:tr>
      <w:tr>
        <w:tc>
          <w:tcPr>
            <w:tcW w:type="dxa" w:w="3500"/>
            <w:tcBorders>
              <w:top w:val="single" w:color="CCCCCC" w:sz="1"/>
              <w:left w:val="single" w:color="CCCCCC" w:sz="1"/>
              <w:bottom w:val="single" w:color="CCCCCC" w:sz="1"/>
              <w:right w:val="single" w:color="CCCCCC" w:sz="1"/>
            </w:tcBorders>
            <w:shd w:fill="FFF6DC"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Armistice along current lines</w:t>
            </w:r>
          </w:p>
        </w:tc>
        <w:tc>
          <w:tcPr>
            <w:tcW w:type="dxa" w:w="1080"/>
            <w:tcBorders>
              <w:top w:val="single" w:color="CCCCCC" w:sz="1"/>
              <w:left w:val="single" w:color="CCCCCC" w:sz="1"/>
              <w:bottom w:val="single" w:color="CCCCCC" w:sz="1"/>
              <w:right w:val="single" w:color="CCCCCC" w:sz="1"/>
            </w:tcBorders>
            <w:shd w:fill="FFF6DC"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~35%</w:t>
            </w:r>
          </w:p>
        </w:tc>
        <w:tc>
          <w:tcPr>
            <w:tcW w:type="dxa" w:w="1080"/>
            <w:tcBorders>
              <w:top w:val="single" w:color="CCCCCC" w:sz="1"/>
              <w:left w:val="single" w:color="CCCCCC" w:sz="1"/>
              <w:bottom w:val="single" w:color="CCCCCC" w:sz="1"/>
              <w:right w:val="single" w:color="CCCCCC" w:sz="1"/>
            </w:tcBorders>
            <w:shd w:fill="FFF6DC"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~35%</w:t>
            </w:r>
          </w:p>
        </w:tc>
        <w:tc>
          <w:tcPr>
            <w:tcW w:type="dxa" w:w="1080"/>
            <w:tcBorders>
              <w:top w:val="single" w:color="CCCCCC" w:sz="1"/>
              <w:left w:val="single" w:color="CCCCCC" w:sz="1"/>
              <w:bottom w:val="single" w:color="CCCCCC" w:sz="1"/>
              <w:right w:val="single" w:color="CCCCCC" w:sz="1"/>
            </w:tcBorders>
            <w:shd w:fill="FFF6DC"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~19%</w:t>
            </w:r>
          </w:p>
        </w:tc>
        <w:tc>
          <w:tcPr>
            <w:tcW w:type="dxa" w:w="2620"/>
            <w:tcBorders>
              <w:top w:val="single" w:color="CCCCCC" w:sz="1"/>
              <w:left w:val="single" w:color="CCCCCC" w:sz="1"/>
              <w:bottom w:val="single" w:color="CCCCCC" w:sz="1"/>
              <w:right w:val="single" w:color="CCCCCC" w:sz="1"/>
            </w:tcBorders>
            <w:shd w:fill="FFF6DC"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Unlikely</w:t>
            </w:r>
          </w:p>
        </w:tc>
      </w:tr>
      <w:tr>
        <w:tc>
          <w:tcPr>
            <w:tcW w:type="dxa" w:w="3500"/>
            <w:tcBorders>
              <w:top w:val="single" w:color="CCCCCC" w:sz="1"/>
              <w:left w:val="single" w:color="CCCCCC" w:sz="1"/>
              <w:bottom w:val="single" w:color="CCCCCC" w:sz="1"/>
              <w:right w:val="single" w:color="CCCCCC" w:sz="1"/>
            </w:tcBorders>
            <w:shd w:fill="E8F4E8"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Russian military collapse</w:t>
            </w:r>
          </w:p>
        </w:tc>
        <w:tc>
          <w:tcPr>
            <w:tcW w:type="dxa" w:w="1080"/>
            <w:tcBorders>
              <w:top w:val="single" w:color="CCCCCC" w:sz="1"/>
              <w:left w:val="single" w:color="CCCCCC" w:sz="1"/>
              <w:bottom w:val="single" w:color="CCCCCC" w:sz="1"/>
              <w:right w:val="single" w:color="CCCCCC" w:sz="1"/>
            </w:tcBorders>
            <w:shd w:fill="E8F4E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~15%</w:t>
            </w:r>
          </w:p>
        </w:tc>
        <w:tc>
          <w:tcPr>
            <w:tcW w:type="dxa" w:w="1080"/>
            <w:tcBorders>
              <w:top w:val="single" w:color="CCCCCC" w:sz="1"/>
              <w:left w:val="single" w:color="CCCCCC" w:sz="1"/>
              <w:bottom w:val="single" w:color="CCCCCC" w:sz="1"/>
              <w:right w:val="single" w:color="CCCCCC" w:sz="1"/>
            </w:tcBorders>
            <w:shd w:fill="E8F4E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~15%</w:t>
            </w:r>
          </w:p>
        </w:tc>
        <w:tc>
          <w:tcPr>
            <w:tcW w:type="dxa" w:w="1080"/>
            <w:tcBorders>
              <w:top w:val="single" w:color="CCCCCC" w:sz="1"/>
              <w:left w:val="single" w:color="CCCCCC" w:sz="1"/>
              <w:bottom w:val="single" w:color="CCCCCC" w:sz="1"/>
              <w:right w:val="single" w:color="CCCCCC" w:sz="1"/>
            </w:tcBorders>
            <w:shd w:fill="E8F4E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~8%</w:t>
            </w:r>
          </w:p>
        </w:tc>
        <w:tc>
          <w:tcPr>
            <w:tcW w:type="dxa" w:w="2620"/>
            <w:tcBorders>
              <w:top w:val="single" w:color="CCCCCC" w:sz="1"/>
              <w:left w:val="single" w:color="CCCCCC" w:sz="1"/>
              <w:bottom w:val="single" w:color="CCCCCC" w:sz="1"/>
              <w:right w:val="single" w:color="CCCCCC" w:sz="1"/>
            </w:tcBorders>
            <w:shd w:fill="E8F4E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Very unlikely</w:t>
            </w:r>
          </w:p>
        </w:tc>
      </w:tr>
      <w:tr>
        <w:tc>
          <w:tcPr>
            <w:tcW w:type="dxa" w:w="3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Comprehensive negotiated settlement</w:t>
            </w:r>
          </w:p>
        </w:tc>
        <w:tc>
          <w:tcPr>
            <w:tcW w:type="dxa" w:w="10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~15%</w:t>
            </w:r>
          </w:p>
        </w:tc>
        <w:tc>
          <w:tcPr>
            <w:tcW w:type="dxa" w:w="10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~15%</w:t>
            </w:r>
          </w:p>
        </w:tc>
        <w:tc>
          <w:tcPr>
            <w:tcW w:type="dxa" w:w="10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~8%</w:t>
            </w:r>
          </w:p>
        </w:tc>
        <w:tc>
          <w:tcPr>
            <w:tcW w:type="dxa" w:w="2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Very unlikely</w:t>
            </w:r>
          </w:p>
        </w:tc>
      </w:tr>
      <w:tr>
        <w:tc>
          <w:tcPr>
            <w:tcW w:type="dxa" w:w="35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De facto frozen war (no formal deal)</w:t>
            </w:r>
          </w:p>
        </w:tc>
        <w:tc>
          <w:tcPr>
            <w:tcW w:type="dxa" w:w="108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~15%</w:t>
            </w:r>
          </w:p>
        </w:tc>
        <w:tc>
          <w:tcPr>
            <w:tcW w:type="dxa" w:w="108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~15%</w:t>
            </w:r>
          </w:p>
        </w:tc>
        <w:tc>
          <w:tcPr>
            <w:tcW w:type="dxa" w:w="108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~8%</w:t>
            </w:r>
          </w:p>
        </w:tc>
        <w:tc>
          <w:tcPr>
            <w:tcW w:type="dxa" w:w="262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Very unlikely</w:t>
            </w:r>
          </w:p>
        </w:tc>
      </w:tr>
      <w:tr>
        <w:tc>
          <w:tcPr>
            <w:tcW w:type="dxa" w:w="3500"/>
            <w:tcBorders>
              <w:top w:val="single" w:color="CCCCCC" w:sz="1"/>
              <w:left w:val="single" w:color="CCCCCC" w:sz="1"/>
              <w:bottom w:val="single" w:color="CCCCCC" w:sz="1"/>
              <w:right w:val="single" w:color="CCCCCC" w:sz="1"/>
            </w:tcBorders>
            <w:shd w:fill="FDEAEA"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Ukrainian forced concession of land</w:t>
            </w:r>
          </w:p>
        </w:tc>
        <w:tc>
          <w:tcPr>
            <w:tcW w:type="dxa" w:w="1080"/>
            <w:tcBorders>
              <w:top w:val="single" w:color="CCCCCC" w:sz="1"/>
              <w:left w:val="single" w:color="CCCCCC" w:sz="1"/>
              <w:bottom w:val="single" w:color="CCCCCC" w:sz="1"/>
              <w:right w:val="single" w:color="CCCCCC" w:sz="1"/>
            </w:tcBorders>
            <w:shd w:fill="FDEAE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~10%</w:t>
            </w:r>
          </w:p>
        </w:tc>
        <w:tc>
          <w:tcPr>
            <w:tcW w:type="dxa" w:w="1080"/>
            <w:tcBorders>
              <w:top w:val="single" w:color="CCCCCC" w:sz="1"/>
              <w:left w:val="single" w:color="CCCCCC" w:sz="1"/>
              <w:bottom w:val="single" w:color="CCCCCC" w:sz="1"/>
              <w:right w:val="single" w:color="CCCCCC" w:sz="1"/>
            </w:tcBorders>
            <w:shd w:fill="FDEAE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~10%</w:t>
            </w:r>
          </w:p>
        </w:tc>
        <w:tc>
          <w:tcPr>
            <w:tcW w:type="dxa" w:w="1080"/>
            <w:tcBorders>
              <w:top w:val="single" w:color="CCCCCC" w:sz="1"/>
              <w:left w:val="single" w:color="CCCCCC" w:sz="1"/>
              <w:bottom w:val="single" w:color="CCCCCC" w:sz="1"/>
              <w:right w:val="single" w:color="CCCCCC" w:sz="1"/>
            </w:tcBorders>
            <w:shd w:fill="FDEAE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w:t>
            </w:r>
          </w:p>
        </w:tc>
        <w:tc>
          <w:tcPr>
            <w:tcW w:type="dxa" w:w="2620"/>
            <w:tcBorders>
              <w:top w:val="single" w:color="CCCCCC" w:sz="1"/>
              <w:left w:val="single" w:color="CCCCCC" w:sz="1"/>
              <w:bottom w:val="single" w:color="CCCCCC" w:sz="1"/>
              <w:right w:val="single" w:color="CCCCCC" w:sz="1"/>
            </w:tcBorders>
            <w:shd w:fill="FDEAE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Very unlikely</w:t>
            </w:r>
          </w:p>
        </w:tc>
      </w:tr>
      <w:tr>
        <w:tc>
          <w:tcPr>
            <w:tcW w:type="dxa" w:w="3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Russian regime change ends the war</w:t>
            </w:r>
          </w:p>
        </w:tc>
        <w:tc>
          <w:tcPr>
            <w:tcW w:type="dxa" w:w="10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w:t>
            </w:r>
          </w:p>
        </w:tc>
        <w:tc>
          <w:tcPr>
            <w:tcW w:type="dxa" w:w="10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w:t>
            </w:r>
          </w:p>
        </w:tc>
        <w:tc>
          <w:tcPr>
            <w:tcW w:type="dxa" w:w="10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w:t>
            </w:r>
          </w:p>
        </w:tc>
        <w:tc>
          <w:tcPr>
            <w:tcW w:type="dxa" w:w="2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Very unlikely</w:t>
            </w:r>
          </w:p>
        </w:tc>
      </w:tr>
      <w:tr>
        <w:tc>
          <w:tcPr>
            <w:tcW w:type="dxa" w:w="35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Escalation to a wider war</w:t>
            </w:r>
          </w:p>
        </w:tc>
        <w:tc>
          <w:tcPr>
            <w:tcW w:type="dxa" w:w="108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w:t>
            </w:r>
          </w:p>
        </w:tc>
        <w:tc>
          <w:tcPr>
            <w:tcW w:type="dxa" w:w="108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w:t>
            </w:r>
          </w:p>
        </w:tc>
        <w:tc>
          <w:tcPr>
            <w:tcW w:type="dxa" w:w="108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w:t>
            </w:r>
          </w:p>
        </w:tc>
        <w:tc>
          <w:tcPr>
            <w:tcW w:type="dxa" w:w="262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Remote</w:t>
            </w:r>
          </w:p>
        </w:tc>
      </w:tr>
    </w:tbl>
    <w:p>
      <w:pPr>
        <w:spacing w:after="100"/>
        <w:jc w:val="both"/>
      </w:pPr>
      <w:r>
        <w:rPr>
          <w:rFonts w:ascii="Arial" w:cs="Arial" w:eastAsia="Arial" w:hAnsi="Arial"/>
          <w:b w:val="false"/>
          <w:bCs w:val="false"/>
          <w:i w:val="false"/>
          <w:iCs w:val="false"/>
          <w:color w:val="444444"/>
          <w:sz w:val="17"/>
          <w:szCs w:val="17"/>
        </w:rPr>
        <w:t xml:space="preserve">Base case unchanged. The four reviewer issues redistribute these weights only inside the conditional branches in the next major section, where each branch is clearly labelled as a sensitivity, not the forecast.</w:t>
      </w:r>
    </w:p>
    <w:p>
      <w:r>
        <w:br w:type="page"/>
      </w:r>
    </w:p>
    <w:p>
      <w:pPr>
        <w:pStyle w:val="Heading1"/>
        <w:spacing w:after="120" w:before="240"/>
      </w:pPr>
      <w:r>
        <w:rPr>
          <w:rFonts w:ascii="Arial" w:cs="Arial" w:eastAsia="Arial" w:hAnsi="Arial"/>
          <w:b/>
          <w:bCs/>
          <w:color w:val="0B2E4F"/>
          <w:sz w:val="26"/>
          <w:szCs w:val="26"/>
        </w:rPr>
        <w:t xml:space="preserve">Scenario Definitions</w:t>
      </w:r>
    </w:p>
    <w:p>
      <w:pPr>
        <w:spacing w:after="120"/>
        <w:jc w:val="both"/>
      </w:pPr>
      <w:r>
        <w:rPr>
          <w:rFonts w:ascii="Arial" w:cs="Arial" w:eastAsia="Arial" w:hAnsi="Arial"/>
          <w:b w:val="false"/>
          <w:bCs w:val="false"/>
          <w:i w:val="false"/>
          <w:iCs w:val="false"/>
          <w:sz w:val="20"/>
          <w:szCs w:val="20"/>
        </w:rPr>
        <w:t xml:space="preserve">Each ending is defined below: its core assumption, what drives it, and how it differs from its neighbors. The seven endings form a spectrum from a bad Russian outcome to a bad Ukrainian outcome, with partial outcomes in the middle. Revision 2.5 adds, where relevant, how a Russian force-preservation strategy would affect each one.</w:t>
      </w:r>
    </w:p>
    <w:p>
      <w:pPr>
        <w:pStyle w:val="Heading2"/>
        <w:spacing w:after="80" w:before="160"/>
      </w:pPr>
      <w:r>
        <w:rPr>
          <w:rFonts w:ascii="Arial" w:cs="Arial" w:eastAsia="Arial" w:hAnsi="Arial"/>
          <w:b/>
          <w:bCs/>
          <w:color w:val="204060"/>
          <w:sz w:val="22"/>
          <w:szCs w:val="22"/>
        </w:rPr>
        <w:t xml:space="preserve">1. Russian military collapse (best case for Ukraine)</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Assumption: </w:t>
      </w:r>
      <w:r>
        <w:rPr>
          <w:rFonts w:ascii="Arial" w:cs="Arial" w:eastAsia="Arial" w:hAnsi="Arial"/>
          <w:b w:val="false"/>
          <w:bCs w:val="false"/>
          <w:i w:val="false"/>
          <w:iCs w:val="false"/>
          <w:sz w:val="20"/>
          <w:szCs w:val="20"/>
        </w:rPr>
        <w:t xml:space="preserve">Russian forces break in one or more sectors faster than Moscow can patch the line, and Ukraine retakes meaningful ground.</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Drivers: </w:t>
      </w:r>
      <w:r>
        <w:rPr>
          <w:rFonts w:ascii="Arial" w:cs="Arial" w:eastAsia="Arial" w:hAnsi="Arial"/>
          <w:b w:val="false"/>
          <w:bCs w:val="false"/>
          <w:i w:val="false"/>
          <w:iCs w:val="false"/>
          <w:sz w:val="20"/>
          <w:szCs w:val="20"/>
        </w:rPr>
        <w:t xml:space="preserve">Supply, fuel, and manpower failures compound. The manpower math in this revision is exactly this kind of driver. So is drone interdiction of roads, rail, and fuel.</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Force-preservation effect: </w:t>
      </w:r>
      <w:r>
        <w:rPr>
          <w:rFonts w:ascii="Arial" w:cs="Arial" w:eastAsia="Arial" w:hAnsi="Arial"/>
          <w:b w:val="false"/>
          <w:bCs w:val="false"/>
          <w:i w:val="false"/>
          <w:iCs w:val="false"/>
          <w:sz w:val="20"/>
          <w:szCs w:val="20"/>
        </w:rPr>
        <w:t xml:space="preserve">If Russia shifts to sparing its troops and coercing through infrastructure, this ending becomes less likely, because a force-preserving army is harder to break.</w:t>
      </w:r>
    </w:p>
    <w:p>
      <w:pPr>
        <w:pStyle w:val="Heading2"/>
        <w:spacing w:after="80" w:before="160"/>
      </w:pPr>
      <w:r>
        <w:rPr>
          <w:rFonts w:ascii="Arial" w:cs="Arial" w:eastAsia="Arial" w:hAnsi="Arial"/>
          <w:b/>
          <w:bCs/>
          <w:color w:val="204060"/>
          <w:sz w:val="22"/>
          <w:szCs w:val="22"/>
        </w:rPr>
        <w:t xml:space="preserve">2. Russian regime change ends the war</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Assumption: </w:t>
      </w:r>
      <w:r>
        <w:rPr>
          <w:rFonts w:ascii="Arial" w:cs="Arial" w:eastAsia="Arial" w:hAnsi="Arial"/>
          <w:b w:val="false"/>
          <w:bCs w:val="false"/>
          <w:i w:val="false"/>
          <w:iCs w:val="false"/>
          <w:sz w:val="20"/>
          <w:szCs w:val="20"/>
        </w:rPr>
        <w:t xml:space="preserve">Power changes hands in Moscow and the new leadership exits the war.</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Drivers: </w:t>
      </w:r>
      <w:r>
        <w:rPr>
          <w:rFonts w:ascii="Arial" w:cs="Arial" w:eastAsia="Arial" w:hAnsi="Arial"/>
          <w:b w:val="false"/>
          <w:bCs w:val="false"/>
          <w:i w:val="false"/>
          <w:iCs w:val="false"/>
          <w:sz w:val="20"/>
          <w:szCs w:val="20"/>
        </w:rPr>
        <w:t xml:space="preserve">War cost, economic strain, and visible humiliation erode elite support. Sustained manpower stress feeds this.</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How it differs: </w:t>
      </w:r>
      <w:r>
        <w:rPr>
          <w:rFonts w:ascii="Arial" w:cs="Arial" w:eastAsia="Arial" w:hAnsi="Arial"/>
          <w:b w:val="false"/>
          <w:bCs w:val="false"/>
          <w:i w:val="false"/>
          <w:iCs w:val="false"/>
          <w:sz w:val="20"/>
          <w:szCs w:val="20"/>
        </w:rPr>
        <w:t xml:space="preserve">Politics in Moscow ends the war, not a battlefield break.</w:t>
      </w:r>
    </w:p>
    <w:p>
      <w:pPr>
        <w:pStyle w:val="Heading2"/>
        <w:spacing w:after="80" w:before="160"/>
      </w:pPr>
      <w:r>
        <w:rPr>
          <w:rFonts w:ascii="Arial" w:cs="Arial" w:eastAsia="Arial" w:hAnsi="Arial"/>
          <w:b/>
          <w:bCs/>
          <w:color w:val="204060"/>
          <w:sz w:val="22"/>
          <w:szCs w:val="22"/>
        </w:rPr>
        <w:t xml:space="preserve">3. Comprehensive negotiated settlement</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Assumption: </w:t>
      </w:r>
      <w:r>
        <w:rPr>
          <w:rFonts w:ascii="Arial" w:cs="Arial" w:eastAsia="Arial" w:hAnsi="Arial"/>
          <w:b w:val="false"/>
          <w:bCs w:val="false"/>
          <w:i w:val="false"/>
          <w:iCs w:val="false"/>
          <w:sz w:val="20"/>
          <w:szCs w:val="20"/>
        </w:rPr>
        <w:t xml:space="preserve">Both sides sign a full treaty settling territory, security, and sanctions, and it holds.</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Drivers: </w:t>
      </w:r>
      <w:r>
        <w:rPr>
          <w:rFonts w:ascii="Arial" w:cs="Arial" w:eastAsia="Arial" w:hAnsi="Arial"/>
          <w:b w:val="false"/>
          <w:bCs w:val="false"/>
          <w:i w:val="false"/>
          <w:iCs w:val="false"/>
          <w:sz w:val="20"/>
          <w:szCs w:val="20"/>
        </w:rPr>
        <w:t xml:space="preserve">Mutual exhaustion plus outside pressure. Strikes on each other's war economy can push both toward a deal.</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How it differs: </w:t>
      </w:r>
      <w:r>
        <w:rPr>
          <w:rFonts w:ascii="Arial" w:cs="Arial" w:eastAsia="Arial" w:hAnsi="Arial"/>
          <w:b w:val="false"/>
          <w:bCs w:val="false"/>
          <w:i w:val="false"/>
          <w:iCs w:val="false"/>
          <w:sz w:val="20"/>
          <w:szCs w:val="20"/>
        </w:rPr>
        <w:t xml:space="preserve">It resolves the core disputes. An armistice only freezes them.</w:t>
      </w:r>
    </w:p>
    <w:p>
      <w:pPr>
        <w:pStyle w:val="Heading2"/>
        <w:spacing w:after="80" w:before="160"/>
      </w:pPr>
      <w:r>
        <w:rPr>
          <w:rFonts w:ascii="Arial" w:cs="Arial" w:eastAsia="Arial" w:hAnsi="Arial"/>
          <w:b/>
          <w:bCs/>
          <w:color w:val="204060"/>
          <w:sz w:val="22"/>
          <w:szCs w:val="22"/>
        </w:rPr>
        <w:t xml:space="preserve">4. Armistice along current lines (middle case, most likely single ending)</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Assumption: </w:t>
      </w:r>
      <w:r>
        <w:rPr>
          <w:rFonts w:ascii="Arial" w:cs="Arial" w:eastAsia="Arial" w:hAnsi="Arial"/>
          <w:b w:val="false"/>
          <w:bCs w:val="false"/>
          <w:i w:val="false"/>
          <w:iCs w:val="false"/>
          <w:sz w:val="20"/>
          <w:szCs w:val="20"/>
        </w:rPr>
        <w:t xml:space="preserve">A ceasefire freezes the fighting near current positions, with a demilitarized zone (DMZ, a buffer strip where neither army may deploy), but no treaty and no recognition of annexed land. This is the Korean model.</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Force-preservation effect: </w:t>
      </w:r>
      <w:r>
        <w:rPr>
          <w:rFonts w:ascii="Arial" w:cs="Arial" w:eastAsia="Arial" w:hAnsi="Arial"/>
          <w:b w:val="false"/>
          <w:bCs w:val="false"/>
          <w:i w:val="false"/>
          <w:iCs w:val="false"/>
          <w:sz w:val="20"/>
          <w:szCs w:val="20"/>
        </w:rPr>
        <w:t xml:space="preserve">A force-preserving, coercion-focused Russia makes this ending somewhat more likely, because it lowers the chance of a decisive result on either side.</w:t>
      </w:r>
    </w:p>
    <w:p>
      <w:pPr>
        <w:pStyle w:val="Heading2"/>
        <w:spacing w:after="80" w:before="160"/>
      </w:pPr>
      <w:r>
        <w:rPr>
          <w:rFonts w:ascii="Arial" w:cs="Arial" w:eastAsia="Arial" w:hAnsi="Arial"/>
          <w:b/>
          <w:bCs/>
          <w:color w:val="204060"/>
          <w:sz w:val="22"/>
          <w:szCs w:val="22"/>
        </w:rPr>
        <w:t xml:space="preserve">5. De facto frozen war, with no formal deal</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Assumption: </w:t>
      </w:r>
      <w:r>
        <w:rPr>
          <w:rFonts w:ascii="Arial" w:cs="Arial" w:eastAsia="Arial" w:hAnsi="Arial"/>
          <w:b w:val="false"/>
          <w:bCs w:val="false"/>
          <w:i w:val="false"/>
          <w:iCs w:val="false"/>
          <w:sz w:val="20"/>
          <w:szCs w:val="20"/>
        </w:rPr>
        <w:t xml:space="preserve">Fighting fades to a low level with nothing signed. The line stops moving.</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Force-preservation effect: </w:t>
      </w:r>
      <w:r>
        <w:rPr>
          <w:rFonts w:ascii="Arial" w:cs="Arial" w:eastAsia="Arial" w:hAnsi="Arial"/>
          <w:b w:val="false"/>
          <w:bCs w:val="false"/>
          <w:i w:val="false"/>
          <w:iCs w:val="false"/>
          <w:sz w:val="20"/>
          <w:szCs w:val="20"/>
        </w:rPr>
        <w:t xml:space="preserve">More likely if Russia spares troops and trades ground assault for standoff infrastructure strikes, which can sustain pressure without seizing territory.</w:t>
      </w:r>
    </w:p>
    <w:p>
      <w:pPr>
        <w:pStyle w:val="Heading2"/>
        <w:spacing w:after="80" w:before="160"/>
      </w:pPr>
      <w:r>
        <w:rPr>
          <w:rFonts w:ascii="Arial" w:cs="Arial" w:eastAsia="Arial" w:hAnsi="Arial"/>
          <w:b/>
          <w:bCs/>
          <w:color w:val="204060"/>
          <w:sz w:val="22"/>
          <w:szCs w:val="22"/>
        </w:rPr>
        <w:t xml:space="preserve">6. Ukrainian forced concession of land (best case for Russia)</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Assumption: </w:t>
      </w:r>
      <w:r>
        <w:rPr>
          <w:rFonts w:ascii="Arial" w:cs="Arial" w:eastAsia="Arial" w:hAnsi="Arial"/>
          <w:b w:val="false"/>
          <w:bCs w:val="false"/>
          <w:i w:val="false"/>
          <w:iCs w:val="false"/>
          <w:sz w:val="20"/>
          <w:szCs w:val="20"/>
        </w:rPr>
        <w:t xml:space="preserve">Ukraine gives up territory under pressure.</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Drivers: </w:t>
      </w:r>
      <w:r>
        <w:rPr>
          <w:rFonts w:ascii="Arial" w:cs="Arial" w:eastAsia="Arial" w:hAnsi="Arial"/>
          <w:b w:val="false"/>
          <w:bCs w:val="false"/>
          <w:i w:val="false"/>
          <w:iCs w:val="false"/>
          <w:sz w:val="20"/>
          <w:szCs w:val="20"/>
        </w:rPr>
        <w:t xml:space="preserve">A Russian battlefield gain, a collapse in Western aid, or sustained infrastructure coercion that wears down Ukrainian endurance.</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How it differs: </w:t>
      </w:r>
      <w:r>
        <w:rPr>
          <w:rFonts w:ascii="Arial" w:cs="Arial" w:eastAsia="Arial" w:hAnsi="Arial"/>
          <w:b w:val="false"/>
          <w:bCs w:val="false"/>
          <w:i w:val="false"/>
          <w:iCs w:val="false"/>
          <w:sz w:val="20"/>
          <w:szCs w:val="20"/>
        </w:rPr>
        <w:t xml:space="preserve">Ukraine gives up land, rather than just freezing the line.</w:t>
      </w:r>
    </w:p>
    <w:p>
      <w:pPr>
        <w:pStyle w:val="Heading2"/>
        <w:spacing w:after="80" w:before="160"/>
      </w:pPr>
      <w:r>
        <w:rPr>
          <w:rFonts w:ascii="Arial" w:cs="Arial" w:eastAsia="Arial" w:hAnsi="Arial"/>
          <w:b/>
          <w:bCs/>
          <w:color w:val="204060"/>
          <w:sz w:val="22"/>
          <w:szCs w:val="22"/>
        </w:rPr>
        <w:t xml:space="preserve">7. Escalation to a wider war (worst case)</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Assumption: </w:t>
      </w:r>
      <w:r>
        <w:rPr>
          <w:rFonts w:ascii="Arial" w:cs="Arial" w:eastAsia="Arial" w:hAnsi="Arial"/>
          <w:b w:val="false"/>
          <w:bCs w:val="false"/>
          <w:i w:val="false"/>
          <w:iCs w:val="false"/>
          <w:sz w:val="20"/>
          <w:szCs w:val="20"/>
        </w:rPr>
        <w:t xml:space="preserve">The war widens, pulling in the North Atlantic Treaty Organization (NATO) directly or crossing another major threshold.</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Drivers: </w:t>
      </w:r>
      <w:r>
        <w:rPr>
          <w:rFonts w:ascii="Arial" w:cs="Arial" w:eastAsia="Arial" w:hAnsi="Arial"/>
          <w:b w:val="false"/>
          <w:bCs w:val="false"/>
          <w:i w:val="false"/>
          <w:iCs w:val="false"/>
          <w:sz w:val="20"/>
          <w:szCs w:val="20"/>
        </w:rPr>
        <w:t xml:space="preserve">A deliberate choice or an accident. A serious kinetic strike on NATO logistics, or a clash at sea or in the air, sits in this branch.</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How it differs: </w:t>
      </w:r>
      <w:r>
        <w:rPr>
          <w:rFonts w:ascii="Arial" w:cs="Arial" w:eastAsia="Arial" w:hAnsi="Arial"/>
          <w:b w:val="false"/>
          <w:bCs w:val="false"/>
          <w:i w:val="false"/>
          <w:iCs w:val="false"/>
          <w:sz w:val="20"/>
          <w:szCs w:val="20"/>
        </w:rPr>
        <w:t xml:space="preserve">It is the only branch where the war grows rather than ends. It is tracked on its own and never mixed with the frozen-war outcomes.</w:t>
      </w:r>
    </w:p>
    <w:p>
      <w:r>
        <w:br w:type="page"/>
      </w:r>
    </w:p>
    <w:p>
      <w:pPr>
        <w:pStyle w:val="Heading1"/>
        <w:spacing w:after="120" w:before="240"/>
      </w:pPr>
      <w:r>
        <w:rPr>
          <w:rFonts w:ascii="Arial" w:cs="Arial" w:eastAsia="Arial" w:hAnsi="Arial"/>
          <w:b/>
          <w:bCs/>
          <w:color w:val="0B2E4F"/>
          <w:sz w:val="26"/>
          <w:szCs w:val="26"/>
        </w:rPr>
        <w:t xml:space="preserve">Reviewer Feedback Integrated: Manpower, Western Transportation Networks, Short-of-War Retaliation, and Russian Strategy Change</w:t>
      </w:r>
    </w:p>
    <w:p>
      <w:pPr>
        <w:pStyle w:val="Heading2"/>
        <w:spacing w:after="80" w:before="160"/>
      </w:pPr>
      <w:r>
        <w:rPr>
          <w:rFonts w:ascii="Arial" w:cs="Arial" w:eastAsia="Arial" w:hAnsi="Arial"/>
          <w:b/>
          <w:bCs/>
          <w:color w:val="204060"/>
          <w:sz w:val="22"/>
          <w:szCs w:val="22"/>
        </w:rPr>
        <w:t xml:space="preserve">Section 1. Russian casualty rate versus force generation</w:t>
      </w:r>
    </w:p>
    <w:p>
      <w:pPr>
        <w:spacing w:after="120"/>
        <w:jc w:val="both"/>
      </w:pPr>
      <w:r>
        <w:rPr>
          <w:rFonts w:ascii="Arial" w:cs="Arial" w:eastAsia="Arial" w:hAnsi="Arial"/>
          <w:b w:val="false"/>
          <w:bCs w:val="false"/>
          <w:i w:val="false"/>
          <w:iCs w:val="false"/>
          <w:sz w:val="20"/>
          <w:szCs w:val="20"/>
        </w:rPr>
        <w:t xml:space="preserve">The question is simple: can Russia replace its losses fast enough to keep fighting the way it fights now? The open-source answer is that Russia is falling behind on headcount, and falling behind faster on quality, but it has not yet hit a hard wall.</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Losses. </w:t>
      </w:r>
      <w:r>
        <w:rPr>
          <w:rFonts w:ascii="Arial" w:cs="Arial" w:eastAsia="Arial" w:hAnsi="Arial"/>
          <w:b w:val="false"/>
          <w:bCs w:val="false"/>
          <w:i w:val="false"/>
          <w:iCs w:val="false"/>
          <w:sz w:val="20"/>
          <w:szCs w:val="20"/>
        </w:rPr>
        <w:t xml:space="preserve">Western and Ukrainian estimates put Russian casualties near 25,000 to 35,000 a month, with a record month around 35,000 in early 2026. Total casualties since 2022 are estimated near 1.2 million, with killed estimated near 315,000. Drones now cause the large majority of front-line casualties.</w:t>
      </w:r>
      <w:r>
        <w:rPr>
          <w:rFonts w:ascii="Arial" w:cs="Arial" w:eastAsia="Arial" w:hAnsi="Arial"/>
          <w:b w:val="false"/>
          <w:bCs w:val="false"/>
          <w:i w:val="false"/>
          <w:iCs w:val="false"/>
          <w:sz w:val="20"/>
          <w:szCs w:val="20"/>
          <w:vertAlign w:val="superscript"/>
        </w:rPr>
        <w:t xml:space="preserve">15, 17, 19</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An important caveat. </w:t>
      </w:r>
      <w:r>
        <w:rPr>
          <w:rFonts w:ascii="Arial" w:cs="Arial" w:eastAsia="Arial" w:hAnsi="Arial"/>
          <w:b w:val="false"/>
          <w:bCs w:val="false"/>
          <w:i w:val="false"/>
          <w:iCs w:val="false"/>
          <w:sz w:val="20"/>
          <w:szCs w:val="20"/>
        </w:rPr>
        <w:t xml:space="preserve">Independent analysts warn that the headline casualty number mixes in the wounded who recover. The figure that decides army strength is irrecoverable losses — the dead and the permanently disabled — which run lower, on the order of several hundred a day rather than over a thousand. This is the single most important reason not to over-read the loss figures.</w:t>
      </w:r>
      <w:r>
        <w:rPr>
          <w:rFonts w:ascii="Arial" w:cs="Arial" w:eastAsia="Arial" w:hAnsi="Arial"/>
          <w:b w:val="false"/>
          <w:bCs w:val="false"/>
          <w:i w:val="false"/>
          <w:iCs w:val="false"/>
          <w:sz w:val="20"/>
          <w:szCs w:val="20"/>
          <w:vertAlign w:val="superscript"/>
        </w:rPr>
        <w:t xml:space="preserve">16</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Force generation. </w:t>
      </w:r>
      <w:r>
        <w:rPr>
          <w:rFonts w:ascii="Arial" w:cs="Arial" w:eastAsia="Arial" w:hAnsi="Arial"/>
          <w:b w:val="false"/>
          <w:bCs w:val="false"/>
          <w:i w:val="false"/>
          <w:iCs w:val="false"/>
          <w:sz w:val="20"/>
          <w:szCs w:val="20"/>
        </w:rPr>
        <w:t xml:space="preserve">Russia aimed to recruit about 409,000 contract soldiers in 2026, roughly 1,120 a day. Independent budget analysis and Ukrainian monitoring both show recruitment has fallen about 20 percent, to roughly 800 to 950 a day, despite record sign-on bonuses. For several months, monthly losses have exceeded fresh recruitment, with the gap filled from reserves.</w:t>
      </w:r>
      <w:r>
        <w:rPr>
          <w:rFonts w:ascii="Arial" w:cs="Arial" w:eastAsia="Arial" w:hAnsi="Arial"/>
          <w:b w:val="false"/>
          <w:bCs w:val="false"/>
          <w:i w:val="false"/>
          <w:iCs w:val="false"/>
          <w:sz w:val="20"/>
          <w:szCs w:val="20"/>
          <w:vertAlign w:val="superscript"/>
        </w:rPr>
        <w:t xml:space="preserve">18, 19</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Quality, not just headcount. </w:t>
      </w:r>
      <w:r>
        <w:rPr>
          <w:rFonts w:ascii="Arial" w:cs="Arial" w:eastAsia="Arial" w:hAnsi="Arial"/>
          <w:b w:val="false"/>
          <w:bCs w:val="false"/>
          <w:i w:val="false"/>
          <w:iCs w:val="false"/>
          <w:sz w:val="20"/>
          <w:szCs w:val="20"/>
        </w:rPr>
        <w:t xml:space="preserve">The clearest effect is on quality. Russia has lost experienced soldiers and junior officers. A growing share of recruits come from vulnerable groups, with less training. Raw numbers can be replaced; cohesive, trained, offensively useful units cannot, quickly. The cost of taking ground has roughly doubled per square kilometre, and the pace of Russian advance has slowed sharply.</w:t>
      </w:r>
      <w:r>
        <w:rPr>
          <w:rFonts w:ascii="Arial" w:cs="Arial" w:eastAsia="Arial" w:hAnsi="Arial"/>
          <w:b w:val="false"/>
          <w:bCs w:val="false"/>
          <w:i w:val="false"/>
          <w:iCs w:val="false"/>
          <w:sz w:val="20"/>
          <w:szCs w:val="20"/>
          <w:vertAlign w:val="superscript"/>
        </w:rPr>
        <w:t xml:space="preserve">17, 19</w:t>
      </w:r>
    </w:p>
    <w:p>
      <w:pPr>
        <w:spacing w:after="120"/>
        <w:jc w:val="both"/>
      </w:pPr>
      <w:r>
        <w:rPr>
          <w:rFonts w:ascii="Arial" w:cs="Arial" w:eastAsia="Arial" w:hAnsi="Arial"/>
          <w:b w:val="false"/>
          <w:bCs w:val="false"/>
          <w:i w:val="false"/>
          <w:iCs w:val="false"/>
          <w:sz w:val="20"/>
          <w:szCs w:val="20"/>
        </w:rPr>
        <w:t xml:space="preserve">Bottom line for the forecast: this confirms the Ukraine-favoring direction already built into Revisions 2.2 through 2.4. It does not justify raising the Russian-collapse probability again, because the irrecoverable-loss caveat and the use of reserves argue against a near-term hard collapse. The right response is a new sensitivity branch and a new warning indicator, not a change to the base case.</w:t>
      </w:r>
    </w:p>
    <w:p>
      <w:pPr>
        <w:pStyle w:val="Heading2"/>
        <w:spacing w:after="80" w:before="160"/>
      </w:pPr>
      <w:r>
        <w:rPr>
          <w:rFonts w:ascii="Arial" w:cs="Arial" w:eastAsia="Arial" w:hAnsi="Arial"/>
          <w:b/>
          <w:bCs/>
          <w:color w:val="204060"/>
          <w:sz w:val="22"/>
          <w:szCs w:val="22"/>
        </w:rPr>
        <w:t xml:space="preserve">Section 1 table: three manpower cases and their forecast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80"/>
        <w:gridCol w:w="2480"/>
        <w:gridCol w:w="2500"/>
      </w:tblGrid>
      <w:tr>
        <w:trPr>
          <w:tblHeader/>
        </w:trPr>
        <w:tc>
          <w:tcPr>
            <w:tcW w:type="dxa" w:w="1900"/>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left"/>
            </w:pPr>
            <w:r>
              <w:rPr>
                <w:rFonts w:ascii="Arial" w:cs="Arial" w:eastAsia="Arial" w:hAnsi="Arial"/>
                <w:b/>
                <w:bCs/>
                <w:color w:val="FFFFFF"/>
                <w:sz w:val="17"/>
                <w:szCs w:val="17"/>
              </w:rPr>
              <w:t xml:space="preserve">Effect</w:t>
            </w:r>
          </w:p>
        </w:tc>
        <w:tc>
          <w:tcPr>
            <w:tcW w:type="dxa" w:w="2480"/>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center"/>
            </w:pPr>
            <w:r>
              <w:rPr>
                <w:rFonts w:ascii="Arial" w:cs="Arial" w:eastAsia="Arial" w:hAnsi="Arial"/>
                <w:b/>
                <w:bCs/>
                <w:color w:val="FFFFFF"/>
                <w:sz w:val="17"/>
                <w:szCs w:val="17"/>
              </w:rPr>
              <w:t xml:space="preserve">Low-stress case</w:t>
            </w:r>
          </w:p>
        </w:tc>
        <w:tc>
          <w:tcPr>
            <w:tcW w:type="dxa" w:w="2480"/>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center"/>
            </w:pPr>
            <w:r>
              <w:rPr>
                <w:rFonts w:ascii="Arial" w:cs="Arial" w:eastAsia="Arial" w:hAnsi="Arial"/>
                <w:b/>
                <w:bCs/>
                <w:color w:val="FFFFFF"/>
                <w:sz w:val="17"/>
                <w:szCs w:val="17"/>
              </w:rPr>
              <w:t xml:space="preserve">Base case</w:t>
            </w:r>
          </w:p>
        </w:tc>
        <w:tc>
          <w:tcPr>
            <w:tcW w:type="dxa" w:w="2500"/>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center"/>
            </w:pPr>
            <w:r>
              <w:rPr>
                <w:rFonts w:ascii="Arial" w:cs="Arial" w:eastAsia="Arial" w:hAnsi="Arial"/>
                <w:b/>
                <w:bCs/>
                <w:color w:val="FFFFFF"/>
                <w:sz w:val="17"/>
                <w:szCs w:val="17"/>
              </w:rPr>
              <w:t xml:space="preserve">High-stress case</w:t>
            </w:r>
          </w:p>
        </w:tc>
      </w:tr>
      <w:tr>
        <w:tc>
          <w:tcPr>
            <w:tcW w:type="dxa" w:w="19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What it assumes</w:t>
            </w:r>
          </w:p>
        </w:tc>
        <w:tc>
          <w:tcPr>
            <w:tcW w:type="dxa" w:w="248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Force generation broadly offsets losses</w:t>
            </w:r>
          </w:p>
        </w:tc>
        <w:tc>
          <w:tcPr>
            <w:tcW w:type="dxa" w:w="248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Headcount mostly replaced, quality falls</w:t>
            </w:r>
          </w:p>
        </w:tc>
        <w:tc>
          <w:tcPr>
            <w:tcW w:type="dxa" w:w="25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Useful force generation falls behind losses</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Russian offensive potential</w:t>
            </w:r>
          </w:p>
        </w:tc>
        <w:tc>
          <w:tcPr>
            <w:tcW w:type="dxa" w:w="24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Maintained</w:t>
            </w:r>
          </w:p>
        </w:tc>
        <w:tc>
          <w:tcPr>
            <w:tcW w:type="dxa" w:w="24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Slowly declining</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Falls materially</w:t>
            </w:r>
          </w:p>
        </w:tc>
      </w:tr>
      <w:tr>
        <w:tc>
          <w:tcPr>
            <w:tcW w:type="dxa" w:w="19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Ukrainian bargaining leverage</w:t>
            </w:r>
          </w:p>
        </w:tc>
        <w:tc>
          <w:tcPr>
            <w:tcW w:type="dxa" w:w="248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Lower</w:t>
            </w:r>
          </w:p>
        </w:tc>
        <w:tc>
          <w:tcPr>
            <w:tcW w:type="dxa" w:w="248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Moderate</w:t>
            </w:r>
          </w:p>
        </w:tc>
        <w:tc>
          <w:tcPr>
            <w:tcW w:type="dxa" w:w="25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Higher</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Armistice probability</w:t>
            </w:r>
          </w:p>
        </w:tc>
        <w:tc>
          <w:tcPr>
            <w:tcW w:type="dxa" w:w="24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~35%</w:t>
            </w:r>
          </w:p>
        </w:tc>
        <w:tc>
          <w:tcPr>
            <w:tcW w:type="dxa" w:w="24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~35%</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~30%</w:t>
            </w:r>
          </w:p>
        </w:tc>
      </w:tr>
      <w:tr>
        <w:tc>
          <w:tcPr>
            <w:tcW w:type="dxa" w:w="1900"/>
            <w:tcBorders>
              <w:top w:val="single" w:color="CCCCCC" w:sz="1"/>
              <w:left w:val="single" w:color="CCCCCC" w:sz="1"/>
              <w:bottom w:val="single" w:color="CCCCCC" w:sz="1"/>
              <w:right w:val="single" w:color="CCCCCC" w:sz="1"/>
            </w:tcBorders>
            <w:shd w:fill="E8F4E8"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Russian collapse probability</w:t>
            </w:r>
          </w:p>
        </w:tc>
        <w:tc>
          <w:tcPr>
            <w:tcW w:type="dxa" w:w="2480"/>
            <w:tcBorders>
              <w:top w:val="single" w:color="CCCCCC" w:sz="1"/>
              <w:left w:val="single" w:color="CCCCCC" w:sz="1"/>
              <w:bottom w:val="single" w:color="CCCCCC" w:sz="1"/>
              <w:right w:val="single" w:color="CCCCCC" w:sz="1"/>
            </w:tcBorders>
            <w:shd w:fill="E8F4E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~10%</w:t>
            </w:r>
          </w:p>
        </w:tc>
        <w:tc>
          <w:tcPr>
            <w:tcW w:type="dxa" w:w="2480"/>
            <w:tcBorders>
              <w:top w:val="single" w:color="CCCCCC" w:sz="1"/>
              <w:left w:val="single" w:color="CCCCCC" w:sz="1"/>
              <w:bottom w:val="single" w:color="CCCCCC" w:sz="1"/>
              <w:right w:val="single" w:color="CCCCCC" w:sz="1"/>
            </w:tcBorders>
            <w:shd w:fill="E8F4E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~15%</w:t>
            </w:r>
          </w:p>
        </w:tc>
        <w:tc>
          <w:tcPr>
            <w:tcW w:type="dxa" w:w="2500"/>
            <w:tcBorders>
              <w:top w:val="single" w:color="CCCCCC" w:sz="1"/>
              <w:left w:val="single" w:color="CCCCCC" w:sz="1"/>
              <w:bottom w:val="single" w:color="CCCCCC" w:sz="1"/>
              <w:right w:val="single" w:color="CCCCCC" w:sz="1"/>
            </w:tcBorders>
            <w:shd w:fill="E8F4E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~20%</w:t>
            </w:r>
          </w:p>
        </w:tc>
      </w:tr>
      <w:tr>
        <w:tc>
          <w:tcPr>
            <w:tcW w:type="dxa" w:w="1900"/>
            <w:tcBorders>
              <w:top w:val="single" w:color="CCCCCC" w:sz="1"/>
              <w:left w:val="single" w:color="CCCCCC" w:sz="1"/>
              <w:bottom w:val="single" w:color="CCCCCC" w:sz="1"/>
              <w:right w:val="single" w:color="CCCCCC" w:sz="1"/>
            </w:tcBorders>
            <w:shd w:fill="FDEAEA"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Ukrainian concession probability</w:t>
            </w:r>
          </w:p>
        </w:tc>
        <w:tc>
          <w:tcPr>
            <w:tcW w:type="dxa" w:w="2480"/>
            <w:tcBorders>
              <w:top w:val="single" w:color="CCCCCC" w:sz="1"/>
              <w:left w:val="single" w:color="CCCCCC" w:sz="1"/>
              <w:bottom w:val="single" w:color="CCCCCC" w:sz="1"/>
              <w:right w:val="single" w:color="CCCCCC" w:sz="1"/>
            </w:tcBorders>
            <w:shd w:fill="FDEAE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~10%</w:t>
            </w:r>
          </w:p>
        </w:tc>
        <w:tc>
          <w:tcPr>
            <w:tcW w:type="dxa" w:w="2480"/>
            <w:tcBorders>
              <w:top w:val="single" w:color="CCCCCC" w:sz="1"/>
              <w:left w:val="single" w:color="CCCCCC" w:sz="1"/>
              <w:bottom w:val="single" w:color="CCCCCC" w:sz="1"/>
              <w:right w:val="single" w:color="CCCCCC" w:sz="1"/>
            </w:tcBorders>
            <w:shd w:fill="FDEAE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~10%</w:t>
            </w:r>
          </w:p>
        </w:tc>
        <w:tc>
          <w:tcPr>
            <w:tcW w:type="dxa" w:w="2500"/>
            <w:tcBorders>
              <w:top w:val="single" w:color="CCCCCC" w:sz="1"/>
              <w:left w:val="single" w:color="CCCCCC" w:sz="1"/>
              <w:bottom w:val="single" w:color="CCCCCC" w:sz="1"/>
              <w:right w:val="single" w:color="CCCCCC" w:sz="1"/>
            </w:tcBorders>
            <w:shd w:fill="FDEAE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War continues beyond 2032</w:t>
            </w:r>
          </w:p>
        </w:tc>
        <w:tc>
          <w:tcPr>
            <w:tcW w:type="dxa" w:w="24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~45%</w:t>
            </w:r>
          </w:p>
        </w:tc>
        <w:tc>
          <w:tcPr>
            <w:tcW w:type="dxa" w:w="24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~45%</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~40%</w:t>
            </w:r>
          </w:p>
        </w:tc>
      </w:tr>
    </w:tbl>
    <w:p>
      <w:pPr>
        <w:spacing w:after="100"/>
        <w:jc w:val="both"/>
      </w:pPr>
      <w:r>
        <w:rPr>
          <w:rFonts w:ascii="Arial" w:cs="Arial" w:eastAsia="Arial" w:hAnsi="Arial"/>
          <w:b w:val="false"/>
          <w:bCs w:val="false"/>
          <w:i w:val="false"/>
          <w:iCs w:val="false"/>
          <w:color w:val="444444"/>
          <w:sz w:val="17"/>
          <w:szCs w:val="17"/>
        </w:rPr>
        <w:t xml:space="preserve">Timing is unchanged across all three cases; only the mix of endings moves. The base case is the forecast. The other two are sensitivity branches showing where the numbers would go if the manpower picture clearly improves or clearly worsens for Russia.</w:t>
      </w:r>
    </w:p>
    <w:p>
      <w:r>
        <w:br w:type="page"/>
      </w:r>
    </w:p>
    <w:p>
      <w:pPr>
        <w:pStyle w:val="Heading2"/>
        <w:spacing w:after="80" w:before="160"/>
      </w:pPr>
      <w:r>
        <w:rPr>
          <w:rFonts w:ascii="Arial" w:cs="Arial" w:eastAsia="Arial" w:hAnsi="Arial"/>
          <w:b/>
          <w:bCs/>
          <w:color w:val="204060"/>
          <w:sz w:val="22"/>
          <w:szCs w:val="22"/>
        </w:rPr>
        <w:t xml:space="preserve">Section 2. Russian frustration with Western supply flows and the likelihood of kinetic action</w:t>
      </w:r>
    </w:p>
    <w:p>
      <w:pPr>
        <w:spacing w:after="120"/>
        <w:jc w:val="both"/>
      </w:pPr>
      <w:r>
        <w:rPr>
          <w:rFonts w:ascii="Arial" w:cs="Arial" w:eastAsia="Arial" w:hAnsi="Arial"/>
          <w:b w:val="false"/>
          <w:bCs w:val="false"/>
          <w:i w:val="false"/>
          <w:iCs w:val="false"/>
          <w:sz w:val="20"/>
          <w:szCs w:val="20"/>
        </w:rPr>
        <w:t xml:space="preserve">Western transportation and logistics networks are central to Ukraine's ability to keep fighting. Aid, ammunition, and equipment move by sea to European ports, then by rail and road toward Ukraine, with air cargo and parcel networks carrying lighter, urgent items. Russia knows this and is frustrated by it.</w:t>
      </w:r>
    </w:p>
    <w:p>
      <w:pPr>
        <w:spacing w:after="120"/>
        <w:jc w:val="both"/>
      </w:pPr>
      <w:r>
        <w:rPr>
          <w:rFonts w:ascii="Arial" w:cs="Arial" w:eastAsia="Arial" w:hAnsi="Arial"/>
          <w:b w:val="false"/>
          <w:bCs w:val="false"/>
          <w:i w:val="false"/>
          <w:iCs w:val="false"/>
          <w:sz w:val="20"/>
          <w:szCs w:val="20"/>
        </w:rPr>
        <w:t xml:space="preserve">Russia has already acted against these networks below the level of open war. Public reporting describes a sabotage and arson campaign across Europe, attributed by multiple governments to Russian military intelligence, and a “package plot” in which incendiary parcels reached European air-cargo hubs. Western officials assess these parcel incidents tested transatlantic cargo channels. Institutional tracking has documented dozens of sabotage events and a sharp rise in incidents against critical infrastructure. This is assessed here at a high level only.</w:t>
      </w:r>
    </w:p>
    <w:p>
      <w:pPr>
        <w:spacing w:after="120"/>
        <w:jc w:val="both"/>
      </w:pPr>
      <w:r>
        <w:rPr>
          <w:rFonts w:ascii="Arial" w:cs="Arial" w:eastAsia="Arial" w:hAnsi="Arial"/>
          <w:b w:val="false"/>
          <w:bCs w:val="false"/>
          <w:i w:val="false"/>
          <w:iCs w:val="false"/>
          <w:sz w:val="20"/>
          <w:szCs w:val="20"/>
        </w:rPr>
        <w:t xml:space="preserve">Two judgments matter for the war forecast. First, this activity is real, organized, and likely to continue. Second, it has not decided the battlefield, and it is not the kind of thing that decides this war. An effort to choke Ukrainian sustainment by attacking Western transport would more likely harden Western resolve and increase aid than break it. So the main effect is a parallel transportation-security crisis, plus a small contribution to the remote wider-war branch.</w:t>
      </w:r>
    </w:p>
    <w:p>
      <w:pPr>
        <w:spacing w:after="120"/>
        <w:jc w:val="both"/>
      </w:pPr>
      <w:r>
        <w:rPr>
          <w:rFonts w:ascii="Arial" w:cs="Arial" w:eastAsia="Arial" w:hAnsi="Arial"/>
          <w:b w:val="false"/>
          <w:bCs w:val="false"/>
          <w:i w:val="false"/>
          <w:iCs w:val="false"/>
          <w:sz w:val="20"/>
          <w:szCs w:val="20"/>
        </w:rPr>
        <w:t xml:space="preserve">A note on timing and restraint: some open-source analysis suggests Russia may have paused or paced parts of this campaign to avoid alienating a more conciliatory United States administration. That restraint, if real, is itself an indicator worth watching, because it could reverse.</w:t>
      </w:r>
    </w:p>
    <w:p>
      <w:pPr>
        <w:pStyle w:val="Heading2"/>
        <w:spacing w:after="80" w:before="160"/>
      </w:pPr>
      <w:r>
        <w:rPr>
          <w:rFonts w:ascii="Arial" w:cs="Arial" w:eastAsia="Arial" w:hAnsi="Arial"/>
          <w:b/>
          <w:bCs/>
          <w:color w:val="204060"/>
          <w:sz w:val="22"/>
          <w:szCs w:val="22"/>
        </w:rPr>
        <w:t xml:space="preserve">Section 2 table: six action scenarios, likelihood, and forecast effect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3260"/>
      </w:tblGrid>
      <w:tr>
        <w:trPr>
          <w:tblHeader/>
        </w:trPr>
        <w:tc>
          <w:tcPr>
            <w:tcW w:type="dxa" w:w="3400"/>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left"/>
            </w:pPr>
            <w:r>
              <w:rPr>
                <w:rFonts w:ascii="Arial" w:cs="Arial" w:eastAsia="Arial" w:hAnsi="Arial"/>
                <w:b/>
                <w:bCs/>
                <w:color w:val="FFFFFF"/>
                <w:sz w:val="17"/>
                <w:szCs w:val="17"/>
              </w:rPr>
              <w:t xml:space="preserve">Scenario</w:t>
            </w:r>
          </w:p>
        </w:tc>
        <w:tc>
          <w:tcPr>
            <w:tcW w:type="dxa" w:w="1700"/>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center"/>
            </w:pPr>
            <w:r>
              <w:rPr>
                <w:rFonts w:ascii="Arial" w:cs="Arial" w:eastAsia="Arial" w:hAnsi="Arial"/>
                <w:b/>
                <w:bCs/>
                <w:color w:val="FFFFFF"/>
                <w:sz w:val="17"/>
                <w:szCs w:val="17"/>
              </w:rPr>
              <w:t xml:space="preserve">Likelihood (window)</w:t>
            </w:r>
          </w:p>
        </w:tc>
        <w:tc>
          <w:tcPr>
            <w:tcW w:type="dxa" w:w="3260"/>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center"/>
            </w:pPr>
            <w:r>
              <w:rPr>
                <w:rFonts w:ascii="Arial" w:cs="Arial" w:eastAsia="Arial" w:hAnsi="Arial"/>
                <w:b/>
                <w:bCs/>
                <w:color w:val="FFFFFF"/>
                <w:sz w:val="17"/>
                <w:szCs w:val="17"/>
              </w:rPr>
              <w:t xml:space="preserve">Forecast effect</w:t>
            </w:r>
          </w:p>
        </w:tc>
      </w:tr>
      <w:tr>
        <w:tc>
          <w:tcPr>
            <w:tcW w:type="dxa" w:w="34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1. No major action beyond current harassment and information operations</w:t>
            </w:r>
          </w:p>
        </w:tc>
        <w:tc>
          <w:tcPr>
            <w:tcW w:type="dxa" w:w="17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Likely (55–80%)</w:t>
            </w:r>
          </w:p>
        </w:tc>
        <w:tc>
          <w:tcPr>
            <w:tcW w:type="dxa" w:w="32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Baseline; no change to war outcome</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2. Covert sabotage or disruption in Europe, below NATO Article 5</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Likely (55–80%)</w:t>
            </w:r>
          </w:p>
        </w:tc>
        <w:tc>
          <w:tcPr>
            <w:tcW w:type="dxa" w:w="3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Parallel security risk; hardens resolve slightly</w:t>
            </w:r>
          </w:p>
        </w:tc>
      </w:tr>
      <w:tr>
        <w:tc>
          <w:tcPr>
            <w:tcW w:type="dxa" w:w="34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3. Renewed or expanded package / cargo-plot activity</w:t>
            </w:r>
          </w:p>
        </w:tc>
        <w:tc>
          <w:tcPr>
            <w:tcW w:type="dxa" w:w="17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Roughly even odds (45–55%)</w:t>
            </w:r>
          </w:p>
        </w:tc>
        <w:tc>
          <w:tcPr>
            <w:tcW w:type="dxa" w:w="32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Transport-security crisis; minimal battlefield effect</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4. Kinetic action against NATO logistics hubs or corridors</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Unlikely (20–45%)</w:t>
            </w:r>
          </w:p>
        </w:tc>
        <w:tc>
          <w:tcPr>
            <w:tcW w:type="dxa" w:w="3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Raises wider-war branch; likely hardens NATO</w:t>
            </w:r>
          </w:p>
        </w:tc>
      </w:tr>
      <w:tr>
        <w:tc>
          <w:tcPr>
            <w:tcW w:type="dxa" w:w="34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5. Direct homeland-impacting action on U.S. transport networks</w:t>
            </w:r>
          </w:p>
        </w:tc>
        <w:tc>
          <w:tcPr>
            <w:tcW w:type="dxa" w:w="17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Very unlikely (5–20%)</w:t>
            </w:r>
          </w:p>
        </w:tc>
        <w:tc>
          <w:tcPr>
            <w:tcW w:type="dxa" w:w="32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Major U.S. security event; uncertain war effect</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6. Escalation to direct NATO–Russia confrontation</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Remote (1–5%)</w:t>
            </w:r>
          </w:p>
        </w:tc>
        <w:tc>
          <w:tcPr>
            <w:tcW w:type="dxa" w:w="3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The escalation branch; would dominate all else</w:t>
            </w:r>
          </w:p>
        </w:tc>
      </w:tr>
    </w:tbl>
    <w:p>
      <w:pPr>
        <w:spacing w:after="100"/>
        <w:jc w:val="both"/>
      </w:pPr>
      <w:r>
        <w:rPr>
          <w:rFonts w:ascii="Arial" w:cs="Arial" w:eastAsia="Arial" w:hAnsi="Arial"/>
          <w:b w:val="false"/>
          <w:bCs w:val="false"/>
          <w:i w:val="false"/>
          <w:iCs w:val="false"/>
          <w:color w:val="444444"/>
          <w:sz w:val="17"/>
          <w:szCs w:val="17"/>
        </w:rPr>
        <w:t xml:space="preserve">Indicators that Russia is moving toward real kinetic disruption: a shift from deniable arson to attacks with clear attribution and intended mass effect; targeting of military-aid nodes rather than symbolic retail sites; and open threats tied to specific Western shipments. Indicators of restraint: continued reliance on deniable cutouts, pauses around diplomacy, and avoidance of NATO military sites.</w:t>
      </w:r>
    </w:p>
    <w:p>
      <w:r>
        <w:br w:type="page"/>
      </w:r>
    </w:p>
    <w:p>
      <w:pPr>
        <w:pStyle w:val="Heading2"/>
        <w:spacing w:after="80" w:before="160"/>
      </w:pPr>
      <w:r>
        <w:rPr>
          <w:rFonts w:ascii="Arial" w:cs="Arial" w:eastAsia="Arial" w:hAnsi="Arial"/>
          <w:b/>
          <w:bCs/>
          <w:color w:val="204060"/>
          <w:sz w:val="22"/>
          <w:szCs w:val="22"/>
        </w:rPr>
        <w:t xml:space="preserve">Section 3. Short-of-war, deniable, non-kinetic retaliation</w:t>
      </w:r>
    </w:p>
    <w:p>
      <w:pPr>
        <w:spacing w:after="120"/>
        <w:jc w:val="both"/>
      </w:pPr>
      <w:r>
        <w:rPr>
          <w:rFonts w:ascii="Arial" w:cs="Arial" w:eastAsia="Arial" w:hAnsi="Arial"/>
          <w:b w:val="false"/>
          <w:bCs w:val="false"/>
          <w:i w:val="false"/>
          <w:iCs w:val="false"/>
          <w:sz w:val="20"/>
          <w:szCs w:val="20"/>
        </w:rPr>
        <w:t xml:space="preserve">Below the level of open war, Russia has a deep toolkit. Most of it is already in constant use. The key point for this forecast is that these tools mostly shape behavior and impose cost; they rarely change battlefield outcomes.</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Navigation interference. </w:t>
      </w:r>
      <w:r>
        <w:rPr>
          <w:rFonts w:ascii="Arial" w:cs="Arial" w:eastAsia="Arial" w:hAnsi="Arial"/>
          <w:b w:val="false"/>
          <w:bCs w:val="false"/>
          <w:i w:val="false"/>
          <w:iCs w:val="false"/>
          <w:sz w:val="20"/>
          <w:szCs w:val="20"/>
        </w:rPr>
        <w:t xml:space="preserve">Jamming and spoofing of satellite navigation are now near-constant over the Baltic and parts of Eastern Europe and affect a large share of European air traffic. International aviation authorities have formally named Russia. This is the most likely and most persistent tool. It shapes operator behavior more than it breaks systems.</w:t>
      </w:r>
      <w:r>
        <w:rPr>
          <w:rFonts w:ascii="Arial" w:cs="Arial" w:eastAsia="Arial" w:hAnsi="Arial"/>
          <w:b w:val="false"/>
          <w:bCs w:val="false"/>
          <w:i w:val="false"/>
          <w:iCs w:val="false"/>
          <w:sz w:val="20"/>
          <w:szCs w:val="20"/>
          <w:vertAlign w:val="superscript"/>
        </w:rPr>
        <w:t xml:space="preserve">22</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Cyber probing of transport and logistics. </w:t>
      </w:r>
      <w:r>
        <w:rPr>
          <w:rFonts w:ascii="Arial" w:cs="Arial" w:eastAsia="Arial" w:hAnsi="Arial"/>
          <w:b w:val="false"/>
          <w:bCs w:val="false"/>
          <w:i w:val="false"/>
          <w:iCs w:val="false"/>
          <w:sz w:val="20"/>
          <w:szCs w:val="20"/>
        </w:rPr>
        <w:t xml:space="preserve">Aviation, rail, maritime, port, and cargo systems are recurring targets of intrusion and disruption attempts. Most consequential if it hits scheduling, customs, or port operations; most are disruptive rather than destructive.</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Influence operations. </w:t>
      </w:r>
      <w:r>
        <w:rPr>
          <w:rFonts w:ascii="Arial" w:cs="Arial" w:eastAsia="Arial" w:hAnsi="Arial"/>
          <w:b w:val="false"/>
          <w:bCs w:val="false"/>
          <w:i w:val="false"/>
          <w:iCs w:val="false"/>
          <w:sz w:val="20"/>
          <w:szCs w:val="20"/>
        </w:rPr>
        <w:t xml:space="preserve">Campaigns aimed at reducing Western support for Ukraine. These are the tool most likely to affect the war outcome, by feeding Western fatigue, but their effect is slow and contested.</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Sabotage and proxy crime. </w:t>
      </w:r>
      <w:r>
        <w:rPr>
          <w:rFonts w:ascii="Arial" w:cs="Arial" w:eastAsia="Arial" w:hAnsi="Arial"/>
          <w:b w:val="false"/>
          <w:bCs w:val="false"/>
          <w:i w:val="false"/>
          <w:iCs w:val="false"/>
          <w:sz w:val="20"/>
          <w:szCs w:val="20"/>
        </w:rPr>
        <w:t xml:space="preserve">Arson and disruption short of mass-casualty intent, run through criminal cutouts. Deniable and disruptive.</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Coercion by other means. </w:t>
      </w:r>
      <w:r>
        <w:rPr>
          <w:rFonts w:ascii="Arial" w:cs="Arial" w:eastAsia="Arial" w:hAnsi="Arial"/>
          <w:b w:val="false"/>
          <w:bCs w:val="false"/>
          <w:i w:val="false"/>
          <w:iCs w:val="false"/>
          <w:sz w:val="20"/>
          <w:szCs w:val="20"/>
        </w:rPr>
        <w:t xml:space="preserve">Energy, food, migration, and economic pressure that indirectly stress Western transport and politics.</w:t>
      </w:r>
    </w:p>
    <w:p>
      <w:pPr>
        <w:pStyle w:val="Heading2"/>
        <w:spacing w:after="80" w:before="160"/>
      </w:pPr>
      <w:r>
        <w:rPr>
          <w:rFonts w:ascii="Arial" w:cs="Arial" w:eastAsia="Arial" w:hAnsi="Arial"/>
          <w:b/>
          <w:bCs/>
          <w:color w:val="204060"/>
          <w:sz w:val="22"/>
          <w:szCs w:val="22"/>
        </w:rPr>
        <w:t xml:space="preserve">Section 3 matrix: likelihood versus consequence (for the war outcome)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2860"/>
        <w:gridCol w:w="2900"/>
      </w:tblGrid>
      <w:tr>
        <w:trPr>
          <w:tblHeader/>
        </w:trPr>
        <w:tc>
          <w:tcPr>
            <w:tcW w:type="dxa" w:w="2600"/>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left"/>
            </w:pPr>
            <w:r>
              <w:rPr>
                <w:rFonts w:ascii="Arial" w:cs="Arial" w:eastAsia="Arial" w:hAnsi="Arial"/>
                <w:b/>
                <w:bCs/>
                <w:color w:val="FFFFFF"/>
                <w:sz w:val="17"/>
                <w:szCs w:val="17"/>
              </w:rPr>
              <w:t xml:space="preserve">Tool</w:t>
            </w:r>
          </w:p>
        </w:tc>
        <w:tc>
          <w:tcPr>
            <w:tcW w:type="dxa" w:w="2860"/>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center"/>
            </w:pPr>
            <w:r>
              <w:rPr>
                <w:rFonts w:ascii="Arial" w:cs="Arial" w:eastAsia="Arial" w:hAnsi="Arial"/>
                <w:b/>
                <w:bCs/>
                <w:color w:val="FFFFFF"/>
                <w:sz w:val="17"/>
                <w:szCs w:val="17"/>
              </w:rPr>
              <w:t xml:space="preserve">Likelihood</w:t>
            </w:r>
          </w:p>
        </w:tc>
        <w:tc>
          <w:tcPr>
            <w:tcW w:type="dxa" w:w="2900"/>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center"/>
            </w:pPr>
            <w:r>
              <w:rPr>
                <w:rFonts w:ascii="Arial" w:cs="Arial" w:eastAsia="Arial" w:hAnsi="Arial"/>
                <w:b/>
                <w:bCs/>
                <w:color w:val="FFFFFF"/>
                <w:sz w:val="17"/>
                <w:szCs w:val="17"/>
              </w:rPr>
              <w:t xml:space="preserve">Consequence for war outcome</w:t>
            </w:r>
          </w:p>
        </w:tc>
      </w:tr>
      <w:tr>
        <w:tc>
          <w:tcPr>
            <w:tcW w:type="dxa" w:w="26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Navigation (GNSS) interference</w:t>
            </w:r>
          </w:p>
        </w:tc>
        <w:tc>
          <w:tcPr>
            <w:tcW w:type="dxa" w:w="28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Almost certain</w:t>
            </w:r>
          </w:p>
        </w:tc>
        <w:tc>
          <w:tcPr>
            <w:tcW w:type="dxa" w:w="29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Low (parallel transport risk)</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Cyber against transport / logistics</w:t>
            </w:r>
          </w:p>
        </w:tc>
        <w:tc>
          <w:tcPr>
            <w:tcW w:type="dxa" w:w="2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Very likely</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Low to moderate</w:t>
            </w:r>
          </w:p>
        </w:tc>
      </w:tr>
      <w:tr>
        <w:tc>
          <w:tcPr>
            <w:tcW w:type="dxa" w:w="26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Influence operations</w:t>
            </w:r>
          </w:p>
        </w:tc>
        <w:tc>
          <w:tcPr>
            <w:tcW w:type="dxa" w:w="28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Almost certain</w:t>
            </w:r>
          </w:p>
        </w:tc>
        <w:tc>
          <w:tcPr>
            <w:tcW w:type="dxa" w:w="29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Moderate (via Western fatigue)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Sabotage / proxy crime</w:t>
            </w:r>
          </w:p>
        </w:tc>
        <w:tc>
          <w:tcPr>
            <w:tcW w:type="dxa" w:w="2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Likely</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Low to moderate</w:t>
            </w:r>
          </w:p>
        </w:tc>
      </w:tr>
      <w:tr>
        <w:tc>
          <w:tcPr>
            <w:tcW w:type="dxa" w:w="26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Energy / migration / economic coercion</w:t>
            </w:r>
          </w:p>
        </w:tc>
        <w:tc>
          <w:tcPr>
            <w:tcW w:type="dxa" w:w="28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Likely</w:t>
            </w:r>
          </w:p>
        </w:tc>
        <w:tc>
          <w:tcPr>
            <w:tcW w:type="dxa" w:w="29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Low to moderate</w:t>
            </w:r>
          </w:p>
        </w:tc>
      </w:tr>
    </w:tbl>
    <w:p>
      <w:pPr>
        <w:spacing w:after="120"/>
        <w:jc w:val="both"/>
      </w:pPr>
      <w:r>
        <w:rPr>
          <w:rFonts w:ascii="Arial" w:cs="Arial" w:eastAsia="Arial" w:hAnsi="Arial"/>
          <w:b w:val="false"/>
          <w:bCs w:val="false"/>
          <w:i w:val="false"/>
          <w:iCs w:val="false"/>
          <w:sz w:val="20"/>
          <w:szCs w:val="20"/>
        </w:rPr>
        <w:t xml:space="preserve">How these change the forecast: the pathway that could matter is Western fatigue from influence operations, which would slightly raise the chance of a Ukrainian forced concession. But fatigue can be offset if the same hostile acts trigger counter-escalation and more aid. These roughly cancel. The net effect is to leave the headline forecast unchanged while widening the uncertainty band, and to create a parallel homeland and transportation-security risk that should be tracked separately.</w:t>
      </w:r>
    </w:p>
    <w:p>
      <w:r>
        <w:br w:type="page"/>
      </w:r>
    </w:p>
    <w:p>
      <w:pPr>
        <w:pStyle w:val="Heading2"/>
        <w:spacing w:after="80" w:before="160"/>
      </w:pPr>
      <w:r>
        <w:rPr>
          <w:rFonts w:ascii="Arial" w:cs="Arial" w:eastAsia="Arial" w:hAnsi="Arial"/>
          <w:b/>
          <w:bCs/>
          <w:color w:val="204060"/>
          <w:sz w:val="22"/>
          <w:szCs w:val="22"/>
        </w:rPr>
        <w:t xml:space="preserve">Section 4. Russian strategy change: valuing soldiers' lives and shifting to infrastructure coercion</w:t>
      </w:r>
    </w:p>
    <w:p>
      <w:pPr>
        <w:spacing w:after="120"/>
        <w:jc w:val="both"/>
      </w:pPr>
      <w:r>
        <w:rPr>
          <w:rFonts w:ascii="Arial" w:cs="Arial" w:eastAsia="Arial" w:hAnsi="Arial"/>
          <w:b w:val="false"/>
          <w:bCs w:val="false"/>
          <w:i w:val="false"/>
          <w:iCs w:val="false"/>
          <w:sz w:val="20"/>
          <w:szCs w:val="20"/>
        </w:rPr>
        <w:t xml:space="preserve">This is a strategic branch, not a moral claim. The question is whether Russia shifts away from manpower-heavy ground attacks and broad civilian terror toward sparing its own troops while systematically coercing Ukraine through critical-infrastructure strikes.</w:t>
      </w:r>
    </w:p>
    <w:p>
      <w:pPr>
        <w:spacing w:after="120"/>
        <w:jc w:val="both"/>
      </w:pPr>
      <w:r>
        <w:rPr>
          <w:rFonts w:ascii="Arial" w:cs="Arial" w:eastAsia="Arial" w:hAnsi="Arial"/>
          <w:b w:val="false"/>
          <w:bCs w:val="false"/>
          <w:i w:val="false"/>
          <w:iCs w:val="false"/>
          <w:sz w:val="20"/>
          <w:szCs w:val="20"/>
        </w:rPr>
        <w:t xml:space="preserve">Russia is already part-way there. Over the past year its strike campaign has shifted unmistakably toward Ukrainian infrastructure, with a large increase in long-range drone use and a deliberate effort to fragment the power grid and pressure the rail network that carries Western aid. At a high level, the strategically relevant categories are electricity generation and transmission, gas production and storage, district heating, water and sewage, and the rail logistics spine. This product does not identify specific facilities or vulnerabilities.</w:t>
      </w:r>
    </w:p>
    <w:p>
      <w:pPr>
        <w:spacing w:after="120"/>
        <w:jc w:val="both"/>
      </w:pPr>
      <w:r>
        <w:rPr>
          <w:rFonts w:ascii="Arial" w:cs="Arial" w:eastAsia="Arial" w:hAnsi="Arial"/>
          <w:b w:val="false"/>
          <w:bCs w:val="false"/>
          <w:i w:val="false"/>
          <w:iCs w:val="false"/>
          <w:sz w:val="20"/>
          <w:szCs w:val="20"/>
        </w:rPr>
        <w:t xml:space="preserve">What would drive a fuller shift: manpower stress (Section 1), elite pressure to stop the bleeding, equipment depletion, and the failure of ground assaults to achieve breakthroughs. The shift is conditional, not certain — Russia is still using manpower-heavy tactics now, including sending unfit soldiers back to the front.</w:t>
      </w:r>
    </w:p>
    <w:p>
      <w:pPr>
        <w:spacing w:after="120"/>
        <w:jc w:val="both"/>
      </w:pPr>
      <w:r>
        <w:rPr>
          <w:rFonts w:ascii="Arial" w:cs="Arial" w:eastAsia="Arial" w:hAnsi="Arial"/>
          <w:b w:val="false"/>
          <w:bCs w:val="false"/>
          <w:i w:val="false"/>
          <w:iCs w:val="false"/>
          <w:sz w:val="20"/>
          <w:szCs w:val="20"/>
        </w:rPr>
        <w:t xml:space="preserve">Effects of a fuller shift: it would lower Russian casualties and preserve force; increase Ukrainian civilian hardship and energy stress; reduce Russia's ability to seize territory; and make the war more coercive and less about maneuver. On endings, it lowers the chance of a Russian collapse and raises the chance of a frozen war or armistice. It could modestly raise the chance of a Ukrainian concession if infrastructure coercion wears down endurance. It does not change the headline timing.</w:t>
      </w:r>
    </w:p>
    <w:p>
      <w:pPr>
        <w:pStyle w:val="Heading2"/>
        <w:spacing w:after="80" w:before="160"/>
      </w:pPr>
      <w:r>
        <w:rPr>
          <w:rFonts w:ascii="Arial" w:cs="Arial" w:eastAsia="Arial" w:hAnsi="Arial"/>
          <w:b/>
          <w:bCs/>
          <w:color w:val="204060"/>
          <w:sz w:val="22"/>
          <w:szCs w:val="22"/>
        </w:rPr>
        <w:t xml:space="preserve">Section 4 table: three strategy cases and directional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50"/>
        <w:gridCol w:w="2350"/>
        <w:gridCol w:w="2360"/>
      </w:tblGrid>
      <w:tr>
        <w:trPr>
          <w:tblHeader/>
        </w:trPr>
        <w:tc>
          <w:tcPr>
            <w:tcW w:type="dxa" w:w="2300"/>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left"/>
            </w:pPr>
            <w:r>
              <w:rPr>
                <w:rFonts w:ascii="Arial" w:cs="Arial" w:eastAsia="Arial" w:hAnsi="Arial"/>
                <w:b/>
                <w:bCs/>
                <w:color w:val="FFFFFF"/>
                <w:sz w:val="17"/>
                <w:szCs w:val="17"/>
              </w:rPr>
              <w:t xml:space="preserve">Effect</w:t>
            </w:r>
          </w:p>
        </w:tc>
        <w:tc>
          <w:tcPr>
            <w:tcW w:type="dxa" w:w="2350"/>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center"/>
            </w:pPr>
            <w:r>
              <w:rPr>
                <w:rFonts w:ascii="Arial" w:cs="Arial" w:eastAsia="Arial" w:hAnsi="Arial"/>
                <w:b/>
                <w:bCs/>
                <w:color w:val="FFFFFF"/>
                <w:sz w:val="17"/>
                <w:szCs w:val="17"/>
              </w:rPr>
              <w:t xml:space="preserve">Continue attrition</w:t>
            </w:r>
          </w:p>
        </w:tc>
        <w:tc>
          <w:tcPr>
            <w:tcW w:type="dxa" w:w="2350"/>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center"/>
            </w:pPr>
            <w:r>
              <w:rPr>
                <w:rFonts w:ascii="Arial" w:cs="Arial" w:eastAsia="Arial" w:hAnsi="Arial"/>
                <w:b/>
                <w:bCs/>
                <w:color w:val="FFFFFF"/>
                <w:sz w:val="17"/>
                <w:szCs w:val="17"/>
              </w:rPr>
              <w:t xml:space="preserve">Partial shift</w:t>
            </w:r>
          </w:p>
        </w:tc>
        <w:tc>
          <w:tcPr>
            <w:tcW w:type="dxa" w:w="2360"/>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center"/>
            </w:pPr>
            <w:r>
              <w:rPr>
                <w:rFonts w:ascii="Arial" w:cs="Arial" w:eastAsia="Arial" w:hAnsi="Arial"/>
                <w:b/>
                <w:bCs/>
                <w:color w:val="FFFFFF"/>
                <w:sz w:val="17"/>
                <w:szCs w:val="17"/>
              </w:rPr>
              <w:t xml:space="preserve">Substantial shift</w:t>
            </w:r>
          </w:p>
        </w:tc>
      </w:tr>
      <w:tr>
        <w:tc>
          <w:tcPr>
            <w:tcW w:type="dxa" w:w="23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Russian casualty rate</w:t>
            </w:r>
          </w:p>
        </w:tc>
        <w:tc>
          <w:tcPr>
            <w:tcW w:type="dxa" w:w="235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High</w:t>
            </w:r>
          </w:p>
        </w:tc>
        <w:tc>
          <w:tcPr>
            <w:tcW w:type="dxa" w:w="235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Moderate</w:t>
            </w:r>
          </w:p>
        </w:tc>
        <w:tc>
          <w:tcPr>
            <w:tcW w:type="dxa" w:w="23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Lower</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Russian force preservation</w:t>
            </w:r>
          </w:p>
        </w:tc>
        <w:tc>
          <w:tcPr>
            <w:tcW w:type="dxa" w:w="23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Poor</w:t>
            </w:r>
          </w:p>
        </w:tc>
        <w:tc>
          <w:tcPr>
            <w:tcW w:type="dxa" w:w="23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Improved</w:t>
            </w:r>
          </w:p>
        </w:tc>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Strong</w:t>
            </w:r>
          </w:p>
        </w:tc>
      </w:tr>
      <w:tr>
        <w:tc>
          <w:tcPr>
            <w:tcW w:type="dxa" w:w="23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Ukrainian civilian resilience</w:t>
            </w:r>
          </w:p>
        </w:tc>
        <w:tc>
          <w:tcPr>
            <w:tcW w:type="dxa" w:w="235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Strained</w:t>
            </w:r>
          </w:p>
        </w:tc>
        <w:tc>
          <w:tcPr>
            <w:tcW w:type="dxa" w:w="235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More strained</w:t>
            </w:r>
          </w:p>
        </w:tc>
        <w:tc>
          <w:tcPr>
            <w:tcW w:type="dxa" w:w="23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Most strained</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Ukrainian military sustainment</w:t>
            </w:r>
          </w:p>
        </w:tc>
        <w:tc>
          <w:tcPr>
            <w:tcW w:type="dxa" w:w="23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Pressured</w:t>
            </w:r>
          </w:p>
        </w:tc>
        <w:tc>
          <w:tcPr>
            <w:tcW w:type="dxa" w:w="23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More pressured</w:t>
            </w:r>
          </w:p>
        </w:tc>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Pressured via grid/rail</w:t>
            </w:r>
          </w:p>
        </w:tc>
      </w:tr>
      <w:tr>
        <w:tc>
          <w:tcPr>
            <w:tcW w:type="dxa" w:w="23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Western aid urgency</w:t>
            </w:r>
          </w:p>
        </w:tc>
        <w:tc>
          <w:tcPr>
            <w:tcW w:type="dxa" w:w="235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High</w:t>
            </w:r>
          </w:p>
        </w:tc>
        <w:tc>
          <w:tcPr>
            <w:tcW w:type="dxa" w:w="235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Higher</w:t>
            </w:r>
          </w:p>
        </w:tc>
        <w:tc>
          <w:tcPr>
            <w:tcW w:type="dxa" w:w="23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Highest (air defense)</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Negotiation incentives</w:t>
            </w:r>
          </w:p>
        </w:tc>
        <w:tc>
          <w:tcPr>
            <w:tcW w:type="dxa" w:w="23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Mixed</w:t>
            </w:r>
          </w:p>
        </w:tc>
        <w:tc>
          <w:tcPr>
            <w:tcW w:type="dxa" w:w="23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Rising</w:t>
            </w:r>
          </w:p>
        </w:tc>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Rising</w:t>
            </w:r>
          </w:p>
        </w:tc>
      </w:tr>
      <w:tr>
        <w:tc>
          <w:tcPr>
            <w:tcW w:type="dxa" w:w="23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War termination timeline</w:t>
            </w:r>
          </w:p>
        </w:tc>
        <w:tc>
          <w:tcPr>
            <w:tcW w:type="dxa" w:w="235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Unchanged</w:t>
            </w:r>
          </w:p>
        </w:tc>
        <w:tc>
          <w:tcPr>
            <w:tcW w:type="dxa" w:w="235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Unchanged</w:t>
            </w:r>
          </w:p>
        </w:tc>
        <w:tc>
          <w:tcPr>
            <w:tcW w:type="dxa" w:w="23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Unchanged (may lengthen)</w:t>
            </w:r>
          </w:p>
        </w:tc>
      </w:tr>
      <w:tr>
        <w:tc>
          <w:tcPr>
            <w:tcW w:type="dxa" w:w="2300"/>
            <w:tcBorders>
              <w:top w:val="single" w:color="CCCCCC" w:sz="1"/>
              <w:left w:val="single" w:color="CCCCCC" w:sz="1"/>
              <w:bottom w:val="single" w:color="CCCCCC" w:sz="1"/>
              <w:right w:val="single" w:color="CCCCCC" w:sz="1"/>
            </w:tcBorders>
            <w:shd w:fill="E8F4E8"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Russian collapse probability</w:t>
            </w:r>
          </w:p>
        </w:tc>
        <w:tc>
          <w:tcPr>
            <w:tcW w:type="dxa" w:w="2350"/>
            <w:tcBorders>
              <w:top w:val="single" w:color="CCCCCC" w:sz="1"/>
              <w:left w:val="single" w:color="CCCCCC" w:sz="1"/>
              <w:bottom w:val="single" w:color="CCCCCC" w:sz="1"/>
              <w:right w:val="single" w:color="CCCCCC" w:sz="1"/>
            </w:tcBorders>
            <w:shd w:fill="E8F4E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~15%</w:t>
            </w:r>
          </w:p>
        </w:tc>
        <w:tc>
          <w:tcPr>
            <w:tcW w:type="dxa" w:w="2350"/>
            <w:tcBorders>
              <w:top w:val="single" w:color="CCCCCC" w:sz="1"/>
              <w:left w:val="single" w:color="CCCCCC" w:sz="1"/>
              <w:bottom w:val="single" w:color="CCCCCC" w:sz="1"/>
              <w:right w:val="single" w:color="CCCCCC" w:sz="1"/>
            </w:tcBorders>
            <w:shd w:fill="E8F4E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~10%</w:t>
            </w:r>
          </w:p>
        </w:tc>
        <w:tc>
          <w:tcPr>
            <w:tcW w:type="dxa" w:w="2360"/>
            <w:tcBorders>
              <w:top w:val="single" w:color="CCCCCC" w:sz="1"/>
              <w:left w:val="single" w:color="CCCCCC" w:sz="1"/>
              <w:bottom w:val="single" w:color="CCCCCC" w:sz="1"/>
              <w:right w:val="single" w:color="CCCCCC" w:sz="1"/>
            </w:tcBorders>
            <w:shd w:fill="E8F4E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~10%</w:t>
            </w:r>
          </w:p>
        </w:tc>
      </w:tr>
      <w:tr>
        <w:tc>
          <w:tcPr>
            <w:tcW w:type="dxa" w:w="2300"/>
            <w:tcBorders>
              <w:top w:val="single" w:color="CCCCCC" w:sz="1"/>
              <w:left w:val="single" w:color="CCCCCC" w:sz="1"/>
              <w:bottom w:val="single" w:color="CCCCCC" w:sz="1"/>
              <w:right w:val="single" w:color="CCCCCC" w:sz="1"/>
            </w:tcBorders>
            <w:shd w:fill="FFF6DC"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Frozen-war probability</w:t>
            </w:r>
          </w:p>
        </w:tc>
        <w:tc>
          <w:tcPr>
            <w:tcW w:type="dxa" w:w="2350"/>
            <w:tcBorders>
              <w:top w:val="single" w:color="CCCCCC" w:sz="1"/>
              <w:left w:val="single" w:color="CCCCCC" w:sz="1"/>
              <w:bottom w:val="single" w:color="CCCCCC" w:sz="1"/>
              <w:right w:val="single" w:color="CCCCCC" w:sz="1"/>
            </w:tcBorders>
            <w:shd w:fill="FFF6DC"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~15%</w:t>
            </w:r>
          </w:p>
        </w:tc>
        <w:tc>
          <w:tcPr>
            <w:tcW w:type="dxa" w:w="2350"/>
            <w:tcBorders>
              <w:top w:val="single" w:color="CCCCCC" w:sz="1"/>
              <w:left w:val="single" w:color="CCCCCC" w:sz="1"/>
              <w:bottom w:val="single" w:color="CCCCCC" w:sz="1"/>
              <w:right w:val="single" w:color="CCCCCC" w:sz="1"/>
            </w:tcBorders>
            <w:shd w:fill="FFF6DC"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~20%</w:t>
            </w:r>
          </w:p>
        </w:tc>
        <w:tc>
          <w:tcPr>
            <w:tcW w:type="dxa" w:w="2360"/>
            <w:tcBorders>
              <w:top w:val="single" w:color="CCCCCC" w:sz="1"/>
              <w:left w:val="single" w:color="CCCCCC" w:sz="1"/>
              <w:bottom w:val="single" w:color="CCCCCC" w:sz="1"/>
              <w:right w:val="single" w:color="CCCCCC" w:sz="1"/>
            </w:tcBorders>
            <w:shd w:fill="FFF6DC"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~20%</w:t>
            </w:r>
          </w:p>
        </w:tc>
      </w:tr>
    </w:tbl>
    <w:p>
      <w:pPr>
        <w:spacing w:after="100"/>
        <w:jc w:val="both"/>
      </w:pPr>
      <w:r>
        <w:rPr>
          <w:rFonts w:ascii="Arial" w:cs="Arial" w:eastAsia="Arial" w:hAnsi="Arial"/>
          <w:b w:val="false"/>
          <w:bCs w:val="false"/>
          <w:i w:val="false"/>
          <w:iCs w:val="false"/>
          <w:color w:val="444444"/>
          <w:sz w:val="17"/>
          <w:szCs w:val="17"/>
        </w:rPr>
        <w:t xml:space="preserve">Across all three cases the headline timing holds. A force-preservation shift mainly moves probability from the Russian-collapse ending toward the frozen-war and armistice middle. It is modeled as a conditional branch because it is not yet the dominant Russian approach.</w:t>
      </w:r>
    </w:p>
    <w:p>
      <w:r>
        <w:br w:type="page"/>
      </w:r>
    </w:p>
    <w:p>
      <w:pPr>
        <w:pStyle w:val="Heading1"/>
        <w:spacing w:after="120" w:before="240"/>
      </w:pPr>
      <w:r>
        <w:rPr>
          <w:rFonts w:ascii="Arial" w:cs="Arial" w:eastAsia="Arial" w:hAnsi="Arial"/>
          <w:b/>
          <w:bCs/>
          <w:color w:val="0B2E4F"/>
          <w:sz w:val="26"/>
          <w:szCs w:val="26"/>
        </w:rPr>
        <w:t xml:space="preserve">Transportation-Security Implications</w:t>
      </w:r>
    </w:p>
    <w:p>
      <w:pPr>
        <w:spacing w:after="120"/>
        <w:jc w:val="both"/>
      </w:pPr>
      <w:r>
        <w:rPr>
          <w:rFonts w:ascii="Arial" w:cs="Arial" w:eastAsia="Arial" w:hAnsi="Arial"/>
          <w:b w:val="false"/>
          <w:bCs w:val="false"/>
          <w:i w:val="false"/>
          <w:iCs w:val="false"/>
          <w:sz w:val="20"/>
          <w:szCs w:val="20"/>
        </w:rPr>
        <w:t xml:space="preserve">This section assesses implications for Western, European, NATO, and United States transportation networks at a strategic level. It is defensive and non-operational. It offers indicators and monitoring priorities, not security instructions.</w:t>
      </w:r>
    </w:p>
    <w:p>
      <w:pPr>
        <w:spacing w:after="120"/>
        <w:jc w:val="both"/>
      </w:pPr>
      <w:r>
        <w:rPr>
          <w:rFonts w:ascii="Arial" w:cs="Arial" w:eastAsia="Arial" w:hAnsi="Arial"/>
          <w:b w:val="false"/>
          <w:bCs w:val="false"/>
          <w:i w:val="false"/>
          <w:iCs w:val="false"/>
          <w:sz w:val="20"/>
          <w:szCs w:val="20"/>
        </w:rPr>
        <w:t xml:space="preserve">The central judgment: the transportation sector is where the Russia-Ukraine confrontation most directly touches the West, yet it is largely separate from who wins the war. Leaders should treat it as a parallel, persistent risk that can rise quickly, not as a sign that the battlefield is about to turn.</w:t>
      </w:r>
    </w:p>
    <w:p>
      <w:pPr>
        <w:pStyle w:val="Heading2"/>
        <w:spacing w:after="80" w:before="160"/>
      </w:pPr>
      <w:r>
        <w:rPr>
          <w:rFonts w:ascii="Arial" w:cs="Arial" w:eastAsia="Arial" w:hAnsi="Arial"/>
          <w:b/>
          <w:bCs/>
          <w:color w:val="204060"/>
          <w:sz w:val="22"/>
          <w:szCs w:val="22"/>
        </w:rPr>
        <w:t xml:space="preserve">Where the strategic risk concentrates</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Aviation and air cargo. </w:t>
      </w:r>
      <w:r>
        <w:rPr>
          <w:rFonts w:ascii="Arial" w:cs="Arial" w:eastAsia="Arial" w:hAnsi="Arial"/>
          <w:b w:val="false"/>
          <w:bCs w:val="false"/>
          <w:i w:val="false"/>
          <w:iCs w:val="false"/>
          <w:sz w:val="20"/>
          <w:szCs w:val="20"/>
        </w:rPr>
        <w:t xml:space="preserve">Two distinct risks: near-constant navigation jamming and spoofing that stresses flight safety margins, and the demonstrated interest in incendiary parcels reaching air-cargo hubs. Both are high-likelihood; the first is mostly a safety-margin and confidence problem, the second a screening and resilience problem.</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Parcel and express networks. </w:t>
      </w:r>
      <w:r>
        <w:rPr>
          <w:rFonts w:ascii="Arial" w:cs="Arial" w:eastAsia="Arial" w:hAnsi="Arial"/>
          <w:b w:val="false"/>
          <w:bCs w:val="false"/>
          <w:i w:val="false"/>
          <w:iCs w:val="false"/>
          <w:sz w:val="20"/>
          <w:szCs w:val="20"/>
        </w:rPr>
        <w:t xml:space="preserve">The package plot showed intent to exploit fast cross-border parcel flows, including those feeding transatlantic routes. This is the clearest United States-relevant thread.</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Maritime ports and shipping. </w:t>
      </w:r>
      <w:r>
        <w:rPr>
          <w:rFonts w:ascii="Arial" w:cs="Arial" w:eastAsia="Arial" w:hAnsi="Arial"/>
          <w:b w:val="false"/>
          <w:bCs w:val="false"/>
          <w:i w:val="false"/>
          <w:iCs w:val="false"/>
          <w:sz w:val="20"/>
          <w:szCs w:val="20"/>
        </w:rPr>
        <w:t xml:space="preserve">Navigation interference in the Baltic and Black Seas, plus interest in undersea cables and pipelines, creates a port-approach and seabed-infrastructure risk.</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Rail and intermodal nodes. </w:t>
      </w:r>
      <w:r>
        <w:rPr>
          <w:rFonts w:ascii="Arial" w:cs="Arial" w:eastAsia="Arial" w:hAnsi="Arial"/>
          <w:b w:val="false"/>
          <w:bCs w:val="false"/>
          <w:i w:val="false"/>
          <w:iCs w:val="false"/>
          <w:sz w:val="20"/>
          <w:szCs w:val="20"/>
        </w:rPr>
        <w:t xml:space="preserve">Inside Ukraine, rail is under direct attack as the aid spine. In Europe, rail has seen sabotage incidents. Intermodal nodes where modes meet concentrate consequence.</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Trucking, warehousing, and logistics. </w:t>
      </w:r>
      <w:r>
        <w:rPr>
          <w:rFonts w:ascii="Arial" w:cs="Arial" w:eastAsia="Arial" w:hAnsi="Arial"/>
          <w:b w:val="false"/>
          <w:bCs w:val="false"/>
          <w:i w:val="false"/>
          <w:iCs w:val="false"/>
          <w:sz w:val="20"/>
          <w:szCs w:val="20"/>
        </w:rPr>
        <w:t xml:space="preserve">The arson and sabotage campaign has touched warehouses and logistics sites through deniable proxies.</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Pipelines and energy transport. </w:t>
      </w:r>
      <w:r>
        <w:rPr>
          <w:rFonts w:ascii="Arial" w:cs="Arial" w:eastAsia="Arial" w:hAnsi="Arial"/>
          <w:b w:val="false"/>
          <w:bCs w:val="false"/>
          <w:i w:val="false"/>
          <w:iCs w:val="false"/>
          <w:sz w:val="20"/>
          <w:szCs w:val="20"/>
        </w:rPr>
        <w:t xml:space="preserve">Seabed and cross-border energy infrastructure remains a demonstrated interest, with deniability built in.</w:t>
      </w:r>
    </w:p>
    <w:p>
      <w:pPr>
        <w:pStyle w:val="Heading2"/>
        <w:spacing w:after="80" w:before="160"/>
      </w:pPr>
      <w:r>
        <w:rPr>
          <w:rFonts w:ascii="Arial" w:cs="Arial" w:eastAsia="Arial" w:hAnsi="Arial"/>
          <w:b/>
          <w:bCs/>
          <w:color w:val="204060"/>
          <w:sz w:val="22"/>
          <w:szCs w:val="22"/>
        </w:rPr>
        <w:t xml:space="preserve">Recommended analytic monitoring priorities (non-operational)</w:t>
      </w:r>
    </w:p>
    <w:p>
      <w:pPr>
        <w:spacing w:after="60"/>
        <w:ind w:left="460" w:hanging="240"/>
        <w:jc w:val="both"/>
      </w:pPr>
      <w:r>
        <w:rPr>
          <w:rFonts w:ascii="Arial" w:cs="Arial" w:eastAsia="Arial" w:hAnsi="Arial"/>
          <w:sz w:val="20"/>
          <w:szCs w:val="20"/>
        </w:rPr>
        <w:t xml:space="preserve">•  </w:t>
      </w:r>
      <w:r>
        <w:rPr>
          <w:rFonts w:ascii="Arial" w:cs="Arial" w:eastAsia="Arial" w:hAnsi="Arial"/>
          <w:b w:val="false"/>
          <w:bCs w:val="false"/>
          <w:i w:val="false"/>
          <w:iCs w:val="false"/>
          <w:sz w:val="20"/>
          <w:szCs w:val="20"/>
        </w:rPr>
        <w:t xml:space="preserve">Track attribution trends, not just incident counts — a move toward clearer, more deliberate attribution would signal rising risk tolerance.</w:t>
      </w:r>
    </w:p>
    <w:p>
      <w:pPr>
        <w:spacing w:after="60"/>
        <w:ind w:left="460" w:hanging="240"/>
        <w:jc w:val="both"/>
      </w:pPr>
      <w:r>
        <w:rPr>
          <w:rFonts w:ascii="Arial" w:cs="Arial" w:eastAsia="Arial" w:hAnsi="Arial"/>
          <w:sz w:val="20"/>
          <w:szCs w:val="20"/>
        </w:rPr>
        <w:t xml:space="preserve">•  </w:t>
      </w:r>
      <w:r>
        <w:rPr>
          <w:rFonts w:ascii="Arial" w:cs="Arial" w:eastAsia="Arial" w:hAnsi="Arial"/>
          <w:b w:val="false"/>
          <w:bCs w:val="false"/>
          <w:i w:val="false"/>
          <w:iCs w:val="false"/>
          <w:sz w:val="20"/>
          <w:szCs w:val="20"/>
        </w:rPr>
        <w:t xml:space="preserve">Watch for a shift from symbolic or commercial targets toward military-aid logistics nodes.</w:t>
      </w:r>
    </w:p>
    <w:p>
      <w:pPr>
        <w:spacing w:after="60"/>
        <w:ind w:left="460" w:hanging="240"/>
        <w:jc w:val="both"/>
      </w:pPr>
      <w:r>
        <w:rPr>
          <w:rFonts w:ascii="Arial" w:cs="Arial" w:eastAsia="Arial" w:hAnsi="Arial"/>
          <w:sz w:val="20"/>
          <w:szCs w:val="20"/>
        </w:rPr>
        <w:t xml:space="preserve">•  </w:t>
      </w:r>
      <w:r>
        <w:rPr>
          <w:rFonts w:ascii="Arial" w:cs="Arial" w:eastAsia="Arial" w:hAnsi="Arial"/>
          <w:b w:val="false"/>
          <w:bCs w:val="false"/>
          <w:i w:val="false"/>
          <w:iCs w:val="false"/>
          <w:sz w:val="20"/>
          <w:szCs w:val="20"/>
        </w:rPr>
        <w:t xml:space="preserve">Monitor navigation-interference spread beyond current hot spots as a barometer of Russian risk appetite.</w:t>
      </w:r>
    </w:p>
    <w:p>
      <w:pPr>
        <w:spacing w:after="60"/>
        <w:ind w:left="460" w:hanging="240"/>
        <w:jc w:val="both"/>
      </w:pPr>
      <w:r>
        <w:rPr>
          <w:rFonts w:ascii="Arial" w:cs="Arial" w:eastAsia="Arial" w:hAnsi="Arial"/>
          <w:sz w:val="20"/>
          <w:szCs w:val="20"/>
        </w:rPr>
        <w:t xml:space="preserve">•  </w:t>
      </w:r>
      <w:r>
        <w:rPr>
          <w:rFonts w:ascii="Arial" w:cs="Arial" w:eastAsia="Arial" w:hAnsi="Arial"/>
          <w:b w:val="false"/>
          <w:bCs w:val="false"/>
          <w:i w:val="false"/>
          <w:iCs w:val="false"/>
          <w:sz w:val="20"/>
          <w:szCs w:val="20"/>
        </w:rPr>
        <w:t xml:space="preserve">Watch the United States-facing parcel and air-cargo thread specifically, given the demonstrated transatlantic testing.</w:t>
      </w:r>
    </w:p>
    <w:p>
      <w:pPr>
        <w:spacing w:after="60"/>
        <w:ind w:left="460" w:hanging="240"/>
        <w:jc w:val="both"/>
      </w:pPr>
      <w:r>
        <w:rPr>
          <w:rFonts w:ascii="Arial" w:cs="Arial" w:eastAsia="Arial" w:hAnsi="Arial"/>
          <w:sz w:val="20"/>
          <w:szCs w:val="20"/>
        </w:rPr>
        <w:t xml:space="preserve">•  </w:t>
      </w:r>
      <w:r>
        <w:rPr>
          <w:rFonts w:ascii="Arial" w:cs="Arial" w:eastAsia="Arial" w:hAnsi="Arial"/>
          <w:b w:val="false"/>
          <w:bCs w:val="false"/>
          <w:i w:val="false"/>
          <w:iCs w:val="false"/>
          <w:sz w:val="20"/>
          <w:szCs w:val="20"/>
        </w:rPr>
        <w:t xml:space="preserve">Treat a pause around diplomacy as conditional, and watch for resumption if talks stall.</w:t>
      </w:r>
    </w:p>
    <w:p>
      <w:r>
        <w:br w:type="page"/>
      </w:r>
    </w:p>
    <w:p>
      <w:pPr>
        <w:pStyle w:val="Heading1"/>
        <w:spacing w:after="120" w:before="240"/>
      </w:pPr>
      <w:r>
        <w:rPr>
          <w:rFonts w:ascii="Arial" w:cs="Arial" w:eastAsia="Arial" w:hAnsi="Arial"/>
          <w:b/>
          <w:bCs/>
          <w:color w:val="0B2E4F"/>
          <w:sz w:val="26"/>
          <w:szCs w:val="26"/>
        </w:rPr>
        <w:t xml:space="preserve">Method and Base Rate</w:t>
      </w:r>
    </w:p>
    <w:p>
      <w:pPr>
        <w:pStyle w:val="Heading2"/>
        <w:spacing w:after="80" w:before="160"/>
      </w:pPr>
      <w:r>
        <w:rPr>
          <w:rFonts w:ascii="Arial" w:cs="Arial" w:eastAsia="Arial" w:hAnsi="Arial"/>
          <w:b/>
          <w:bCs/>
          <w:color w:val="204060"/>
          <w:sz w:val="22"/>
          <w:szCs w:val="22"/>
        </w:rPr>
        <w:t xml:space="preserve">Reference class</w:t>
      </w:r>
    </w:p>
    <w:p>
      <w:pPr>
        <w:spacing w:after="120"/>
        <w:jc w:val="both"/>
      </w:pPr>
      <w:r>
        <w:rPr>
          <w:rFonts w:ascii="Arial" w:cs="Arial" w:eastAsia="Arial" w:hAnsi="Arial"/>
          <w:b w:val="false"/>
          <w:bCs w:val="false"/>
          <w:i w:val="false"/>
          <w:iCs w:val="false"/>
          <w:sz w:val="20"/>
          <w:szCs w:val="20"/>
        </w:rPr>
        <w:t xml:space="preserve">The starting set is industrial-scale attritional wars involving a major or nuclear power with sustained outside support to one side: Korea, Iran–Iraq, the Soviet–Afghan war, Vietnam, Afghanistan, and the Chechen wars. These last about 8 to 9 years on average. For a war in its fifth year, that implies a starting annual termination chance near 10 percent, set as a wide Beta(2.5, 22.5) prior.</w:t>
      </w:r>
      <w:r>
        <w:rPr>
          <w:rFonts w:ascii="Arial" w:cs="Arial" w:eastAsia="Arial" w:hAnsi="Arial"/>
          <w:b w:val="false"/>
          <w:bCs w:val="false"/>
          <w:i w:val="false"/>
          <w:iCs w:val="false"/>
          <w:sz w:val="20"/>
          <w:szCs w:val="20"/>
          <w:vertAlign w:val="superscript"/>
        </w:rPr>
        <w:t xml:space="preserve"> 2</w:t>
      </w:r>
    </w:p>
    <w:p>
      <w:pPr>
        <w:pStyle w:val="Heading2"/>
        <w:spacing w:after="80" w:before="160"/>
      </w:pPr>
      <w:r>
        <w:rPr>
          <w:rFonts w:ascii="Arial" w:cs="Arial" w:eastAsia="Arial" w:hAnsi="Arial"/>
          <w:b/>
          <w:bCs/>
          <w:color w:val="204060"/>
          <w:sz w:val="22"/>
          <w:szCs w:val="22"/>
        </w:rPr>
        <w:t xml:space="preserve">New variables in this revision, and how each is treated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left"/>
            </w:pPr>
            <w:r>
              <w:rPr>
                <w:rFonts w:ascii="Arial" w:cs="Arial" w:eastAsia="Arial" w:hAnsi="Arial"/>
                <w:b/>
                <w:bCs/>
                <w:color w:val="FFFFFF"/>
                <w:sz w:val="17"/>
                <w:szCs w:val="17"/>
              </w:rPr>
              <w:t xml:space="preserve">New variable</w:t>
            </w:r>
          </w:p>
        </w:tc>
        <w:tc>
          <w:tcPr>
            <w:tcW w:type="dxa" w:w="2200"/>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center"/>
            </w:pPr>
            <w:r>
              <w:rPr>
                <w:rFonts w:ascii="Arial" w:cs="Arial" w:eastAsia="Arial" w:hAnsi="Arial"/>
                <w:b/>
                <w:bCs/>
                <w:color w:val="FFFFFF"/>
                <w:sz w:val="17"/>
                <w:szCs w:val="17"/>
              </w:rPr>
              <w:t xml:space="preserve">Treatment</w:t>
            </w:r>
          </w:p>
        </w:tc>
        <w:tc>
          <w:tcPr>
            <w:tcW w:type="dxa" w:w="4160"/>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center"/>
            </w:pPr>
            <w:r>
              <w:rPr>
                <w:rFonts w:ascii="Arial" w:cs="Arial" w:eastAsia="Arial" w:hAnsi="Arial"/>
                <w:b/>
                <w:bCs/>
                <w:color w:val="FFFFFF"/>
                <w:sz w:val="17"/>
                <w:szCs w:val="17"/>
              </w:rPr>
              <w:t xml:space="preserve">Effect on the forecast</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Manpower delta (losses vs recruitment)</w:t>
            </w:r>
          </w:p>
        </w:tc>
        <w:tc>
          <w:tcPr>
            <w:tcW w:type="dxa" w:w="22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Sensitivity branch</w:t>
            </w:r>
          </w:p>
        </w:tc>
        <w:tc>
          <w:tcPr>
            <w:tcW w:type="dxa" w:w="41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Confirms direction; no base-case change</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Force-quality degradation</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Driver weight</w:t>
            </w:r>
          </w:p>
        </w:tc>
        <w:tc>
          <w:tcPr>
            <w:tcW w:type="dxa" w:w="4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Supports existing Ukraine-favoring tilt</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Kinetic action vs Western transport</w:t>
            </w:r>
          </w:p>
        </w:tc>
        <w:tc>
          <w:tcPr>
            <w:tcW w:type="dxa" w:w="22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Tracked shock</w:t>
            </w:r>
          </w:p>
        </w:tc>
        <w:tc>
          <w:tcPr>
            <w:tcW w:type="dxa" w:w="41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Feeds wider-war tail; no base-case change</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Short-of-war retaliation</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Uncertainty widener</w:t>
            </w:r>
          </w:p>
        </w:tc>
        <w:tc>
          <w:tcPr>
            <w:tcW w:type="dxa" w:w="4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Widens band; no mean change</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Russian strategy change</w:t>
            </w:r>
          </w:p>
        </w:tc>
        <w:tc>
          <w:tcPr>
            <w:tcW w:type="dxa" w:w="22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Conditional branch</w:t>
            </w:r>
          </w:p>
        </w:tc>
        <w:tc>
          <w:tcPr>
            <w:tcW w:type="dxa" w:w="41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Shifts mass to middle if it occurs</w:t>
            </w:r>
          </w:p>
        </w:tc>
      </w:tr>
    </w:tbl>
    <w:p>
      <w:pPr>
        <w:spacing w:after="120"/>
        <w:jc w:val="both"/>
      </w:pPr>
      <w:r>
        <w:rPr>
          <w:rFonts w:ascii="Arial" w:cs="Arial" w:eastAsia="Arial" w:hAnsi="Arial"/>
          <w:b w:val="false"/>
          <w:bCs w:val="false"/>
          <w:i w:val="false"/>
          <w:iCs w:val="false"/>
          <w:sz w:val="20"/>
          <w:szCs w:val="20"/>
        </w:rPr>
        <w:t xml:space="preserve">This is the disciplined result the reviewer asked for. The evidence did not justify moving the mean. Instead it required new sensitivity branches, a wider uncertainty band, new warning indicators, a transportation-security section, and refined scenario definitions.</w:t>
      </w:r>
    </w:p>
    <w:p>
      <w:pPr>
        <w:pStyle w:val="Heading2"/>
        <w:spacing w:after="80" w:before="160"/>
      </w:pPr>
      <w:r>
        <w:rPr>
          <w:rFonts w:ascii="Arial" w:cs="Arial" w:eastAsia="Arial" w:hAnsi="Arial"/>
          <w:b/>
          <w:bCs/>
          <w:color w:val="204060"/>
          <w:sz w:val="22"/>
          <w:szCs w:val="22"/>
        </w:rPr>
        <w:t xml:space="preserve">Sensitivity check on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800"/>
        <w:gridCol w:w="2400"/>
      </w:tblGrid>
      <w:tr>
        <w:trPr>
          <w:tblHeader/>
        </w:trPr>
        <w:tc>
          <w:tcPr>
            <w:tcW w:type="dxa" w:w="2160"/>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left"/>
            </w:pPr>
            <w:r>
              <w:rPr>
                <w:rFonts w:ascii="Arial" w:cs="Arial" w:eastAsia="Arial" w:hAnsi="Arial"/>
                <w:b/>
                <w:bCs/>
                <w:color w:val="FFFFFF"/>
                <w:sz w:val="17"/>
                <w:szCs w:val="17"/>
              </w:rPr>
              <w:t xml:space="preserve">Case</w:t>
            </w:r>
          </w:p>
        </w:tc>
        <w:tc>
          <w:tcPr>
            <w:tcW w:type="dxa" w:w="4800"/>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center"/>
            </w:pPr>
            <w:r>
              <w:rPr>
                <w:rFonts w:ascii="Arial" w:cs="Arial" w:eastAsia="Arial" w:hAnsi="Arial"/>
                <w:b/>
                <w:bCs/>
                <w:color w:val="FFFFFF"/>
                <w:sz w:val="17"/>
                <w:szCs w:val="17"/>
              </w:rPr>
              <w:t xml:space="preserve">What it assumes</w:t>
            </w:r>
          </w:p>
        </w:tc>
        <w:tc>
          <w:tcPr>
            <w:tcW w:type="dxa" w:w="2400"/>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vAlign w:val="center"/>
          </w:tcPr>
          <w:p>
            <w:pPr>
              <w:jc w:val="center"/>
            </w:pPr>
            <w:r>
              <w:rPr>
                <w:rFonts w:ascii="Arial" w:cs="Arial" w:eastAsia="Arial" w:hAnsi="Arial"/>
                <w:b/>
                <w:bCs/>
                <w:color w:val="FFFFFF"/>
                <w:sz w:val="17"/>
                <w:szCs w:val="17"/>
              </w:rPr>
              <w:t xml:space="preserve">Ends by 2028</w:t>
            </w:r>
          </w:p>
        </w:tc>
      </w:tr>
      <w:tr>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Low</w:t>
            </w:r>
          </w:p>
        </w:tc>
        <w:tc>
          <w:tcPr>
            <w:tcW w:type="dxa" w:w="4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Talks fail; oil windfall and reserves steady Russia</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~20%</w:t>
            </w:r>
          </w:p>
        </w:tc>
      </w:tr>
      <w:tr>
        <w:tc>
          <w:tcPr>
            <w:tcW w:type="dxa" w:w="21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Base</w:t>
            </w:r>
          </w:p>
        </w:tc>
        <w:tc>
          <w:tcPr>
            <w:tcW w:type="dxa" w:w="48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Current trajectory; manpower and oil pressures offset</w:t>
            </w:r>
          </w:p>
        </w:tc>
        <w:tc>
          <w:tcPr>
            <w:tcW w:type="dxa" w:w="24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~35%</w:t>
            </w:r>
          </w:p>
        </w:tc>
      </w:tr>
      <w:tr>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High</w:t>
            </w:r>
          </w:p>
        </w:tc>
        <w:tc>
          <w:tcPr>
            <w:tcW w:type="dxa" w:w="4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Manpower wall plus oil-price fall hit together</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~50%</w:t>
            </w:r>
          </w:p>
        </w:tc>
      </w:tr>
    </w:tbl>
    <w:p>
      <w:pPr>
        <w:spacing w:after="100"/>
        <w:jc w:val="both"/>
      </w:pPr>
      <w:r>
        <w:rPr>
          <w:rFonts w:ascii="Arial" w:cs="Arial" w:eastAsia="Arial" w:hAnsi="Arial"/>
          <w:b w:val="false"/>
          <w:bCs w:val="false"/>
          <w:i w:val="false"/>
          <w:iCs w:val="false"/>
          <w:color w:val="444444"/>
          <w:sz w:val="17"/>
          <w:szCs w:val="17"/>
        </w:rPr>
        <w:t xml:space="preserve">Across the range, the chance of ending by 2028 stays in or near the “unlikely” band. The timing judgment holds.</w:t>
      </w:r>
    </w:p>
    <w:p>
      <w:r>
        <w:br w:type="page"/>
      </w:r>
    </w:p>
    <w:p>
      <w:pPr>
        <w:pStyle w:val="Heading1"/>
        <w:spacing w:after="120" w:before="240"/>
      </w:pPr>
      <w:r>
        <w:rPr>
          <w:rFonts w:ascii="Arial" w:cs="Arial" w:eastAsia="Arial" w:hAnsi="Arial"/>
          <w:b/>
          <w:bCs/>
          <w:color w:val="0B2E4F"/>
          <w:sz w:val="26"/>
          <w:szCs w:val="26"/>
        </w:rPr>
        <w:t xml:space="preserve">Limits and Competing Views</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View A — Ukraine is winning the attrition race. </w:t>
      </w:r>
      <w:r>
        <w:rPr>
          <w:rFonts w:ascii="Arial" w:cs="Arial" w:eastAsia="Arial" w:hAnsi="Arial"/>
          <w:b w:val="false"/>
          <w:bCs w:val="false"/>
          <w:i w:val="false"/>
          <w:iCs w:val="false"/>
          <w:sz w:val="20"/>
          <w:szCs w:val="20"/>
        </w:rPr>
        <w:t xml:space="preserve">Losses outrun recruitment; quality is falling. Sits behind the collapse weight and the high-stress branch.</w:t>
      </w:r>
      <w:r>
        <w:rPr>
          <w:rFonts w:ascii="Arial" w:cs="Arial" w:eastAsia="Arial" w:hAnsi="Arial"/>
          <w:b w:val="false"/>
          <w:bCs w:val="false"/>
          <w:i w:val="false"/>
          <w:iCs w:val="false"/>
          <w:sz w:val="20"/>
          <w:szCs w:val="20"/>
          <w:vertAlign w:val="superscript"/>
        </w:rPr>
        <w:t xml:space="preserve">15, 19</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View B — Russian losses are overstated. </w:t>
      </w:r>
      <w:r>
        <w:rPr>
          <w:rFonts w:ascii="Arial" w:cs="Arial" w:eastAsia="Arial" w:hAnsi="Arial"/>
          <w:b w:val="false"/>
          <w:bCs w:val="false"/>
          <w:i w:val="false"/>
          <w:iCs w:val="false"/>
          <w:sz w:val="20"/>
          <w:szCs w:val="20"/>
        </w:rPr>
        <w:t xml:space="preserve">Irrecoverable losses run lower than headline casualties, and Russia still recruits and draws on reserves. Sits behind the decision not to raise the collapse weight.</w:t>
      </w:r>
      <w:r>
        <w:rPr>
          <w:rFonts w:ascii="Arial" w:cs="Arial" w:eastAsia="Arial" w:hAnsi="Arial"/>
          <w:b w:val="false"/>
          <w:bCs w:val="false"/>
          <w:i w:val="false"/>
          <w:iCs w:val="false"/>
          <w:sz w:val="20"/>
          <w:szCs w:val="20"/>
          <w:vertAlign w:val="superscript"/>
        </w:rPr>
        <w:t xml:space="preserve">16</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View C — do not underrate Russia. </w:t>
      </w:r>
      <w:r>
        <w:rPr>
          <w:rFonts w:ascii="Arial" w:cs="Arial" w:eastAsia="Arial" w:hAnsi="Arial"/>
          <w:b w:val="false"/>
          <w:bCs w:val="false"/>
          <w:i w:val="false"/>
          <w:iCs w:val="false"/>
          <w:sz w:val="20"/>
          <w:szCs w:val="20"/>
        </w:rPr>
        <w:t xml:space="preserve">Battlefield success can breed false comfort; Russia adapts. Sits behind the long tail.</w:t>
      </w:r>
      <w:r>
        <w:rPr>
          <w:rFonts w:ascii="Arial" w:cs="Arial" w:eastAsia="Arial" w:hAnsi="Arial"/>
          <w:b w:val="false"/>
          <w:bCs w:val="false"/>
          <w:i w:val="false"/>
          <w:iCs w:val="false"/>
          <w:sz w:val="20"/>
          <w:szCs w:val="20"/>
          <w:vertAlign w:val="superscript"/>
        </w:rPr>
        <w:t xml:space="preserve">11</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View D — a bad deal could still reward Russia. </w:t>
      </w:r>
      <w:r>
        <w:rPr>
          <w:rFonts w:ascii="Arial" w:cs="Arial" w:eastAsia="Arial" w:hAnsi="Arial"/>
          <w:b w:val="false"/>
          <w:bCs w:val="false"/>
          <w:i w:val="false"/>
          <w:iCs w:val="false"/>
          <w:sz w:val="20"/>
          <w:szCs w:val="20"/>
        </w:rPr>
        <w:t xml:space="preserve">A poorly drawn ceasefire could hand Moscow gains. Sits inside the armistice and concession branches.</w:t>
      </w:r>
      <w:r>
        <w:rPr>
          <w:rFonts w:ascii="Arial" w:cs="Arial" w:eastAsia="Arial" w:hAnsi="Arial"/>
          <w:b w:val="false"/>
          <w:bCs w:val="false"/>
          <w:i w:val="false"/>
          <w:iCs w:val="false"/>
          <w:sz w:val="20"/>
          <w:szCs w:val="20"/>
          <w:vertAlign w:val="superscript"/>
        </w:rPr>
        <w:t xml:space="preserve">4</w:t>
      </w:r>
    </w:p>
    <w:p>
      <w:pPr>
        <w:spacing w:after="120"/>
        <w:jc w:val="both"/>
      </w:pPr>
      <w:r>
        <w:rPr>
          <w:rFonts w:ascii="Arial" w:cs="Arial" w:eastAsia="Arial" w:hAnsi="Arial"/>
          <w:b w:val="false"/>
          <w:bCs w:val="false"/>
          <w:i w:val="false"/>
          <w:iCs w:val="false"/>
          <w:sz w:val="20"/>
          <w:szCs w:val="20"/>
        </w:rPr>
        <w:t xml:space="preserve">Where the model is most uncertain: the durability of the manpower trend, the path of oil prices, whether Russia shifts to force preservation, and whether short-of-war pressure quietly erodes Western resolve. These are the reasons the uncertainty band is wide rather than the mean being moved.</w:t>
      </w:r>
    </w:p>
    <w:p>
      <w:r>
        <w:br w:type="page"/>
      </w:r>
    </w:p>
    <w:p>
      <w:pPr>
        <w:pStyle w:val="Heading1"/>
        <w:spacing w:after="120" w:before="240"/>
      </w:pPr>
      <w:r>
        <w:rPr>
          <w:rFonts w:ascii="Arial" w:cs="Arial" w:eastAsia="Arial" w:hAnsi="Arial"/>
          <w:b/>
          <w:bCs/>
          <w:color w:val="0B2E4F"/>
          <w:sz w:val="26"/>
          <w:szCs w:val="26"/>
        </w:rPr>
        <w:t xml:space="preserve">What Would Change the Forecast Next</w:t>
      </w:r>
    </w:p>
    <w:p>
      <w:pPr>
        <w:spacing w:after="120"/>
        <w:jc w:val="both"/>
      </w:pPr>
      <w:r>
        <w:rPr>
          <w:rFonts w:ascii="Arial" w:cs="Arial" w:eastAsia="Arial" w:hAnsi="Arial"/>
          <w:b w:val="false"/>
          <w:bCs w:val="false"/>
          <w:i w:val="false"/>
          <w:iCs w:val="false"/>
          <w:sz w:val="20"/>
          <w:szCs w:val="20"/>
        </w:rPr>
        <w:t xml:space="preserve">These are the indicators most likely to move the forecast. Each is tied to a direction.</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Russian monthly losses persistently exceeding useful force generation, confirmed across independent sources. </w:t>
      </w:r>
      <w:r>
        <w:rPr>
          <w:rFonts w:ascii="Arial" w:cs="Arial" w:eastAsia="Arial" w:hAnsi="Arial"/>
          <w:b w:val="false"/>
          <w:bCs w:val="false"/>
          <w:i w:val="false"/>
          <w:iCs w:val="false"/>
          <w:sz w:val="20"/>
          <w:szCs w:val="20"/>
        </w:rPr>
        <w:t xml:space="preserve">Would raise the collapse and high-stress branch.</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Evidence of recruitment failure or an emergency mobilization. </w:t>
      </w:r>
      <w:r>
        <w:rPr>
          <w:rFonts w:ascii="Arial" w:cs="Arial" w:eastAsia="Arial" w:hAnsi="Arial"/>
          <w:b w:val="false"/>
          <w:bCs w:val="false"/>
          <w:i w:val="false"/>
          <w:iCs w:val="false"/>
          <w:sz w:val="20"/>
          <w:szCs w:val="20"/>
        </w:rPr>
        <w:t xml:space="preserve">Would raise collapse and regime-change weights.</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Evidence Russia is preserving force quality despite losses. </w:t>
      </w:r>
      <w:r>
        <w:rPr>
          <w:rFonts w:ascii="Arial" w:cs="Arial" w:eastAsia="Arial" w:hAnsi="Arial"/>
          <w:b w:val="false"/>
          <w:bCs w:val="false"/>
          <w:i w:val="false"/>
          <w:iCs w:val="false"/>
          <w:sz w:val="20"/>
          <w:szCs w:val="20"/>
        </w:rPr>
        <w:t xml:space="preserve">Would lower the collapse weight.</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Significant, sustained disruption to Western supply flows into Ukraine. </w:t>
      </w:r>
      <w:r>
        <w:rPr>
          <w:rFonts w:ascii="Arial" w:cs="Arial" w:eastAsia="Arial" w:hAnsi="Arial"/>
          <w:b w:val="false"/>
          <w:bCs w:val="false"/>
          <w:i w:val="false"/>
          <w:iCs w:val="false"/>
          <w:sz w:val="20"/>
          <w:szCs w:val="20"/>
        </w:rPr>
        <w:t xml:space="preserve">Could pressure Ukrainian sustainment; watch whether it instead hardens Western resolve.</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A confirmed Russian covert campaign against transportation and logistics networks. </w:t>
      </w:r>
      <w:r>
        <w:rPr>
          <w:rFonts w:ascii="Arial" w:cs="Arial" w:eastAsia="Arial" w:hAnsi="Arial"/>
          <w:b w:val="false"/>
          <w:bCs w:val="false"/>
          <w:i w:val="false"/>
          <w:iCs w:val="false"/>
          <w:sz w:val="20"/>
          <w:szCs w:val="20"/>
        </w:rPr>
        <w:t xml:space="preserve">Raises the wider-war tail and the transport-security risk.</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A major Russian cyber or navigation-interference campaign hitting Western transport. </w:t>
      </w:r>
      <w:r>
        <w:rPr>
          <w:rFonts w:ascii="Arial" w:cs="Arial" w:eastAsia="Arial" w:hAnsi="Arial"/>
          <w:b w:val="false"/>
          <w:bCs w:val="false"/>
          <w:i w:val="false"/>
          <w:iCs w:val="false"/>
          <w:sz w:val="20"/>
          <w:szCs w:val="20"/>
        </w:rPr>
        <w:t xml:space="preserve">Widens uncertainty; mainly a parallel risk.</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Russia shifting from manpower attrition to infrastructure coercion. </w:t>
      </w:r>
      <w:r>
        <w:rPr>
          <w:rFonts w:ascii="Arial" w:cs="Arial" w:eastAsia="Arial" w:hAnsi="Arial"/>
          <w:b w:val="false"/>
          <w:bCs w:val="false"/>
          <w:i w:val="false"/>
          <w:iCs w:val="false"/>
          <w:sz w:val="20"/>
          <w:szCs w:val="20"/>
        </w:rPr>
        <w:t xml:space="preserve">Moves mass from collapse toward frozen war and armistice.</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Ukrainian air-defense stocks falling below sustainable levels. </w:t>
      </w:r>
      <w:r>
        <w:rPr>
          <w:rFonts w:ascii="Arial" w:cs="Arial" w:eastAsia="Arial" w:hAnsi="Arial"/>
          <w:b w:val="false"/>
          <w:bCs w:val="false"/>
          <w:i w:val="false"/>
          <w:iCs w:val="false"/>
          <w:sz w:val="20"/>
          <w:szCs w:val="20"/>
        </w:rPr>
        <w:t xml:space="preserve">Raises the concession weight.</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Western aid accelerating or collapsing. </w:t>
      </w:r>
      <w:r>
        <w:rPr>
          <w:rFonts w:ascii="Arial" w:cs="Arial" w:eastAsia="Arial" w:hAnsi="Arial"/>
          <w:b w:val="false"/>
          <w:bCs w:val="false"/>
          <w:i w:val="false"/>
          <w:iCs w:val="false"/>
          <w:sz w:val="20"/>
          <w:szCs w:val="20"/>
        </w:rPr>
        <w:t xml:space="preserve">Acceleration lowers concession; collapse raises it.</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Oil prices falling enough to remove Russia's fiscal cushion. </w:t>
      </w:r>
      <w:r>
        <w:rPr>
          <w:rFonts w:ascii="Arial" w:cs="Arial" w:eastAsia="Arial" w:hAnsi="Arial"/>
          <w:b w:val="false"/>
          <w:bCs w:val="false"/>
          <w:i w:val="false"/>
          <w:iCs w:val="false"/>
          <w:sz w:val="20"/>
          <w:szCs w:val="20"/>
        </w:rPr>
        <w:t xml:space="preserve">Raises pressure on Russia; lowers the long tail.</w:t>
      </w:r>
    </w:p>
    <w:p>
      <w:pPr>
        <w:spacing w:after="60"/>
        <w:ind w:left="460" w:hanging="240"/>
        <w:jc w:val="both"/>
      </w:pPr>
      <w:r>
        <w:rPr>
          <w:rFonts w:ascii="Arial" w:cs="Arial" w:eastAsia="Arial" w:hAnsi="Arial"/>
          <w:sz w:val="20"/>
          <w:szCs w:val="20"/>
        </w:rPr>
        <w:t xml:space="preserve">▲  </w:t>
      </w:r>
      <w:r>
        <w:rPr>
          <w:rFonts w:ascii="Arial" w:cs="Arial" w:eastAsia="Arial" w:hAnsi="Arial"/>
          <w:b/>
          <w:bCs/>
          <w:i w:val="false"/>
          <w:iCs w:val="false"/>
          <w:sz w:val="20"/>
          <w:szCs w:val="20"/>
        </w:rPr>
        <w:t xml:space="preserve">A major NATO–Russia incident. </w:t>
      </w:r>
      <w:r>
        <w:rPr>
          <w:rFonts w:ascii="Arial" w:cs="Arial" w:eastAsia="Arial" w:hAnsi="Arial"/>
          <w:b w:val="false"/>
          <w:bCs w:val="false"/>
          <w:i w:val="false"/>
          <w:iCs w:val="false"/>
          <w:sz w:val="20"/>
          <w:szCs w:val="20"/>
        </w:rPr>
        <w:t xml:space="preserve">Raises the remote escalation branch.</w:t>
      </w:r>
    </w:p>
    <w:p>
      <w:r>
        <w:br w:type="page"/>
      </w:r>
    </w:p>
    <w:p>
      <w:pPr>
        <w:pStyle w:val="Heading1"/>
        <w:spacing w:after="120" w:before="240"/>
      </w:pPr>
      <w:r>
        <w:rPr>
          <w:rFonts w:ascii="Arial" w:cs="Arial" w:eastAsia="Arial" w:hAnsi="Arial"/>
          <w:b/>
          <w:bCs/>
          <w:color w:val="0B2E4F"/>
          <w:sz w:val="26"/>
          <w:szCs w:val="26"/>
        </w:rPr>
        <w:t xml:space="preserve">Endnotes (Source Citations under ICD-206)</w:t>
      </w:r>
    </w:p>
    <w:p>
      <w:pPr>
        <w:spacing w:after="100"/>
        <w:jc w:val="both"/>
      </w:pPr>
      <w:r>
        <w:rPr>
          <w:rFonts w:ascii="Arial" w:cs="Arial" w:eastAsia="Arial" w:hAnsi="Arial"/>
          <w:b w:val="false"/>
          <w:bCs w:val="false"/>
          <w:i w:val="false"/>
          <w:iCs w:val="false"/>
          <w:color w:val="444444"/>
          <w:sz w:val="17"/>
          <w:szCs w:val="17"/>
        </w:rPr>
        <w:t xml:space="preserve">All sources are open, primary or institutional. Main-body facts rest on two or more independent sources where possible; single-source points are labelled in text. Sections on sabotage, cyber, and infrastructure draw on published institutional and press reporting and are kept non-operational.</w:t>
      </w:r>
    </w:p>
    <w:p>
      <w:pPr>
        <w:spacing w:after="60"/>
        <w:ind w:left="360" w:hanging="360"/>
        <w:jc w:val="both"/>
      </w:pPr>
      <w:r>
        <w:rPr>
          <w:rFonts w:ascii="Arial" w:cs="Arial" w:eastAsia="Arial" w:hAnsi="Arial"/>
          <w:b/>
          <w:bCs/>
          <w:sz w:val="16"/>
          <w:szCs w:val="16"/>
        </w:rPr>
        <w:t xml:space="preserve">1.  </w:t>
      </w:r>
      <w:r>
        <w:rPr>
          <w:rFonts w:ascii="Arial" w:cs="Arial" w:eastAsia="Arial" w:hAnsi="Arial"/>
          <w:sz w:val="16"/>
          <w:szCs w:val="16"/>
        </w:rPr>
        <w:t xml:space="preserve">Al Jazeera News Desk, “Will the Russia-Ukraine war end in 2026?” 26 December 2025.</w:t>
      </w:r>
    </w:p>
    <w:p>
      <w:pPr>
        <w:spacing w:after="60"/>
        <w:ind w:left="360" w:hanging="360"/>
        <w:jc w:val="both"/>
      </w:pPr>
      <w:r>
        <w:rPr>
          <w:rFonts w:ascii="Arial" w:cs="Arial" w:eastAsia="Arial" w:hAnsi="Arial"/>
          <w:b/>
          <w:bCs/>
          <w:sz w:val="16"/>
          <w:szCs w:val="16"/>
        </w:rPr>
        <w:t xml:space="preserve">2.  </w:t>
      </w:r>
      <w:r>
        <w:rPr>
          <w:rFonts w:ascii="Arial" w:cs="Arial" w:eastAsia="Arial" w:hAnsi="Arial"/>
          <w:sz w:val="16"/>
          <w:szCs w:val="16"/>
        </w:rPr>
        <w:t xml:space="preserve">Reference-class war lengths: Correlates of War project dataset and conflict histories from the United States Army Center of Military History and Central Intelligence Agency historical studies.</w:t>
      </w:r>
    </w:p>
    <w:p>
      <w:pPr>
        <w:spacing w:after="60"/>
        <w:ind w:left="360" w:hanging="360"/>
        <w:jc w:val="both"/>
      </w:pPr>
      <w:r>
        <w:rPr>
          <w:rFonts w:ascii="Arial" w:cs="Arial" w:eastAsia="Arial" w:hAnsi="Arial"/>
          <w:b/>
          <w:bCs/>
          <w:sz w:val="16"/>
          <w:szCs w:val="16"/>
        </w:rPr>
        <w:t xml:space="preserve">3.  </w:t>
      </w:r>
      <w:r>
        <w:rPr>
          <w:rFonts w:ascii="Arial" w:cs="Arial" w:eastAsia="Arial" w:hAnsi="Arial"/>
          <w:sz w:val="16"/>
          <w:szCs w:val="16"/>
        </w:rPr>
        <w:t xml:space="preserve">Institute for the Study of War (ISW), “Russian Offensive Campaign Assessment, February 1, 2026,” Critical Threats Project.</w:t>
      </w:r>
    </w:p>
    <w:p>
      <w:pPr>
        <w:spacing w:after="60"/>
        <w:ind w:left="360" w:hanging="360"/>
        <w:jc w:val="both"/>
      </w:pPr>
      <w:r>
        <w:rPr>
          <w:rFonts w:ascii="Arial" w:cs="Arial" w:eastAsia="Arial" w:hAnsi="Arial"/>
          <w:b/>
          <w:bCs/>
          <w:sz w:val="16"/>
          <w:szCs w:val="16"/>
        </w:rPr>
        <w:t xml:space="preserve">4.  </w:t>
      </w:r>
      <w:r>
        <w:rPr>
          <w:rFonts w:ascii="Arial" w:cs="Arial" w:eastAsia="Arial" w:hAnsi="Arial"/>
          <w:sz w:val="16"/>
          <w:szCs w:val="16"/>
        </w:rPr>
        <w:t xml:space="preserve">Center for Strategic and International Studies (CSIS), “Assessing the Current Peace Deal for Ukraine: Opportunity or Strategic Trap?” 9 February 2026.</w:t>
      </w:r>
    </w:p>
    <w:p>
      <w:pPr>
        <w:spacing w:after="60"/>
        <w:ind w:left="360" w:hanging="360"/>
        <w:jc w:val="both"/>
      </w:pPr>
      <w:r>
        <w:rPr>
          <w:rFonts w:ascii="Arial" w:cs="Arial" w:eastAsia="Arial" w:hAnsi="Arial"/>
          <w:b/>
          <w:bCs/>
          <w:sz w:val="16"/>
          <w:szCs w:val="16"/>
        </w:rPr>
        <w:t xml:space="preserve">5.  </w:t>
      </w:r>
      <w:r>
        <w:rPr>
          <w:rFonts w:ascii="Arial" w:cs="Arial" w:eastAsia="Arial" w:hAnsi="Arial"/>
          <w:sz w:val="16"/>
          <w:szCs w:val="16"/>
        </w:rPr>
        <w:t xml:space="preserve">Andrew S. Weiss, “What If Trump Gets His Russia-Ukraine Deal?” Carnegie Endowment for International Peace, 13 February 2026.</w:t>
      </w:r>
    </w:p>
    <w:p>
      <w:pPr>
        <w:spacing w:after="60"/>
        <w:ind w:left="360" w:hanging="360"/>
        <w:jc w:val="both"/>
      </w:pPr>
      <w:r>
        <w:rPr>
          <w:rFonts w:ascii="Arial" w:cs="Arial" w:eastAsia="Arial" w:hAnsi="Arial"/>
          <w:b/>
          <w:bCs/>
          <w:sz w:val="16"/>
          <w:szCs w:val="16"/>
        </w:rPr>
        <w:t xml:space="preserve">6.  </w:t>
      </w:r>
      <w:r>
        <w:rPr>
          <w:rFonts w:ascii="Arial" w:cs="Arial" w:eastAsia="Arial" w:hAnsi="Arial"/>
          <w:sz w:val="16"/>
          <w:szCs w:val="16"/>
        </w:rPr>
        <w:t xml:space="preserve">RAND Corporation, “The War Is Coming Home to Russia,” 20 February 2026.</w:t>
      </w:r>
    </w:p>
    <w:p>
      <w:pPr>
        <w:spacing w:after="60"/>
        <w:ind w:left="360" w:hanging="360"/>
        <w:jc w:val="both"/>
      </w:pPr>
      <w:r>
        <w:rPr>
          <w:rFonts w:ascii="Arial" w:cs="Arial" w:eastAsia="Arial" w:hAnsi="Arial"/>
          <w:b/>
          <w:bCs/>
          <w:sz w:val="16"/>
          <w:szCs w:val="16"/>
        </w:rPr>
        <w:t xml:space="preserve">7.  </w:t>
      </w:r>
      <w:r>
        <w:rPr>
          <w:rFonts w:ascii="Arial" w:cs="Arial" w:eastAsia="Arial" w:hAnsi="Arial"/>
          <w:sz w:val="16"/>
          <w:szCs w:val="16"/>
        </w:rPr>
        <w:t xml:space="preserve">European Leadership Network, “Understanding Russia's wartime economy,” March 2026.</w:t>
      </w:r>
    </w:p>
    <w:p>
      <w:pPr>
        <w:spacing w:after="60"/>
        <w:ind w:left="360" w:hanging="360"/>
        <w:jc w:val="both"/>
      </w:pPr>
      <w:r>
        <w:rPr>
          <w:rFonts w:ascii="Arial" w:cs="Arial" w:eastAsia="Arial" w:hAnsi="Arial"/>
          <w:b/>
          <w:bCs/>
          <w:sz w:val="16"/>
          <w:szCs w:val="16"/>
        </w:rPr>
        <w:t xml:space="preserve">8.  </w:t>
      </w:r>
      <w:r>
        <w:rPr>
          <w:rFonts w:ascii="Arial" w:cs="Arial" w:eastAsia="Arial" w:hAnsi="Arial"/>
          <w:sz w:val="16"/>
          <w:szCs w:val="16"/>
        </w:rPr>
        <w:t xml:space="preserve">Peter Beaumont, “‘Highway of death’: the Ukrainian drone campaign menacing Russian logistics,” The Guardian, 11 June 2026, with an Institute for the Study of War assessment of the operational effect.</w:t>
      </w:r>
    </w:p>
    <w:p>
      <w:pPr>
        <w:spacing w:after="60"/>
        <w:ind w:left="360" w:hanging="360"/>
        <w:jc w:val="both"/>
      </w:pPr>
      <w:r>
        <w:rPr>
          <w:rFonts w:ascii="Arial" w:cs="Arial" w:eastAsia="Arial" w:hAnsi="Arial"/>
          <w:b/>
          <w:bCs/>
          <w:sz w:val="16"/>
          <w:szCs w:val="16"/>
        </w:rPr>
        <w:t xml:space="preserve">9.  </w:t>
      </w:r>
      <w:r>
        <w:rPr>
          <w:rFonts w:ascii="Arial" w:cs="Arial" w:eastAsia="Arial" w:hAnsi="Arial"/>
          <w:sz w:val="16"/>
          <w:szCs w:val="16"/>
        </w:rPr>
        <w:t xml:space="preserve">Institute for the Study of War (ISW), Russian Offensive Campaign Assessment, late May / early June 2026 series, understandingwar.org.</w:t>
      </w:r>
    </w:p>
    <w:p>
      <w:pPr>
        <w:spacing w:after="60"/>
        <w:ind w:left="360" w:hanging="360"/>
        <w:jc w:val="both"/>
      </w:pPr>
      <w:r>
        <w:rPr>
          <w:rFonts w:ascii="Arial" w:cs="Arial" w:eastAsia="Arial" w:hAnsi="Arial"/>
          <w:b/>
          <w:bCs/>
          <w:sz w:val="16"/>
          <w:szCs w:val="16"/>
        </w:rPr>
        <w:t xml:space="preserve">10.  </w:t>
      </w:r>
      <w:r>
        <w:rPr>
          <w:rFonts w:ascii="Arial" w:cs="Arial" w:eastAsia="Arial" w:hAnsi="Arial"/>
          <w:sz w:val="16"/>
          <w:szCs w:val="16"/>
        </w:rPr>
        <w:t xml:space="preserve">RBC-Ukraine and Kyiv Post wire reports, 11 June 2026.</w:t>
      </w:r>
    </w:p>
    <w:p>
      <w:pPr>
        <w:spacing w:after="60"/>
        <w:ind w:left="360" w:hanging="360"/>
        <w:jc w:val="both"/>
      </w:pPr>
      <w:r>
        <w:rPr>
          <w:rFonts w:ascii="Arial" w:cs="Arial" w:eastAsia="Arial" w:hAnsi="Arial"/>
          <w:b/>
          <w:bCs/>
          <w:sz w:val="16"/>
          <w:szCs w:val="16"/>
        </w:rPr>
        <w:t xml:space="preserve">11.  </w:t>
      </w:r>
      <w:r>
        <w:rPr>
          <w:rFonts w:ascii="Arial" w:cs="Arial" w:eastAsia="Arial" w:hAnsi="Arial"/>
          <w:sz w:val="16"/>
          <w:szCs w:val="16"/>
        </w:rPr>
        <w:t xml:space="preserve">Atlantic Council UkraineAlert, “Ukraine's battlefield success should not lead us to underestimate Russia,” 2026 (devil's-advocacy check).</w:t>
      </w:r>
    </w:p>
    <w:p>
      <w:pPr>
        <w:spacing w:after="60"/>
        <w:ind w:left="360" w:hanging="360"/>
        <w:jc w:val="both"/>
      </w:pPr>
      <w:r>
        <w:rPr>
          <w:rFonts w:ascii="Arial" w:cs="Arial" w:eastAsia="Arial" w:hAnsi="Arial"/>
          <w:b/>
          <w:bCs/>
          <w:sz w:val="16"/>
          <w:szCs w:val="16"/>
        </w:rPr>
        <w:t xml:space="preserve">12.  </w:t>
      </w:r>
      <w:r>
        <w:rPr>
          <w:rFonts w:ascii="Arial" w:cs="Arial" w:eastAsia="Arial" w:hAnsi="Arial"/>
          <w:sz w:val="16"/>
          <w:szCs w:val="16"/>
        </w:rPr>
        <w:t xml:space="preserve">Ibrahim Naber, “‘This War Has Now Reached Your Homes’: Ukraine's Startling New Message for Russia,” POLITICO Magazine, 19 June 2026.</w:t>
      </w:r>
    </w:p>
    <w:p>
      <w:pPr>
        <w:spacing w:after="60"/>
        <w:ind w:left="360" w:hanging="360"/>
        <w:jc w:val="both"/>
      </w:pPr>
      <w:r>
        <w:rPr>
          <w:rFonts w:ascii="Arial" w:cs="Arial" w:eastAsia="Arial" w:hAnsi="Arial"/>
          <w:b/>
          <w:bCs/>
          <w:sz w:val="16"/>
          <w:szCs w:val="16"/>
        </w:rPr>
        <w:t xml:space="preserve">13.  </w:t>
      </w:r>
      <w:r>
        <w:rPr>
          <w:rFonts w:ascii="Arial" w:cs="Arial" w:eastAsia="Arial" w:hAnsi="Arial"/>
          <w:sz w:val="16"/>
          <w:szCs w:val="16"/>
        </w:rPr>
        <w:t xml:space="preserve">Russia's first official admission of falling oil output, corroborated across OilPrice.com (citing Reuters) and Radio Free Europe/Radio Liberty (RFE/RL): Deputy Prime Minister Alexander Novak, St Petersburg International Economic Forum, June 2026, plus an Energy Ministry acknowledgement of attack-related supply complications.</w:t>
      </w:r>
    </w:p>
    <w:p>
      <w:pPr>
        <w:spacing w:after="60"/>
        <w:ind w:left="360" w:hanging="360"/>
        <w:jc w:val="both"/>
      </w:pPr>
      <w:r>
        <w:rPr>
          <w:rFonts w:ascii="Arial" w:cs="Arial" w:eastAsia="Arial" w:hAnsi="Arial"/>
          <w:b/>
          <w:bCs/>
          <w:sz w:val="16"/>
          <w:szCs w:val="16"/>
        </w:rPr>
        <w:t xml:space="preserve">14.  </w:t>
      </w:r>
      <w:r>
        <w:rPr>
          <w:rFonts w:ascii="Arial" w:cs="Arial" w:eastAsia="Arial" w:hAnsi="Arial"/>
          <w:sz w:val="16"/>
          <w:szCs w:val="16"/>
        </w:rPr>
        <w:t xml:space="preserve">Oil-price context corroborated across Al Jazeera (“Why the oil and gas price shock from the Iran war won't just fade away,” March 2026) and RFE/RL (President Zelenskyy's warning that higher oil prices strengthen Russia).</w:t>
      </w:r>
    </w:p>
    <w:p>
      <w:pPr>
        <w:spacing w:after="60"/>
        <w:ind w:left="360" w:hanging="360"/>
        <w:jc w:val="both"/>
      </w:pPr>
      <w:r>
        <w:rPr>
          <w:rFonts w:ascii="Arial" w:cs="Arial" w:eastAsia="Arial" w:hAnsi="Arial"/>
          <w:b/>
          <w:bCs/>
          <w:sz w:val="16"/>
          <w:szCs w:val="16"/>
        </w:rPr>
        <w:t xml:space="preserve">15.  </w:t>
      </w:r>
      <w:r>
        <w:rPr>
          <w:rFonts w:ascii="Arial" w:cs="Arial" w:eastAsia="Arial" w:hAnsi="Arial"/>
          <w:sz w:val="16"/>
          <w:szCs w:val="16"/>
        </w:rPr>
        <w:t xml:space="preserve">“Ukraine drives record Russian losses as troop deaths outpace recruitment,” LBC, April 2026, citing Ukrainian Defence Intelligence figures on losses, recruitment shortfall, and the casualty-to-territory ratio.</w:t>
      </w:r>
    </w:p>
    <w:p>
      <w:pPr>
        <w:spacing w:after="60"/>
        <w:ind w:left="360" w:hanging="360"/>
        <w:jc w:val="both"/>
      </w:pPr>
      <w:r>
        <w:rPr>
          <w:rFonts w:ascii="Arial" w:cs="Arial" w:eastAsia="Arial" w:hAnsi="Arial"/>
          <w:b/>
          <w:bCs/>
          <w:sz w:val="16"/>
          <w:szCs w:val="16"/>
        </w:rPr>
        <w:t xml:space="preserve">16.  </w:t>
      </w:r>
      <w:r>
        <w:rPr>
          <w:rFonts w:ascii="Arial" w:cs="Arial" w:eastAsia="Arial" w:hAnsi="Arial"/>
          <w:sz w:val="16"/>
          <w:szCs w:val="16"/>
        </w:rPr>
        <w:t xml:space="preserve">Carnegie Endowment for International Peace (Carnegie Politika), “Does Russia Have Enough Soldiers to Keep Waging War Against Ukraine?” February 2026, on the distinction between headline casualties and irrecoverable losses, drawing on Mediazona and Meduza death-record analysis.</w:t>
      </w:r>
    </w:p>
    <w:p>
      <w:pPr>
        <w:spacing w:after="60"/>
        <w:ind w:left="360" w:hanging="360"/>
        <w:jc w:val="both"/>
      </w:pPr>
      <w:r>
        <w:rPr>
          <w:rFonts w:ascii="Arial" w:cs="Arial" w:eastAsia="Arial" w:hAnsi="Arial"/>
          <w:b/>
          <w:bCs/>
          <w:sz w:val="16"/>
          <w:szCs w:val="16"/>
        </w:rPr>
        <w:t xml:space="preserve">17.  </w:t>
      </w:r>
      <w:r>
        <w:rPr>
          <w:rFonts w:ascii="Arial" w:cs="Arial" w:eastAsia="Arial" w:hAnsi="Arial"/>
          <w:sz w:val="16"/>
          <w:szCs w:val="16"/>
        </w:rPr>
        <w:t xml:space="preserve">United States Congressional Research Service, “Russian Military Performance and Outlook” (IF12606), updated 4 February 2026, and CSIS casualty estimates (~1.2 million casualties; ~315,000 killed; ~35,000/month in 2025).</w:t>
      </w:r>
    </w:p>
    <w:p>
      <w:pPr>
        <w:spacing w:after="60"/>
        <w:ind w:left="360" w:hanging="360"/>
        <w:jc w:val="both"/>
      </w:pPr>
      <w:r>
        <w:rPr>
          <w:rFonts w:ascii="Arial" w:cs="Arial" w:eastAsia="Arial" w:hAnsi="Arial"/>
          <w:b/>
          <w:bCs/>
          <w:sz w:val="16"/>
          <w:szCs w:val="16"/>
        </w:rPr>
        <w:t xml:space="preserve">18.  </w:t>
      </w:r>
      <w:r>
        <w:rPr>
          <w:rFonts w:ascii="Arial" w:cs="Arial" w:eastAsia="Arial" w:hAnsi="Arial"/>
          <w:sz w:val="16"/>
          <w:szCs w:val="16"/>
        </w:rPr>
        <w:t xml:space="preserve">Janis Kluge, “Russian recruitment fell by 20% in Q1/2026,” analysis based on Russian Finance Ministry regional budget data, April 2026.</w:t>
      </w:r>
    </w:p>
    <w:p>
      <w:pPr>
        <w:spacing w:after="60"/>
        <w:ind w:left="360" w:hanging="360"/>
        <w:jc w:val="both"/>
      </w:pPr>
      <w:r>
        <w:rPr>
          <w:rFonts w:ascii="Arial" w:cs="Arial" w:eastAsia="Arial" w:hAnsi="Arial"/>
          <w:b/>
          <w:bCs/>
          <w:sz w:val="16"/>
          <w:szCs w:val="16"/>
        </w:rPr>
        <w:t xml:space="preserve">19.  </w:t>
      </w:r>
      <w:r>
        <w:rPr>
          <w:rFonts w:ascii="Arial" w:cs="Arial" w:eastAsia="Arial" w:hAnsi="Arial"/>
          <w:sz w:val="16"/>
          <w:szCs w:val="16"/>
        </w:rPr>
        <w:t xml:space="preserve">Al Jazeera, “Russia suffers ‘record’ soldier casualties as Ukraine ups drone production,” 10 April 2026 (record monthly casualties; 316 casualties per square kilometre; ~940/day recruitment; slowing territorial gains per ISW).</w:t>
      </w:r>
    </w:p>
    <w:p>
      <w:pPr>
        <w:spacing w:after="60"/>
        <w:ind w:left="360" w:hanging="360"/>
        <w:jc w:val="both"/>
      </w:pPr>
      <w:r>
        <w:rPr>
          <w:rFonts w:ascii="Arial" w:cs="Arial" w:eastAsia="Arial" w:hAnsi="Arial"/>
          <w:b/>
          <w:bCs/>
          <w:sz w:val="16"/>
          <w:szCs w:val="16"/>
        </w:rPr>
        <w:t xml:space="preserve">20.  </w:t>
      </w:r>
      <w:r>
        <w:rPr>
          <w:rFonts w:ascii="Arial" w:cs="Arial" w:eastAsia="Arial" w:hAnsi="Arial"/>
          <w:sz w:val="16"/>
          <w:szCs w:val="16"/>
        </w:rPr>
        <w:t xml:space="preserve">International Institute for Strategic Studies (IISS), “The Scale of Russian Sabotage Operations Against Europe's Critical Infrastructure,” 2025 (50+ documented events; 246% rise in incidents against critical infrastructure 2023–2024; possible pacing around United States diplomacy).</w:t>
      </w:r>
    </w:p>
    <w:p>
      <w:pPr>
        <w:spacing w:after="60"/>
        <w:ind w:left="360" w:hanging="360"/>
        <w:jc w:val="both"/>
      </w:pPr>
      <w:r>
        <w:rPr>
          <w:rFonts w:ascii="Arial" w:cs="Arial" w:eastAsia="Arial" w:hAnsi="Arial"/>
          <w:b/>
          <w:bCs/>
          <w:sz w:val="16"/>
          <w:szCs w:val="16"/>
        </w:rPr>
        <w:t xml:space="preserve">21.  </w:t>
      </w:r>
      <w:r>
        <w:rPr>
          <w:rFonts w:ascii="Arial" w:cs="Arial" w:eastAsia="Arial" w:hAnsi="Arial"/>
          <w:sz w:val="16"/>
          <w:szCs w:val="16"/>
        </w:rPr>
        <w:t xml:space="preserve">Parcel / “package plot” reporting corroborated across PBS NewsHour and The Record (Recorded Future News), November 2024, citing German and Lithuanian security services on incendiary parcels reaching DHL air-cargo hubs at Leipzig and Birmingham and the testing of transatlantic cargo channels; attributed by Western officials to Russian military intelligence; Russia denies involvement.</w:t>
      </w:r>
    </w:p>
    <w:p>
      <w:pPr>
        <w:spacing w:after="60"/>
        <w:ind w:left="360" w:hanging="360"/>
        <w:jc w:val="both"/>
      </w:pPr>
      <w:r>
        <w:rPr>
          <w:rFonts w:ascii="Arial" w:cs="Arial" w:eastAsia="Arial" w:hAnsi="Arial"/>
          <w:b/>
          <w:bCs/>
          <w:sz w:val="16"/>
          <w:szCs w:val="16"/>
        </w:rPr>
        <w:t xml:space="preserve">22.  </w:t>
      </w:r>
      <w:r>
        <w:rPr>
          <w:rFonts w:ascii="Arial" w:cs="Arial" w:eastAsia="Arial" w:hAnsi="Arial"/>
          <w:sz w:val="16"/>
          <w:szCs w:val="16"/>
        </w:rPr>
        <w:t xml:space="preserve">Russian navigation interference corroborated across Foreign Policy (“The Epidemic of GPS Jamming,” June 2026), the International Civil Aviation Organization (ICAO) naming of Russia (October 2025), and European Policy Centre analysis (~40% of European air traffic affected; spoofing antennae increased from 3 to 36 per Lithuanian regulator).</w:t>
      </w:r>
    </w:p>
    <w:p>
      <w:pPr>
        <w:spacing w:after="60"/>
        <w:ind w:left="360" w:hanging="360"/>
        <w:jc w:val="both"/>
      </w:pPr>
      <w:r>
        <w:rPr>
          <w:rFonts w:ascii="Arial" w:cs="Arial" w:eastAsia="Arial" w:hAnsi="Arial"/>
          <w:b/>
          <w:bCs/>
          <w:sz w:val="16"/>
          <w:szCs w:val="16"/>
        </w:rPr>
        <w:t xml:space="preserve">23.  </w:t>
      </w:r>
      <w:r>
        <w:rPr>
          <w:rFonts w:ascii="Arial" w:cs="Arial" w:eastAsia="Arial" w:hAnsi="Arial"/>
          <w:sz w:val="16"/>
          <w:szCs w:val="16"/>
        </w:rPr>
        <w:t xml:space="preserve">Atlantic Council UkraineAlert, “Putin's plan: Make Ukraine unlivable by destroying essential infrastructure,” February 2026 (~55,000 kamikaze drones at Ukrainian targets in 2025; shift toward energy and rail).</w:t>
      </w:r>
    </w:p>
    <w:p>
      <w:pPr>
        <w:spacing w:after="60"/>
        <w:ind w:left="360" w:hanging="360"/>
        <w:jc w:val="both"/>
      </w:pPr>
      <w:r>
        <w:rPr>
          <w:rFonts w:ascii="Arial" w:cs="Arial" w:eastAsia="Arial" w:hAnsi="Arial"/>
          <w:b/>
          <w:bCs/>
          <w:sz w:val="16"/>
          <w:szCs w:val="16"/>
        </w:rPr>
        <w:t xml:space="preserve">24.  </w:t>
      </w:r>
      <w:r>
        <w:rPr>
          <w:rFonts w:ascii="Arial" w:cs="Arial" w:eastAsia="Arial" w:hAnsi="Arial"/>
          <w:sz w:val="16"/>
          <w:szCs w:val="16"/>
        </w:rPr>
        <w:t xml:space="preserve">Center for European Policy Analysis (CEPA), “Russia's Summer Campaign to Darken Ukraine's Winter,” March 2026 (grid “islanding” strategy; the air-defense trade-off between protecting the grid and the front; rail corridors to Poland).</w:t>
      </w:r>
    </w:p>
    <w:p>
      <w:pPr>
        <w:spacing w:after="60"/>
        <w:ind w:left="360" w:hanging="360"/>
        <w:jc w:val="both"/>
      </w:pPr>
      <w:r>
        <w:rPr>
          <w:rFonts w:ascii="Arial" w:cs="Arial" w:eastAsia="Arial" w:hAnsi="Arial"/>
          <w:b/>
          <w:bCs/>
          <w:sz w:val="16"/>
          <w:szCs w:val="16"/>
        </w:rPr>
        <w:t xml:space="preserve">25.  </w:t>
      </w:r>
      <w:r>
        <w:rPr>
          <w:rFonts w:ascii="Arial" w:cs="Arial" w:eastAsia="Arial" w:hAnsi="Arial"/>
          <w:sz w:val="16"/>
          <w:szCs w:val="16"/>
        </w:rPr>
        <w:t xml:space="preserve">Russia Matters analytical report (citing Michael Kofman on Russia's energy-focused strike campaign and 3–4 month adaptation cycles), Dec 2025–Jan 2026; The Economist on Ukrainian generation capacity near 14 gigawatts; The New York Times on coercion within the Russian manpower system.</w:t>
      </w:r>
    </w:p>
    <w:p>
      <w:pPr>
        <w:spacing w:before="120"/>
      </w:pPr>
    </w:p>
    <w:p>
      <w:pPr>
        <w:spacing w:after="100"/>
        <w:jc w:val="both"/>
      </w:pPr>
      <w:r>
        <w:rPr>
          <w:rFonts w:ascii="Arial" w:cs="Arial" w:eastAsia="Arial" w:hAnsi="Arial"/>
          <w:b/>
          <w:bCs/>
          <w:i w:val="false"/>
          <w:iCs w:val="false"/>
          <w:color w:val="444444"/>
          <w:sz w:val="17"/>
          <w:szCs w:val="17"/>
        </w:rPr>
        <w:t xml:space="preserve">Banned sources not used: </w:t>
      </w:r>
      <w:r>
        <w:rPr>
          <w:rFonts w:ascii="Arial" w:cs="Arial" w:eastAsia="Arial" w:hAnsi="Arial"/>
          <w:b w:val="false"/>
          <w:bCs w:val="false"/>
          <w:i w:val="false"/>
          <w:iCs w:val="false"/>
          <w:color w:val="444444"/>
          <w:sz w:val="17"/>
          <w:szCs w:val="17"/>
        </w:rPr>
        <w:t xml:space="preserve">Wikipedia, industrialcyber.co, flashpoint.io, and commercial vendor blogs.   |   </w:t>
      </w:r>
      <w:r>
        <w:rPr>
          <w:rFonts w:ascii="Arial" w:cs="Arial" w:eastAsia="Arial" w:hAnsi="Arial"/>
          <w:b/>
          <w:bCs/>
          <w:i w:val="false"/>
          <w:iCs w:val="false"/>
          <w:color w:val="444444"/>
          <w:sz w:val="17"/>
          <w:szCs w:val="17"/>
        </w:rPr>
        <w:t xml:space="preserve">Discipline guard: </w:t>
      </w:r>
      <w:r>
        <w:rPr>
          <w:rFonts w:ascii="Arial" w:cs="Arial" w:eastAsia="Arial" w:hAnsi="Arial"/>
          <w:b w:val="false"/>
          <w:bCs w:val="false"/>
          <w:i w:val="false"/>
          <w:iCs w:val="false"/>
          <w:color w:val="444444"/>
          <w:sz w:val="17"/>
          <w:szCs w:val="17"/>
        </w:rPr>
        <w:t xml:space="preserve">The four reviewer issues were tested against the model. None justified moving the headline mean. They were integrated as sensitivity branches, a wider uncertainty band, new warning indicators, a transportation-security section, and refined scenario definitions.   |   </w:t>
      </w:r>
      <w:r>
        <w:rPr>
          <w:rFonts w:ascii="Arial" w:cs="Arial" w:eastAsia="Arial" w:hAnsi="Arial"/>
          <w:b/>
          <w:bCs/>
          <w:i w:val="false"/>
          <w:iCs w:val="false"/>
          <w:color w:val="444444"/>
          <w:sz w:val="17"/>
          <w:szCs w:val="17"/>
        </w:rPr>
        <w:t xml:space="preserve">Non-operational: </w:t>
      </w:r>
      <w:r>
        <w:rPr>
          <w:rFonts w:ascii="Arial" w:cs="Arial" w:eastAsia="Arial" w:hAnsi="Arial"/>
          <w:b w:val="false"/>
          <w:bCs w:val="false"/>
          <w:i w:val="false"/>
          <w:iCs w:val="false"/>
          <w:color w:val="444444"/>
          <w:sz w:val="17"/>
          <w:szCs w:val="17"/>
        </w:rPr>
        <w:t xml:space="preserve">Threat sections assess likelihood, strategic logic, indicators, and consequences only.   |   </w:t>
      </w:r>
      <w:r>
        <w:rPr>
          <w:rFonts w:ascii="Arial" w:cs="Arial" w:eastAsia="Arial" w:hAnsi="Arial"/>
          <w:b/>
          <w:bCs/>
          <w:i w:val="false"/>
          <w:iCs w:val="false"/>
          <w:color w:val="444444"/>
          <w:sz w:val="17"/>
          <w:szCs w:val="17"/>
        </w:rPr>
        <w:t xml:space="preserve">Standards: </w:t>
      </w:r>
      <w:r>
        <w:rPr>
          <w:rFonts w:ascii="Arial" w:cs="Arial" w:eastAsia="Arial" w:hAnsi="Arial"/>
          <w:b w:val="false"/>
          <w:bCs w:val="false"/>
          <w:i w:val="false"/>
          <w:iCs w:val="false"/>
          <w:color w:val="444444"/>
          <w:sz w:val="17"/>
          <w:szCs w:val="17"/>
        </w:rPr>
        <w:t xml:space="preserve">ICD-203, ICD-206, OMB Risk Bulletin, SATs, Monte Carlo standard, and Bayesian estimation standard.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rFonts w:ascii="Arial" w:cs="Arial" w:eastAsia="Arial" w:hAnsi="Arial"/>
        <w:color w:val="777777"/>
        <w:sz w:val="15"/>
        <w:szCs w:val="15"/>
      </w:rPr>
      <w:t xml:space="preserve">Unclassified · Open Source · 24 June 2026   |   Page </w:t>
    </w:r>
    <w:r>
      <w:rPr>
        <w:rFonts w:ascii="Arial" w:cs="Arial" w:eastAsia="Arial" w:hAnsi="Arial"/>
        <w:color w:val="777777"/>
        <w:sz w:val="15"/>
        <w:szCs w:val="15"/>
      </w:rPr>
      <w:fldChar w:fldCharType="begin"/>
      <w:instrText xml:space="preserve">PAGE</w:instrText>
      <w:fldChar w:fldCharType="separate"/>
      <w:fldChar w:fldCharType="end"/>
    </w:r>
    <w:r>
      <w:rPr>
        <w:rFonts w:ascii="Arial" w:cs="Arial" w:eastAsia="Arial" w:hAnsi="Arial"/>
        <w:color w:val="777777"/>
        <w:sz w:val="15"/>
        <w:szCs w:val="15"/>
      </w:rPr>
      <w:t xml:space="preserve"> of </w:t>
    </w:r>
    <w:r>
      <w:rPr>
        <w:rFonts w:ascii="Arial" w:cs="Arial" w:eastAsia="Arial" w:hAnsi="Arial"/>
        <w:color w:val="77777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2E4F" w:sz="4" w:space="2"/>
      </w:pBdr>
    </w:pPr>
    <w:r>
      <w:rPr>
        <w:rFonts w:ascii="Arial" w:cs="Arial" w:eastAsia="Arial" w:hAnsi="Arial"/>
        <w:color w:val="777777"/>
        <w:sz w:val="15"/>
        <w:szCs w:val="15"/>
      </w:rPr>
      <w:t xml:space="preserve">OPEN SOURCE ASSESSMENT  —  Russia-Ukraine War Termination Forecast (Revision 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2E4F"/>
      <w:sz w:val="26"/>
      <w:szCs w:val="26"/>
    </w:rPr>
  </w:style>
  <w:style w:type="paragraph" w:styleId="Heading2">
    <w:name w:val="Heading 2"/>
    <w:basedOn w:val="Normal"/>
    <w:next w:val="Normal"/>
    <w:qFormat/>
    <w:pPr>
      <w:spacing w:after="80" w:before="160"/>
      <w:outlineLvl w:val="1"/>
    </w:pPr>
    <w:rPr>
      <w:rFonts w:ascii="Arial" w:cs="Arial" w:eastAsia="Arial" w:hAnsi="Arial"/>
      <w:b/>
      <w:bCs/>
      <w:color w:val="2040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2026-06-24T17:33:20.085Z</dcterms:created>
  <dcterms:modified xsi:type="dcterms:W3CDTF">2026-06-24T17:33:20.085Z</dcterms:modified>
</cp:coreProperties>
</file>

<file path=docProps/custom.xml><?xml version="1.0" encoding="utf-8"?>
<Properties xmlns="http://schemas.openxmlformats.org/officeDocument/2006/custom-properties" xmlns:vt="http://schemas.openxmlformats.org/officeDocument/2006/docPropsVTypes"/>
</file>