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5496"/>
          <w:sz w:val="24"/>
          <w:szCs w:val="24"/>
        </w:rPr>
        <w:t xml:space="preserve">OPEN SOURCE ASSESSMENT</w:t>
      </w:r>
    </w:p>
    <w:p>
      <w:pPr>
        <w:spacing w:after="0" w:before="240"/>
        <w:jc w:val="center"/>
      </w:pPr>
      <w:r>
        <w:rPr>
          <w:b/>
          <w:bCs/>
          <w:color w:val="1F3864"/>
          <w:sz w:val="40"/>
          <w:szCs w:val="40"/>
        </w:rPr>
        <w:t xml:space="preserve">2026 Securities and Exchange Commission Filings:</w:t>
      </w:r>
    </w:p>
    <w:p>
      <w:pPr>
        <w:spacing w:after="0" w:before="120"/>
        <w:jc w:val="center"/>
      </w:pPr>
      <w:r>
        <w:rPr>
          <w:b/>
          <w:bCs/>
          <w:color w:val="1F3864"/>
          <w:sz w:val="30"/>
          <w:szCs w:val="30"/>
        </w:rPr>
        <w:t xml:space="preserve">What They Reveal for the Transportation Security Administration and U.S. Transportation Security</w:t>
      </w:r>
    </w:p>
    <w:p>
      <w:pPr>
        <w:pBdr>
          <w:top w:val="single" w:color="8FAADC" w:sz="8"/>
          <w:bottom w:val="single" w:color="8FAADC" w:sz="8"/>
        </w:pBdr>
        <w:spacing w:after="0" w:before="360"/>
        <w:jc w:val="center"/>
      </w:pPr>
      <w:r>
        <w:rPr>
          <w:i/>
          <w:iCs/>
          <w:color w:val="595959"/>
          <w:sz w:val="22"/>
          <w:szCs w:val="22"/>
        </w:rPr>
        <w:t xml:space="preserve">Prepared for TSA Leadership</w:t>
      </w:r>
    </w:p>
    <w:p>
      <w:pPr>
        <w:spacing w:after="0" w:before="600"/>
        <w:jc w:val="center"/>
      </w:pPr>
      <w:r>
        <w:rPr>
          <w:sz w:val="22"/>
          <w:szCs w:val="22"/>
        </w:rPr>
        <w:t xml:space="preserve">Filing period reviewed: January 1 – July 12, 2026</w:t>
      </w:r>
    </w:p>
    <w:p>
      <w:pPr>
        <w:spacing w:after="0" w:before="80"/>
        <w:jc w:val="center"/>
      </w:pPr>
      <w:r>
        <w:rPr>
          <w:sz w:val="22"/>
          <w:szCs w:val="22"/>
        </w:rPr>
        <w:t xml:space="preserve">EDGAR last checked: July 12, 2026</w:t>
      </w:r>
    </w:p>
    <w:p>
      <w:pPr>
        <w:spacing w:after="0" w:before="80"/>
        <w:jc w:val="center"/>
      </w:pPr>
      <w:r>
        <w:rPr>
          <w:i/>
          <w:iCs/>
          <w:sz w:val="22"/>
          <w:szCs w:val="22"/>
        </w:rPr>
        <w:t xml:space="preserve">Coverage: partial, systematic, risk-based review — not a claim of complete coverage</w:t>
      </w:r>
    </w:p>
    <w:p>
      <w:pPr>
        <w:spacing w:after="0" w:before="900"/>
        <w:jc w:val="center"/>
      </w:pPr>
      <w:r>
        <w:rPr>
          <w:b/>
          <w:bCs/>
          <w:color w:val="1F3864"/>
          <w:sz w:val="22"/>
          <w:szCs w:val="22"/>
        </w:rPr>
        <w:t xml:space="preserve">UNCLASSIFIED</w:t>
      </w:r>
    </w:p>
    <w:p>
      <w:pPr>
        <w:spacing w:after="0" w:before="80"/>
        <w:jc w:val="center"/>
      </w:pPr>
      <w:r>
        <w:rPr>
          <w:i/>
          <w:iCs/>
          <w:color w:val="595959"/>
          <w:sz w:val="18"/>
          <w:szCs w:val="18"/>
        </w:rPr>
        <w:t xml:space="preserve">This report contains no classified information and no fabricated data. EDGAR is the Electronic Data Gathering, Analysis, and Retrieval system, the SEC's public filing database.</w:t>
      </w:r>
    </w:p>
    <w:p>
      <w:r>
        <w:br w:type="page"/>
      </w:r>
    </w:p>
    <w:p>
      <w:pPr>
        <w:pStyle w:val="Heading1"/>
        <w:spacing w:after="140" w:before="320"/>
      </w:pPr>
      <w:r>
        <w:rPr>
          <w:b/>
          <w:bCs/>
          <w:color w:val="1F3864"/>
          <w:sz w:val="30"/>
          <w:szCs w:val="30"/>
        </w:rPr>
        <w:t xml:space="preserve">How to Read This Report</w:t>
      </w:r>
    </w:p>
    <w:p>
      <w:pPr>
        <w:spacing w:after="120" w:line="276"/>
        <w:jc w:val="both"/>
      </w:pPr>
      <w:r>
        <w:rPr>
          <w:sz w:val="21"/>
          <w:szCs w:val="21"/>
        </w:rPr>
        <w:t xml:space="preserve">This report reviews company filings submitted to the U.S. Securities and Exchange Commission (SEC) during 2026. It looks for anything in those filings that could affect the Transportation Security Administration (TSA) or the security of U.S. transportation. The SEC is the federal agency that requires public companies to disclose financial and operational information.</w:t>
      </w:r>
    </w:p>
    <w:p>
      <w:pPr>
        <w:spacing w:after="120" w:line="276"/>
        <w:jc w:val="both"/>
      </w:pPr>
      <w:r>
        <w:rPr>
          <w:sz w:val="21"/>
          <w:szCs w:val="21"/>
        </w:rPr>
        <w:t xml:space="preserve">Every fact in this report carries a small raised number. That number points to a matching entry in the endnotes (Appendix B), where the source is named. Each endnote is marked with one of three labels so you can see how firmly it is confirmed:</w:t>
      </w:r>
    </w:p>
    <w:p>
      <w:pPr>
        <w:pStyle w:val="ListParagraph"/>
        <w:numPr>
          <w:ilvl w:val="0"/>
          <w:numId w:val="2"/>
        </w:numPr>
        <w:spacing w:after="80" w:line="268"/>
        <w:jc w:val="both"/>
      </w:pPr>
      <w:r>
        <w:rPr>
          <w:b/>
          <w:bCs/>
          <w:color w:val="2E7D32"/>
          <w:sz w:val="21"/>
          <w:szCs w:val="21"/>
        </w:rPr>
        <w:t xml:space="preserve">[V] </w:t>
      </w:r>
      <w:r>
        <w:rPr>
          <w:b/>
          <w:bCs/>
          <w:sz w:val="21"/>
          <w:szCs w:val="21"/>
        </w:rPr>
        <w:t xml:space="preserve">Verified. </w:t>
      </w:r>
      <w:r>
        <w:rPr>
          <w:sz w:val="21"/>
          <w:szCs w:val="21"/>
        </w:rPr>
        <w:t xml:space="preserve">We opened the actual SEC document and confirmed the filing number, the date, the web link, and the exact wording quoted.</w:t>
      </w:r>
    </w:p>
    <w:p>
      <w:pPr>
        <w:pStyle w:val="ListParagraph"/>
        <w:numPr>
          <w:ilvl w:val="0"/>
          <w:numId w:val="2"/>
        </w:numPr>
        <w:spacing w:after="80" w:line="268"/>
        <w:jc w:val="both"/>
      </w:pPr>
      <w:r>
        <w:rPr>
          <w:b/>
          <w:bCs/>
          <w:color w:val="B8860B"/>
          <w:sz w:val="21"/>
          <w:szCs w:val="21"/>
        </w:rPr>
        <w:t xml:space="preserve">[P] </w:t>
      </w:r>
      <w:r>
        <w:rPr>
          <w:b/>
          <w:bCs/>
          <w:sz w:val="21"/>
          <w:szCs w:val="21"/>
        </w:rPr>
        <w:t xml:space="preserve">Partly verified. </w:t>
      </w:r>
      <w:r>
        <w:rPr>
          <w:sz w:val="21"/>
          <w:szCs w:val="21"/>
        </w:rPr>
        <w:t xml:space="preserve">We confirmed the filing exists and confirmed its number and link, but we did not re-read the full section wording in this pass.</w:t>
      </w:r>
    </w:p>
    <w:p>
      <w:pPr>
        <w:pStyle w:val="ListParagraph"/>
        <w:numPr>
          <w:ilvl w:val="0"/>
          <w:numId w:val="2"/>
        </w:numPr>
        <w:spacing w:after="80" w:line="268"/>
        <w:jc w:val="both"/>
      </w:pPr>
      <w:r>
        <w:rPr>
          <w:b/>
          <w:bCs/>
          <w:color w:val="1565C0"/>
          <w:sz w:val="21"/>
          <w:szCs w:val="21"/>
        </w:rPr>
        <w:t xml:space="preserve">[C] </w:t>
      </w:r>
      <w:r>
        <w:rPr>
          <w:b/>
          <w:bCs/>
          <w:sz w:val="21"/>
          <w:szCs w:val="21"/>
        </w:rPr>
        <w:t xml:space="preserve">Corroborated event. </w:t>
      </w:r>
      <w:r>
        <w:rPr>
          <w:sz w:val="21"/>
          <w:szCs w:val="21"/>
        </w:rPr>
        <w:t xml:space="preserve">This is a real-world event rather than an SEC filing. Two or more reliable primary or major-news sources confirm it.</w:t>
      </w:r>
    </w:p>
    <w:p>
      <w:pPr>
        <w:spacing w:after="120" w:line="276"/>
        <w:jc w:val="both"/>
      </w:pPr>
      <w:r>
        <w:rPr>
          <w:i/>
          <w:iCs/>
          <w:sz w:val="21"/>
          <w:szCs w:val="21"/>
        </w:rPr>
        <w:t xml:space="preserve">Where we could not confirm a fact to at least the "partly verified" or "corroborated" level, we removed it or labeled it plainly. Corrections we made while checking are listed openly in Appendix C.</w:t>
      </w:r>
    </w:p>
    <w:p>
      <w:pPr>
        <w:spacing w:after="120" w:line="276"/>
        <w:jc w:val="both"/>
      </w:pPr>
      <w:r>
        <w:rPr>
          <w:sz w:val="21"/>
          <w:szCs w:val="21"/>
        </w:rPr>
        <w:t xml:space="preserve">One limitation shaped this review. The SEC's full-text search tool could not be used reliably with the tools available, so we found filings through targeted searching and then confirmed each one directly. When we say a company did </w:t>
      </w:r>
      <w:r>
        <w:rPr>
          <w:i/>
          <w:iCs/>
          <w:sz w:val="21"/>
          <w:szCs w:val="21"/>
        </w:rPr>
        <w:t xml:space="preserve">not</w:t>
      </w:r>
      <w:r>
        <w:rPr>
          <w:sz w:val="21"/>
          <w:szCs w:val="21"/>
        </w:rPr>
        <w:t xml:space="preserve"> file something, that is based on the filings we read for that company — not on a complete search of every document.</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 One-Page Summary for Senior Leaders</w:t>
      </w:r>
    </w:p>
    <w:p>
      <w:pPr>
        <w:spacing w:after="120" w:line="276"/>
        <w:jc w:val="both"/>
      </w:pPr>
      <w:r>
        <w:rPr>
          <w:sz w:val="21"/>
          <w:szCs w:val="21"/>
        </w:rPr>
        <w:t xml:space="preserve">The clearest system-wide risk to transportation security in 2026 is </w:t>
      </w:r>
      <w:r>
        <w:rPr>
          <w:b/>
          <w:bCs/>
          <w:sz w:val="21"/>
          <w:szCs w:val="21"/>
        </w:rPr>
        <w:t xml:space="preserve">dependence on shared outside vendors for computer systems</w:t>
      </w:r>
      <w:r>
        <w:rPr>
          <w:sz w:val="21"/>
          <w:szCs w:val="21"/>
        </w:rPr>
        <w:t xml:space="preserve">. The problem is not one giant threat. It is a pattern: when one widely used software product has a flaw, the damage spreads across many airlines and suppliers at once. In late 2025, attackers exploited a flaw in Oracle's business software and hit more than 100 organizations, including a regional airline owned by American Airlines.</w:t>
      </w:r>
      <w:r>
        <w:rPr>
          <w:b/>
          <w:bCs/>
          <w:color w:val="2E5496"/>
          <w:sz w:val="21"/>
          <w:szCs w:val="21"/>
          <w:vertAlign w:val="superscript"/>
        </w:rPr>
        <w:t xml:space="preserve">1</w:t>
      </w:r>
    </w:p>
    <w:p>
      <w:pPr>
        <w:spacing w:after="120" w:line="276"/>
        <w:jc w:val="both"/>
      </w:pPr>
      <w:r>
        <w:rPr>
          <w:sz w:val="21"/>
          <w:szCs w:val="21"/>
        </w:rPr>
        <w:t xml:space="preserve">A second theme is </w:t>
      </w:r>
      <w:r>
        <w:rPr>
          <w:b/>
          <w:bCs/>
          <w:sz w:val="21"/>
          <w:szCs w:val="21"/>
        </w:rPr>
        <w:t xml:space="preserve">companies merging into fewer, larger players</w:t>
      </w:r>
      <w:r>
        <w:rPr>
          <w:sz w:val="21"/>
          <w:szCs w:val="21"/>
        </w:rPr>
        <w:t xml:space="preserve">, which removes backup options. The clearest example is the planned merger of two major freight railroads, Union Pacific and Norfolk Southern. The deal values Norfolk Southern at $85 billion and would create a combined company worth more than $250 billion. The railroads expect it to save them about $2.75 billion a year.</w:t>
      </w:r>
      <w:r>
        <w:rPr>
          <w:b/>
          <w:bCs/>
          <w:color w:val="2E5496"/>
          <w:sz w:val="21"/>
          <w:szCs w:val="21"/>
          <w:vertAlign w:val="superscript"/>
        </w:rPr>
        <w:t xml:space="preserve">2</w:t>
      </w:r>
      <w:r>
        <w:rPr>
          <w:sz w:val="21"/>
          <w:szCs w:val="21"/>
        </w:rPr>
        <w:t xml:space="preserve"> The Surface Transportation Board — the federal agency that reviews railroad mergers — accepted the companies' updated application on May 28, 2026.</w:t>
      </w:r>
      <w:r>
        <w:rPr>
          <w:b/>
          <w:bCs/>
          <w:color w:val="2E5496"/>
          <w:sz w:val="21"/>
          <w:szCs w:val="21"/>
          <w:vertAlign w:val="superscript"/>
        </w:rPr>
        <w:t xml:space="preserve">3</w:t>
      </w:r>
    </w:p>
    <w:p>
      <w:pPr>
        <w:spacing w:after="120" w:line="276"/>
        <w:jc w:val="both"/>
      </w:pPr>
      <w:r>
        <w:rPr>
          <w:sz w:val="21"/>
          <w:szCs w:val="21"/>
        </w:rPr>
        <w:t xml:space="preserve">A third theme is </w:t>
      </w:r>
      <w:r>
        <w:rPr>
          <w:b/>
          <w:bCs/>
          <w:sz w:val="21"/>
          <w:szCs w:val="21"/>
        </w:rPr>
        <w:t xml:space="preserve">financial trouble taking capacity out of the system</w:t>
      </w:r>
      <w:r>
        <w:rPr>
          <w:sz w:val="21"/>
          <w:szCs w:val="21"/>
        </w:rPr>
        <w:t xml:space="preserve">. Spirit Airlines stopped flying at about 3:00 a.m. Eastern Time on May 2, 2026. It was the first U.S. airline of its size to shut down in roughly 20 years, and about 17,000 jobs were lost.</w:t>
      </w:r>
      <w:r>
        <w:rPr>
          <w:b/>
          <w:bCs/>
          <w:color w:val="2E5496"/>
          <w:sz w:val="21"/>
          <w:szCs w:val="21"/>
          <w:vertAlign w:val="superscript"/>
        </w:rPr>
        <w:t xml:space="preserve">4</w:t>
      </w:r>
    </w:p>
    <w:p>
      <w:pPr>
        <w:spacing w:after="120" w:line="276"/>
        <w:jc w:val="both"/>
      </w:pPr>
      <w:r>
        <w:rPr>
          <w:sz w:val="21"/>
          <w:szCs w:val="21"/>
        </w:rPr>
        <w:t xml:space="preserve">Filings also show that TSA's own equipment and programs rest on a small number of vendors. Leidos deploys and maintains airport checkpoint screening equipment.</w:t>
      </w:r>
      <w:r>
        <w:rPr>
          <w:b/>
          <w:bCs/>
          <w:color w:val="2E5496"/>
          <w:sz w:val="21"/>
          <w:szCs w:val="21"/>
          <w:vertAlign w:val="superscript"/>
        </w:rPr>
        <w:t xml:space="preserve">13</w:t>
      </w:r>
      <w:r>
        <w:rPr>
          <w:sz w:val="21"/>
          <w:szCs w:val="21"/>
        </w:rPr>
        <w:t xml:space="preserve"> OSI Systems, through its Rapiscan brand, makes X-ray, computed-tomography (CT), trace-detection, and body-scanning machines; its filing discloses heavy reliance on the U.S. government as a customer, dependence on single suppliers for some parts, and manufacturing done overseas.</w:t>
      </w:r>
      <w:r>
        <w:rPr>
          <w:b/>
          <w:bCs/>
          <w:color w:val="2E5496"/>
          <w:sz w:val="21"/>
          <w:szCs w:val="21"/>
          <w:vertAlign w:val="superscript"/>
        </w:rPr>
        <w:t xml:space="preserve">5</w:t>
      </w:r>
      <w:r>
        <w:rPr>
          <w:sz w:val="21"/>
          <w:szCs w:val="21"/>
        </w:rPr>
        <w:t xml:space="preserve"> Separately, CLEAR (the company Clear Secure) has grown its role enrolling travelers in TSA PreCheck to 61 airports and 340 retail locations, which deepens TSA's reliance on a private identity company.</w:t>
      </w:r>
      <w:r>
        <w:rPr>
          <w:b/>
          <w:bCs/>
          <w:color w:val="2E5496"/>
          <w:sz w:val="21"/>
          <w:szCs w:val="21"/>
          <w:vertAlign w:val="superscript"/>
        </w:rPr>
        <w:t xml:space="preserve">6</w:t>
      </w:r>
    </w:p>
    <w:p>
      <w:pPr>
        <w:spacing w:after="120" w:line="276"/>
        <w:jc w:val="both"/>
      </w:pPr>
      <w:r>
        <w:rPr>
          <w:sz w:val="21"/>
          <w:szCs w:val="21"/>
        </w:rPr>
        <w:t xml:space="preserve">Two outside threats also appear: a sharp rise in jamming and spoofing of Global Positioning System (GPS) signals that aircraft use to navigate,</w:t>
      </w:r>
      <w:r>
        <w:rPr>
          <w:b/>
          <w:bCs/>
          <w:color w:val="2E5496"/>
          <w:sz w:val="21"/>
          <w:szCs w:val="21"/>
          <w:vertAlign w:val="superscript"/>
        </w:rPr>
        <w:t xml:space="preserve">7</w:t>
      </w:r>
      <w:r>
        <w:rPr>
          <w:sz w:val="21"/>
          <w:szCs w:val="21"/>
        </w:rPr>
        <w:t xml:space="preserve"> and growing drone activity near airports.</w:t>
      </w:r>
      <w:r>
        <w:rPr>
          <w:b/>
          <w:bCs/>
          <w:color w:val="2E5496"/>
          <w:sz w:val="21"/>
          <w:szCs w:val="21"/>
          <w:vertAlign w:val="superscript"/>
        </w:rPr>
        <w:t xml:space="preserve">8</w:t>
      </w:r>
      <w:r>
        <w:rPr>
          <w:sz w:val="21"/>
          <w:szCs w:val="21"/>
        </w:rPr>
        <w:t xml:space="preserve"> Neither is, by itself, evidence that anyone successfully attacked a TSA system.</w:t>
      </w:r>
    </w:p>
    <w:p>
      <w:pPr>
        <w:spacing w:after="120" w:line="276"/>
        <w:jc w:val="both"/>
      </w:pPr>
      <w:r>
        <w:rPr>
          <w:b/>
          <w:bCs/>
          <w:sz w:val="21"/>
          <w:szCs w:val="21"/>
        </w:rPr>
        <w:t xml:space="preserve">Bottom line: </w:t>
      </w:r>
      <w:r>
        <w:rPr>
          <w:b/>
          <w:bCs/>
          <w:sz w:val="21"/>
          <w:szCs w:val="21"/>
        </w:rPr>
        <w:t xml:space="preserve">transportation security increasingly depends on a few concentrated commercial relationships — in computer systems, equipment vendors, and corporate ownership. TSA's best move is to map those dependencies and reduce them before a chain-reaction failure forces a rushed response.</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2. Key Findings</w:t>
      </w:r>
    </w:p>
    <w:p>
      <w:pPr>
        <w:pStyle w:val="ListParagraph"/>
        <w:numPr>
          <w:ilvl w:val="0"/>
          <w:numId w:val="2"/>
        </w:numPr>
        <w:spacing w:after="80" w:line="268"/>
        <w:jc w:val="both"/>
      </w:pPr>
      <w:r>
        <w:rPr>
          <w:b/>
          <w:bCs/>
          <w:sz w:val="21"/>
          <w:szCs w:val="21"/>
        </w:rPr>
        <w:t xml:space="preserve">Facts from the filings. </w:t>
      </w:r>
      <w:r>
        <w:rPr>
          <w:sz w:val="21"/>
          <w:szCs w:val="21"/>
        </w:rPr>
        <w:t xml:space="preserve">Union Pacific (annual report filed February 6, 2026)</w:t>
      </w:r>
      <w:r>
        <w:rPr>
          <w:b/>
          <w:bCs/>
          <w:color w:val="2E5496"/>
          <w:sz w:val="21"/>
          <w:szCs w:val="21"/>
          <w:vertAlign w:val="superscript"/>
        </w:rPr>
        <w:t xml:space="preserve">9</w:t>
      </w:r>
      <w:r>
        <w:rPr>
          <w:sz w:val="21"/>
          <w:szCs w:val="21"/>
        </w:rPr>
        <w:t xml:space="preserve"> and Norfolk Southern (annual report filed February 9, 2026)</w:t>
      </w:r>
      <w:r>
        <w:rPr>
          <w:b/>
          <w:bCs/>
          <w:color w:val="2E5496"/>
          <w:sz w:val="21"/>
          <w:szCs w:val="21"/>
          <w:vertAlign w:val="superscript"/>
        </w:rPr>
        <w:t xml:space="preserve">10</w:t>
      </w:r>
      <w:r>
        <w:rPr>
          <w:sz w:val="21"/>
          <w:szCs w:val="21"/>
        </w:rPr>
        <w:t xml:space="preserve"> are pursuing the $85 billion merger. Regulators accepted the updated application on May 28, 2026, with more data due July 27, 2026 and a target close in early 2027.</w:t>
      </w:r>
      <w:r>
        <w:rPr>
          <w:b/>
          <w:bCs/>
          <w:color w:val="2E5496"/>
          <w:sz w:val="21"/>
          <w:szCs w:val="21"/>
          <w:vertAlign w:val="superscript"/>
        </w:rPr>
        <w:t xml:space="preserve">2</w:t>
      </w:r>
      <w:r>
        <w:rPr>
          <w:b/>
          <w:bCs/>
          <w:color w:val="2E5496"/>
          <w:sz w:val="21"/>
          <w:szCs w:val="21"/>
          <w:vertAlign w:val="superscript"/>
        </w:rPr>
        <w:t xml:space="preserve">3</w:t>
      </w:r>
      <w:r>
        <w:rPr>
          <w:sz w:val="21"/>
          <w:szCs w:val="21"/>
        </w:rPr>
        <w:t xml:space="preserve"> Kinder Morgan's annual report (filed February 13, 2026) describes how it complies with TSA's pipeline cybersecurity rules and a new U.S. Coast Guard cybersecurity rule for shipping that took effect July 16, 2025.</w:t>
      </w:r>
      <w:r>
        <w:rPr>
          <w:b/>
          <w:bCs/>
          <w:color w:val="2E5496"/>
          <w:sz w:val="21"/>
          <w:szCs w:val="21"/>
          <w:vertAlign w:val="superscript"/>
        </w:rPr>
        <w:t xml:space="preserve">11</w:t>
      </w:r>
    </w:p>
    <w:p>
      <w:pPr>
        <w:pStyle w:val="ListParagraph"/>
        <w:numPr>
          <w:ilvl w:val="0"/>
          <w:numId w:val="2"/>
        </w:numPr>
        <w:spacing w:after="80" w:line="268"/>
        <w:jc w:val="both"/>
      </w:pPr>
      <w:r>
        <w:rPr>
          <w:b/>
          <w:bCs/>
          <w:sz w:val="21"/>
          <w:szCs w:val="21"/>
        </w:rPr>
        <w:t xml:space="preserve">Assessment. </w:t>
      </w:r>
      <w:r>
        <w:rPr>
          <w:sz w:val="21"/>
          <w:szCs w:val="21"/>
        </w:rPr>
        <w:t xml:space="preserve">The largest system-wide weakness across 2026 filings is shared-vendor computer dependence in aviation. It is </w:t>
      </w:r>
      <w:r>
        <w:rPr>
          <w:b/>
          <w:bCs/>
          <w:sz w:val="21"/>
          <w:szCs w:val="21"/>
        </w:rPr>
        <w:t xml:space="preserve">very likely</w:t>
      </w:r>
      <w:r>
        <w:rPr>
          <w:sz w:val="21"/>
          <w:szCs w:val="21"/>
        </w:rPr>
        <w:t xml:space="preserve"> (an 80–95% chance) to cause more disruptive incidents within 12 months. Confidence: high.</w:t>
      </w:r>
    </w:p>
    <w:p>
      <w:pPr>
        <w:pStyle w:val="ListParagraph"/>
        <w:numPr>
          <w:ilvl w:val="0"/>
          <w:numId w:val="2"/>
        </w:numPr>
        <w:spacing w:after="80" w:line="268"/>
        <w:jc w:val="both"/>
      </w:pPr>
      <w:r>
        <w:rPr>
          <w:b/>
          <w:bCs/>
          <w:sz w:val="21"/>
          <w:szCs w:val="21"/>
        </w:rPr>
        <w:t xml:space="preserve">Assessment. </w:t>
      </w:r>
      <w:r>
        <w:rPr>
          <w:sz w:val="21"/>
          <w:szCs w:val="21"/>
        </w:rPr>
        <w:t xml:space="preserve">Mergers and financial trouble in air and rail transport are cutting backup capacity and concentrating the points where TSA regulates. This is </w:t>
      </w:r>
      <w:r>
        <w:rPr>
          <w:b/>
          <w:bCs/>
          <w:sz w:val="21"/>
          <w:szCs w:val="21"/>
        </w:rPr>
        <w:t xml:space="preserve">likely</w:t>
      </w:r>
      <w:r>
        <w:rPr>
          <w:sz w:val="21"/>
          <w:szCs w:val="21"/>
        </w:rPr>
        <w:t xml:space="preserve"> (a 55–80% chance) to raise single-point-of-failure risk. Confidence: moderate to high.</w:t>
      </w:r>
    </w:p>
    <w:p>
      <w:pPr>
        <w:pStyle w:val="ListParagraph"/>
        <w:numPr>
          <w:ilvl w:val="0"/>
          <w:numId w:val="2"/>
        </w:numPr>
        <w:spacing w:after="80" w:line="268"/>
        <w:jc w:val="both"/>
      </w:pPr>
      <w:r>
        <w:rPr>
          <w:b/>
          <w:bCs/>
          <w:sz w:val="21"/>
          <w:szCs w:val="21"/>
        </w:rPr>
        <w:t xml:space="preserve">Assessment. </w:t>
      </w:r>
      <w:r>
        <w:rPr>
          <w:sz w:val="21"/>
          <w:szCs w:val="21"/>
        </w:rPr>
        <w:t xml:space="preserve">TSA's screening equipment and trusted-traveler programs rest on a narrow vendor base. The government-contract dependence, single-supplier parts, and overseas manufacturing disclosed in filings are real risks to keeping equipment supplied and supported. Confidence: moderate.</w:t>
      </w:r>
    </w:p>
    <w:p>
      <w:pPr>
        <w:pStyle w:val="ListParagraph"/>
        <w:numPr>
          <w:ilvl w:val="0"/>
          <w:numId w:val="2"/>
        </w:numPr>
        <w:spacing w:after="80" w:line="268"/>
        <w:jc w:val="both"/>
      </w:pPr>
      <w:r>
        <w:rPr>
          <w:b/>
          <w:bCs/>
          <w:sz w:val="21"/>
          <w:szCs w:val="21"/>
        </w:rPr>
        <w:t xml:space="preserve">Main gap. </w:t>
      </w:r>
      <w:r>
        <w:rPr>
          <w:sz w:val="21"/>
          <w:szCs w:val="21"/>
        </w:rPr>
        <w:t xml:space="preserve">No SEC rule requires companies to disclose TSA-specific impacts. So most TSA-relevant information shows up indirectly — as risk warnings, as incidents at regulated companies, or as supplier dependence — rather than as a named effect on TSA.</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3. Key Judgments</w:t>
      </w:r>
    </w:p>
    <w:p>
      <w:pPr>
        <w:pStyle w:val="Heading3"/>
        <w:spacing w:after="80" w:before="160"/>
      </w:pPr>
      <w:r>
        <w:rPr>
          <w:b/>
          <w:bCs/>
          <w:color w:val="2E5496"/>
          <w:sz w:val="22"/>
          <w:szCs w:val="22"/>
        </w:rPr>
        <w:t xml:space="preserve">KJ-1. Shared-vendor software compromises are the leading system-wide cyber threat to aviation security in 2026.</w:t>
      </w:r>
    </w:p>
    <w:p>
      <w:pPr>
        <w:spacing w:after="60" w:line="276"/>
        <w:jc w:val="both"/>
      </w:pPr>
      <w:r>
        <w:rPr>
          <w:b/>
          <w:bCs/>
          <w:sz w:val="21"/>
          <w:szCs w:val="21"/>
        </w:rPr>
        <w:t xml:space="preserve">Likelihood: </w:t>
      </w:r>
      <w:r>
        <w:rPr>
          <w:sz w:val="21"/>
          <w:szCs w:val="21"/>
        </w:rPr>
        <w:t xml:space="preserve">Very likely (80–95%) that more aviation cyber incidents tied to a shared vendor happen within 12 months.  </w:t>
      </w:r>
      <w:r>
        <w:rPr>
          <w:b/>
          <w:bCs/>
          <w:sz w:val="21"/>
          <w:szCs w:val="21"/>
        </w:rPr>
        <w:t xml:space="preserve">Confidence: </w:t>
      </w:r>
      <w:r>
        <w:rPr>
          <w:sz w:val="21"/>
          <w:szCs w:val="21"/>
        </w:rPr>
        <w:t xml:space="preserve">High.</w:t>
      </w:r>
    </w:p>
    <w:p>
      <w:pPr>
        <w:spacing w:after="60" w:line="276"/>
        <w:jc w:val="both"/>
      </w:pPr>
      <w:r>
        <w:rPr>
          <w:b/>
          <w:bCs/>
          <w:sz w:val="21"/>
          <w:szCs w:val="21"/>
        </w:rPr>
        <w:t xml:space="preserve">What the evidence shows: </w:t>
      </w:r>
      <w:r>
        <w:rPr>
          <w:sz w:val="21"/>
          <w:szCs w:val="21"/>
        </w:rPr>
        <w:t xml:space="preserve">Envoy Air, a regional airline owned by American Airlines, confirmed in October 2025 that attackers compromised its Oracle business software through a serious software flaw. Envoy was one of more than 100 organizations hit. Envoy said no sensitive or customer data was affected, and that only a limited amount of business contact information may have been exposed.</w:t>
      </w:r>
      <w:r>
        <w:rPr>
          <w:b/>
          <w:bCs/>
          <w:color w:val="2E5496"/>
          <w:sz w:val="21"/>
          <w:szCs w:val="21"/>
          <w:vertAlign w:val="superscript"/>
        </w:rPr>
        <w:t xml:space="preserve">1</w:t>
      </w:r>
      <w:r>
        <w:rPr>
          <w:sz w:val="21"/>
          <w:szCs w:val="21"/>
        </w:rPr>
        <w:t xml:space="preserve"> American Airlines' own annual report (filed February 18, 2026) discusses cybersecurity in general terms but does not specifically name this incident, and no separate "material incident" report was filed for it.</w:t>
      </w:r>
      <w:r>
        <w:rPr>
          <w:b/>
          <w:bCs/>
          <w:color w:val="2E5496"/>
          <w:sz w:val="21"/>
          <w:szCs w:val="21"/>
          <w:vertAlign w:val="superscript"/>
        </w:rPr>
        <w:t xml:space="preserve">12</w:t>
      </w:r>
    </w:p>
    <w:p>
      <w:pPr>
        <w:spacing w:after="140" w:line="276"/>
        <w:jc w:val="both"/>
      </w:pPr>
      <w:r>
        <w:rPr>
          <w:b/>
          <w:bCs/>
          <w:sz w:val="21"/>
          <w:szCs w:val="21"/>
        </w:rPr>
        <w:t xml:space="preserve">Biggest uncertainty: </w:t>
      </w:r>
      <w:r>
        <w:rPr>
          <w:sz w:val="21"/>
          <w:szCs w:val="21"/>
        </w:rPr>
        <w:t xml:space="preserve">Most incidents affected business and office data, not the equipment that runs screening or operations. There is no evidence of a direct effect on TSA systems.</w:t>
      </w:r>
    </w:p>
    <w:p>
      <w:pPr>
        <w:pStyle w:val="Heading3"/>
        <w:spacing w:after="80" w:before="160"/>
      </w:pPr>
      <w:r>
        <w:rPr>
          <w:b/>
          <w:bCs/>
          <w:color w:val="2E5496"/>
          <w:sz w:val="22"/>
          <w:szCs w:val="22"/>
        </w:rPr>
        <w:t xml:space="preserve">KJ-2. The Union Pacific–Norfolk Southern merger would place cybersecurity and physical-security responsibility for a coast-to-coast railroad in one company.</w:t>
      </w:r>
    </w:p>
    <w:p>
      <w:pPr>
        <w:spacing w:after="60" w:line="276"/>
        <w:jc w:val="both"/>
      </w:pPr>
      <w:r>
        <w:rPr>
          <w:b/>
          <w:bCs/>
          <w:sz w:val="21"/>
          <w:szCs w:val="21"/>
        </w:rPr>
        <w:t xml:space="preserve">Likelihood: </w:t>
      </w:r>
      <w:r>
        <w:rPr>
          <w:sz w:val="21"/>
          <w:szCs w:val="21"/>
        </w:rPr>
        <w:t xml:space="preserve">Roughly even (45–55%) that the merger closes as proposed, given the regulatory review. If it closes, the concentrating effect is near-certain.  </w:t>
      </w:r>
      <w:r>
        <w:rPr>
          <w:b/>
          <w:bCs/>
          <w:sz w:val="21"/>
          <w:szCs w:val="21"/>
        </w:rPr>
        <w:t xml:space="preserve">Confidence: </w:t>
      </w:r>
      <w:r>
        <w:rPr>
          <w:sz w:val="21"/>
          <w:szCs w:val="21"/>
        </w:rPr>
        <w:t xml:space="preserve">Moderate.</w:t>
      </w:r>
    </w:p>
    <w:p>
      <w:pPr>
        <w:spacing w:after="60" w:line="276"/>
        <w:jc w:val="both"/>
      </w:pPr>
      <w:r>
        <w:rPr>
          <w:b/>
          <w:bCs/>
          <w:sz w:val="21"/>
          <w:szCs w:val="21"/>
        </w:rPr>
        <w:t xml:space="preserve">What the evidence shows: </w:t>
      </w:r>
      <w:r>
        <w:rPr>
          <w:sz w:val="21"/>
          <w:szCs w:val="21"/>
        </w:rPr>
        <w:t xml:space="preserve">Both railroads' annual reports describe the deal.</w:t>
      </w:r>
      <w:r>
        <w:rPr>
          <w:b/>
          <w:bCs/>
          <w:color w:val="2E5496"/>
          <w:sz w:val="21"/>
          <w:szCs w:val="21"/>
          <w:vertAlign w:val="superscript"/>
        </w:rPr>
        <w:t xml:space="preserve">9</w:t>
      </w:r>
      <w:r>
        <w:rPr>
          <w:b/>
          <w:bCs/>
          <w:color w:val="2E5496"/>
          <w:sz w:val="21"/>
          <w:szCs w:val="21"/>
          <w:vertAlign w:val="superscript"/>
        </w:rPr>
        <w:t xml:space="preserve">10</w:t>
      </w:r>
      <w:r>
        <w:rPr>
          <w:sz w:val="21"/>
          <w:szCs w:val="21"/>
        </w:rPr>
        <w:t xml:space="preserve"> Company filings value Norfolk Southern at $85 billion, describe a combined company worth more than $250 billion, and project about $2.75 billion in yearly savings.</w:t>
      </w:r>
      <w:r>
        <w:rPr>
          <w:b/>
          <w:bCs/>
          <w:color w:val="2E5496"/>
          <w:sz w:val="21"/>
          <w:szCs w:val="21"/>
          <w:vertAlign w:val="superscript"/>
        </w:rPr>
        <w:t xml:space="preserve">2</w:t>
      </w:r>
      <w:r>
        <w:rPr>
          <w:sz w:val="21"/>
          <w:szCs w:val="21"/>
        </w:rPr>
        <w:t xml:space="preserve"> Regulators accepted the updated application on May 28, 2026.</w:t>
      </w:r>
      <w:r>
        <w:rPr>
          <w:b/>
          <w:bCs/>
          <w:color w:val="2E5496"/>
          <w:sz w:val="21"/>
          <w:szCs w:val="21"/>
          <w:vertAlign w:val="superscript"/>
        </w:rPr>
        <w:t xml:space="preserve">3</w:t>
      </w:r>
    </w:p>
    <w:p>
      <w:pPr>
        <w:spacing w:after="140" w:line="276"/>
        <w:jc w:val="both"/>
      </w:pPr>
      <w:r>
        <w:rPr>
          <w:b/>
          <w:bCs/>
          <w:sz w:val="21"/>
          <w:szCs w:val="21"/>
        </w:rPr>
        <w:t xml:space="preserve">Biggest uncertainty: </w:t>
      </w:r>
      <w:r>
        <w:rPr>
          <w:sz w:val="21"/>
          <w:szCs w:val="21"/>
        </w:rPr>
        <w:t xml:space="preserve">The regulatory outcome and any conditions the board attaches, such as required sales of certain lines.</w:t>
      </w:r>
    </w:p>
    <w:p>
      <w:pPr>
        <w:pStyle w:val="Heading3"/>
        <w:spacing w:after="80" w:before="160"/>
      </w:pPr>
      <w:r>
        <w:rPr>
          <w:b/>
          <w:bCs/>
          <w:color w:val="2E5496"/>
          <w:sz w:val="22"/>
          <w:szCs w:val="22"/>
        </w:rPr>
        <w:t xml:space="preserve">KJ-3. Financial trouble is removing capacity from U.S. aviation; Spirit Airlines' shutdown is the clearest 2026 case.</w:t>
      </w:r>
    </w:p>
    <w:p>
      <w:pPr>
        <w:spacing w:after="60" w:line="276"/>
        <w:jc w:val="both"/>
      </w:pPr>
      <w:r>
        <w:rPr>
          <w:b/>
          <w:bCs/>
          <w:sz w:val="21"/>
          <w:szCs w:val="21"/>
        </w:rPr>
        <w:t xml:space="preserve">Likelihood: </w:t>
      </w:r>
      <w:r>
        <w:rPr>
          <w:sz w:val="21"/>
          <w:szCs w:val="21"/>
        </w:rPr>
        <w:t xml:space="preserve">Not applicable — this already happened.  </w:t>
      </w:r>
      <w:r>
        <w:rPr>
          <w:b/>
          <w:bCs/>
          <w:sz w:val="21"/>
          <w:szCs w:val="21"/>
        </w:rPr>
        <w:t xml:space="preserve">Confidence: </w:t>
      </w:r>
      <w:r>
        <w:rPr>
          <w:sz w:val="21"/>
          <w:szCs w:val="21"/>
        </w:rPr>
        <w:t xml:space="preserve">High.</w:t>
      </w:r>
    </w:p>
    <w:p>
      <w:pPr>
        <w:spacing w:after="60" w:line="276"/>
        <w:jc w:val="both"/>
      </w:pPr>
      <w:r>
        <w:rPr>
          <w:b/>
          <w:bCs/>
          <w:sz w:val="21"/>
          <w:szCs w:val="21"/>
        </w:rPr>
        <w:t xml:space="preserve">What the evidence shows: </w:t>
      </w:r>
      <w:r>
        <w:rPr>
          <w:sz w:val="21"/>
          <w:szCs w:val="21"/>
        </w:rPr>
        <w:t xml:space="preserve">Spirit stopped flying at about 3:00 a.m. Eastern Time on May 2, 2026. Its second bankruptcy (filed August 29, 2025) collapsed after a jet-fuel price spike tied to the Iran conflict — fuel roughly doubled from the price the airline had planned around — and a proposed federal rescue of about $500 million fell through. About 17,000 jobs were lost. It was the first U.S. airline of its size to shut down in roughly 20 years.</w:t>
      </w:r>
      <w:r>
        <w:rPr>
          <w:b/>
          <w:bCs/>
          <w:color w:val="2E5496"/>
          <w:sz w:val="21"/>
          <w:szCs w:val="21"/>
          <w:vertAlign w:val="superscript"/>
        </w:rPr>
        <w:t xml:space="preserve">4</w:t>
      </w:r>
    </w:p>
    <w:p>
      <w:pPr>
        <w:spacing w:after="140" w:line="276"/>
        <w:jc w:val="both"/>
      </w:pPr>
      <w:r>
        <w:rPr>
          <w:b/>
          <w:bCs/>
          <w:sz w:val="21"/>
          <w:szCs w:val="21"/>
        </w:rPr>
        <w:t xml:space="preserve">Biggest uncertainty: </w:t>
      </w:r>
      <w:r>
        <w:rPr>
          <w:sz w:val="21"/>
          <w:szCs w:val="21"/>
        </w:rPr>
        <w:t xml:space="preserve">Knock-on effects on smaller airports and on checkpoint traffic volumes.</w:t>
      </w:r>
    </w:p>
    <w:p>
      <w:pPr>
        <w:pStyle w:val="Heading3"/>
        <w:spacing w:after="80" w:before="160"/>
      </w:pPr>
      <w:r>
        <w:rPr>
          <w:b/>
          <w:bCs/>
          <w:color w:val="2E5496"/>
          <w:sz w:val="22"/>
          <w:szCs w:val="22"/>
        </w:rPr>
        <w:t xml:space="preserve">KJ-4. TSA's screening-equipment supply base is narrow and carries supply risks disclosed in filings.</w:t>
      </w:r>
    </w:p>
    <w:p>
      <w:pPr>
        <w:spacing w:after="60" w:line="276"/>
        <w:jc w:val="both"/>
      </w:pPr>
      <w:r>
        <w:rPr>
          <w:b/>
          <w:bCs/>
          <w:sz w:val="21"/>
          <w:szCs w:val="21"/>
        </w:rPr>
        <w:t xml:space="preserve">Likelihood: </w:t>
      </w:r>
      <w:r>
        <w:rPr>
          <w:sz w:val="21"/>
          <w:szCs w:val="21"/>
        </w:rPr>
        <w:t xml:space="preserve">Not applicable — this is an existing condition.  </w:t>
      </w:r>
      <w:r>
        <w:rPr>
          <w:b/>
          <w:bCs/>
          <w:sz w:val="21"/>
          <w:szCs w:val="21"/>
        </w:rPr>
        <w:t xml:space="preserve">Confidence: </w:t>
      </w:r>
      <w:r>
        <w:rPr>
          <w:sz w:val="21"/>
          <w:szCs w:val="21"/>
        </w:rPr>
        <w:t xml:space="preserve">Moderate to high.</w:t>
      </w:r>
    </w:p>
    <w:p>
      <w:pPr>
        <w:spacing w:after="60" w:line="276"/>
        <w:jc w:val="both"/>
      </w:pPr>
      <w:r>
        <w:rPr>
          <w:b/>
          <w:bCs/>
          <w:sz w:val="21"/>
          <w:szCs w:val="21"/>
        </w:rPr>
        <w:t xml:space="preserve">What the evidence shows: </w:t>
      </w:r>
      <w:r>
        <w:rPr>
          <w:sz w:val="21"/>
          <w:szCs w:val="21"/>
        </w:rPr>
        <w:t xml:space="preserve">OSI Systems' annual report states that several of its screening machines are TSA-approved, reports direct sales to the U.S. government, and discloses reliance on single suppliers for some parts and manufacturing done overseas.</w:t>
      </w:r>
      <w:r>
        <w:rPr>
          <w:b/>
          <w:bCs/>
          <w:color w:val="2E5496"/>
          <w:sz w:val="21"/>
          <w:szCs w:val="21"/>
          <w:vertAlign w:val="superscript"/>
        </w:rPr>
        <w:t xml:space="preserve">5</w:t>
      </w:r>
      <w:r>
        <w:rPr>
          <w:sz w:val="21"/>
          <w:szCs w:val="21"/>
        </w:rPr>
        <w:t xml:space="preserve"> Leidos deploys and maintains TSA checkpoint screening equipment.</w:t>
      </w:r>
      <w:r>
        <w:rPr>
          <w:b/>
          <w:bCs/>
          <w:color w:val="2E5496"/>
          <w:sz w:val="21"/>
          <w:szCs w:val="21"/>
          <w:vertAlign w:val="superscript"/>
        </w:rPr>
        <w:t xml:space="preserve">13</w:t>
      </w:r>
    </w:p>
    <w:p>
      <w:pPr>
        <w:spacing w:after="140" w:line="276"/>
        <w:jc w:val="both"/>
      </w:pPr>
      <w:r>
        <w:rPr>
          <w:b/>
          <w:bCs/>
          <w:sz w:val="21"/>
          <w:szCs w:val="21"/>
        </w:rPr>
        <w:t xml:space="preserve">Biggest uncertainty: </w:t>
      </w:r>
      <w:r>
        <w:rPr>
          <w:sz w:val="21"/>
          <w:szCs w:val="21"/>
        </w:rPr>
        <w:t xml:space="preserve">How much qualified backup supply exists if a single supplier fails.</w:t>
      </w:r>
    </w:p>
    <w:p>
      <w:pPr>
        <w:pStyle w:val="Heading3"/>
        <w:spacing w:after="80" w:before="160"/>
      </w:pPr>
      <w:r>
        <w:rPr>
          <w:b/>
          <w:bCs/>
          <w:color w:val="2E5496"/>
          <w:sz w:val="22"/>
          <w:szCs w:val="22"/>
        </w:rPr>
        <w:t xml:space="preserve">KJ-5. Jamming and spoofing of GPS navigation signals is a growing outside threat to aviation.</w:t>
      </w:r>
    </w:p>
    <w:p>
      <w:pPr>
        <w:spacing w:after="60" w:line="276"/>
        <w:jc w:val="both"/>
      </w:pPr>
      <w:r>
        <w:rPr>
          <w:b/>
          <w:bCs/>
          <w:sz w:val="21"/>
          <w:szCs w:val="21"/>
        </w:rPr>
        <w:t xml:space="preserve">Likelihood: </w:t>
      </w:r>
      <w:r>
        <w:rPr>
          <w:sz w:val="21"/>
          <w:szCs w:val="21"/>
        </w:rPr>
        <w:t xml:space="preserve">Almost certain (95–99%) that interference continues at high levels through 2026.  </w:t>
      </w:r>
      <w:r>
        <w:rPr>
          <w:b/>
          <w:bCs/>
          <w:sz w:val="21"/>
          <w:szCs w:val="21"/>
        </w:rPr>
        <w:t xml:space="preserve">Confidence: </w:t>
      </w:r>
      <w:r>
        <w:rPr>
          <w:sz w:val="21"/>
          <w:szCs w:val="21"/>
        </w:rPr>
        <w:t xml:space="preserve">High for the trend itself; low for any direct effect on TSA's mission.</w:t>
      </w:r>
    </w:p>
    <w:p>
      <w:pPr>
        <w:spacing w:after="60" w:line="276"/>
        <w:jc w:val="both"/>
      </w:pPr>
      <w:r>
        <w:rPr>
          <w:b/>
          <w:bCs/>
          <w:sz w:val="21"/>
          <w:szCs w:val="21"/>
        </w:rPr>
        <w:t xml:space="preserve">What the evidence shows: </w:t>
      </w:r>
      <w:r>
        <w:rPr>
          <w:sz w:val="21"/>
          <w:szCs w:val="21"/>
        </w:rPr>
        <w:t xml:space="preserve">Aviation-industry and Federal Aviation Administration (FAA) reporting documents a sharp multi-year rise in GPS interference affecting civilian flights.</w:t>
      </w:r>
      <w:r>
        <w:rPr>
          <w:b/>
          <w:bCs/>
          <w:color w:val="2E5496"/>
          <w:sz w:val="21"/>
          <w:szCs w:val="21"/>
          <w:vertAlign w:val="superscript"/>
        </w:rPr>
        <w:t xml:space="preserve">7</w:t>
      </w:r>
    </w:p>
    <w:p>
      <w:pPr>
        <w:spacing w:after="140" w:line="276"/>
        <w:jc w:val="both"/>
      </w:pPr>
      <w:r>
        <w:rPr>
          <w:b/>
          <w:bCs/>
          <w:sz w:val="21"/>
          <w:szCs w:val="21"/>
        </w:rPr>
        <w:t xml:space="preserve">Biggest uncertainty: </w:t>
      </w:r>
      <w:r>
        <w:rPr>
          <w:sz w:val="21"/>
          <w:szCs w:val="21"/>
        </w:rPr>
        <w:t xml:space="preserve">The main effect is on navigation and safety, which the FAA and Department of Defense lead. TSA's role here is coordination, not fixing the problem.</w:t>
      </w:r>
    </w:p>
    <w:p>
      <w:pPr>
        <w:pStyle w:val="Heading3"/>
        <w:spacing w:after="80" w:before="160"/>
      </w:pPr>
      <w:r>
        <w:rPr>
          <w:b/>
          <w:bCs/>
          <w:color w:val="2E5496"/>
          <w:sz w:val="22"/>
          <w:szCs w:val="22"/>
        </w:rPr>
        <w:t xml:space="preserve">KJ-6. TSA's growing reliance on a private biometric identity company (CLEAR) is expanding.</w:t>
      </w:r>
    </w:p>
    <w:p>
      <w:pPr>
        <w:spacing w:after="60" w:line="276"/>
        <w:jc w:val="both"/>
      </w:pPr>
      <w:r>
        <w:rPr>
          <w:b/>
          <w:bCs/>
          <w:sz w:val="21"/>
          <w:szCs w:val="21"/>
        </w:rPr>
        <w:t xml:space="preserve">Likelihood: </w:t>
      </w:r>
      <w:r>
        <w:rPr>
          <w:sz w:val="21"/>
          <w:szCs w:val="21"/>
        </w:rPr>
        <w:t xml:space="preserve">Not applicable — this is an existing and growing condition.  </w:t>
      </w:r>
      <w:r>
        <w:rPr>
          <w:b/>
          <w:bCs/>
          <w:sz w:val="21"/>
          <w:szCs w:val="21"/>
        </w:rPr>
        <w:t xml:space="preserve">Confidence: </w:t>
      </w:r>
      <w:r>
        <w:rPr>
          <w:sz w:val="21"/>
          <w:szCs w:val="21"/>
        </w:rPr>
        <w:t xml:space="preserve">High.</w:t>
      </w:r>
    </w:p>
    <w:p>
      <w:pPr>
        <w:spacing w:after="60" w:line="276"/>
        <w:jc w:val="both"/>
      </w:pPr>
      <w:r>
        <w:rPr>
          <w:b/>
          <w:bCs/>
          <w:sz w:val="21"/>
          <w:szCs w:val="21"/>
        </w:rPr>
        <w:t xml:space="preserve">What the evidence shows: </w:t>
      </w:r>
      <w:r>
        <w:rPr>
          <w:sz w:val="21"/>
          <w:szCs w:val="21"/>
        </w:rPr>
        <w:t xml:space="preserve">Clear Secure's annual report states that TSA PreCheck enrollment provided by CLEAR was available in 61 airports and 340 retail locations as of December 31, 2025, and is expanding on a rolling basis with TSA approval.</w:t>
      </w:r>
      <w:r>
        <w:rPr>
          <w:b/>
          <w:bCs/>
          <w:color w:val="2E5496"/>
          <w:sz w:val="21"/>
          <w:szCs w:val="21"/>
          <w:vertAlign w:val="superscript"/>
        </w:rPr>
        <w:t xml:space="preserve">6</w:t>
      </w:r>
      <w:r>
        <w:rPr>
          <w:sz w:val="21"/>
          <w:szCs w:val="21"/>
        </w:rPr>
        <w:t xml:space="preserve"> TSA lists CLEAR as one of three approved PreCheck enrollment providers.</w:t>
      </w:r>
      <w:r>
        <w:rPr>
          <w:b/>
          <w:bCs/>
          <w:color w:val="2E5496"/>
          <w:sz w:val="21"/>
          <w:szCs w:val="21"/>
          <w:vertAlign w:val="superscript"/>
        </w:rPr>
        <w:t xml:space="preserve">14</w:t>
      </w:r>
    </w:p>
    <w:p>
      <w:pPr>
        <w:spacing w:after="140" w:line="276"/>
        <w:jc w:val="both"/>
      </w:pPr>
      <w:r>
        <w:rPr>
          <w:b/>
          <w:bCs/>
          <w:sz w:val="21"/>
          <w:szCs w:val="21"/>
        </w:rPr>
        <w:t xml:space="preserve">Biggest uncertainty: </w:t>
      </w:r>
      <w:r>
        <w:rPr>
          <w:sz w:val="21"/>
          <w:szCs w:val="21"/>
        </w:rPr>
        <w:t xml:space="preserve">How well the enrollment channel protects applicant data is not fully described in the filings.</w:t>
      </w:r>
    </w:p>
    <w:p>
      <w:pPr>
        <w:pStyle w:val="Heading3"/>
        <w:spacing w:after="80" w:before="160"/>
      </w:pPr>
      <w:r>
        <w:rPr>
          <w:b/>
          <w:bCs/>
          <w:color w:val="2E5496"/>
          <w:sz w:val="22"/>
          <w:szCs w:val="22"/>
        </w:rPr>
        <w:t xml:space="preserve">KJ-7. Drone risk near airports is rising, but legal limits restrict how anyone can respond.</w:t>
      </w:r>
    </w:p>
    <w:p>
      <w:pPr>
        <w:spacing w:after="60" w:line="276"/>
        <w:jc w:val="both"/>
      </w:pPr>
      <w:r>
        <w:rPr>
          <w:b/>
          <w:bCs/>
          <w:sz w:val="21"/>
          <w:szCs w:val="21"/>
        </w:rPr>
        <w:t xml:space="preserve">Likelihood: </w:t>
      </w:r>
      <w:r>
        <w:rPr>
          <w:sz w:val="21"/>
          <w:szCs w:val="21"/>
        </w:rPr>
        <w:t xml:space="preserve">Likely (55–80%) that drone incursions at U.S. airports rise in 2026.  </w:t>
      </w:r>
      <w:r>
        <w:rPr>
          <w:b/>
          <w:bCs/>
          <w:sz w:val="21"/>
          <w:szCs w:val="21"/>
        </w:rPr>
        <w:t xml:space="preserve">Confidence: </w:t>
      </w:r>
      <w:r>
        <w:rPr>
          <w:sz w:val="21"/>
          <w:szCs w:val="21"/>
        </w:rPr>
        <w:t xml:space="preserve">Low to moderate — filing evidence is thin and comes mostly from vendors and industry.</w:t>
      </w:r>
    </w:p>
    <w:p>
      <w:pPr>
        <w:spacing w:after="60" w:line="276"/>
        <w:jc w:val="both"/>
      </w:pPr>
      <w:r>
        <w:rPr>
          <w:b/>
          <w:bCs/>
          <w:sz w:val="21"/>
          <w:szCs w:val="21"/>
        </w:rPr>
        <w:t xml:space="preserve">What the evidence shows: </w:t>
      </w:r>
      <w:r>
        <w:rPr>
          <w:sz w:val="21"/>
          <w:szCs w:val="21"/>
        </w:rPr>
        <w:t xml:space="preserve">A drone-defense company's filing describes counter-drone products, but this is the company's own description, not independently confirmed capability.</w:t>
      </w:r>
      <w:r>
        <w:rPr>
          <w:b/>
          <w:bCs/>
          <w:color w:val="2E5496"/>
          <w:sz w:val="21"/>
          <w:szCs w:val="21"/>
          <w:vertAlign w:val="superscript"/>
        </w:rPr>
        <w:t xml:space="preserve">8</w:t>
      </w:r>
    </w:p>
    <w:p>
      <w:pPr>
        <w:spacing w:after="140" w:line="276"/>
        <w:jc w:val="both"/>
      </w:pPr>
      <w:r>
        <w:rPr>
          <w:b/>
          <w:bCs/>
          <w:sz w:val="21"/>
          <w:szCs w:val="21"/>
        </w:rPr>
        <w:t xml:space="preserve">Biggest uncertainty: </w:t>
      </w:r>
      <w:r>
        <w:rPr>
          <w:sz w:val="21"/>
          <w:szCs w:val="21"/>
        </w:rPr>
        <w:t xml:space="preserve">Vendors have a commercial interest in emphasizing the threat. Product claims are not verified capability.</w:t>
      </w:r>
    </w:p>
    <w:p>
      <w:pPr>
        <w:pStyle w:val="Heading3"/>
        <w:spacing w:after="80" w:before="160"/>
      </w:pPr>
      <w:r>
        <w:rPr>
          <w:b/>
          <w:bCs/>
          <w:color w:val="2E5496"/>
          <w:sz w:val="22"/>
          <w:szCs w:val="22"/>
        </w:rPr>
        <w:t xml:space="preserve">KJ-8. Pipeline and shipping operators are absorbing new TSA and Coast Guard cybersecurity rules — a maturing but heavy compliance workload.</w:t>
      </w:r>
    </w:p>
    <w:p>
      <w:pPr>
        <w:spacing w:after="60" w:line="276"/>
        <w:jc w:val="both"/>
      </w:pPr>
      <w:r>
        <w:rPr>
          <w:b/>
          <w:bCs/>
          <w:sz w:val="21"/>
          <w:szCs w:val="21"/>
        </w:rPr>
        <w:t xml:space="preserve">Likelihood: </w:t>
      </w:r>
      <w:r>
        <w:rPr>
          <w:sz w:val="21"/>
          <w:szCs w:val="21"/>
        </w:rPr>
        <w:t xml:space="preserve">Not applicable — this is an existing condition.  </w:t>
      </w:r>
      <w:r>
        <w:rPr>
          <w:b/>
          <w:bCs/>
          <w:sz w:val="21"/>
          <w:szCs w:val="21"/>
        </w:rPr>
        <w:t xml:space="preserve">Confidence: </w:t>
      </w:r>
      <w:r>
        <w:rPr>
          <w:sz w:val="21"/>
          <w:szCs w:val="21"/>
        </w:rPr>
        <w:t xml:space="preserve">High.</w:t>
      </w:r>
    </w:p>
    <w:p>
      <w:pPr>
        <w:spacing w:after="60" w:line="276"/>
        <w:jc w:val="both"/>
      </w:pPr>
      <w:r>
        <w:rPr>
          <w:b/>
          <w:bCs/>
          <w:sz w:val="21"/>
          <w:szCs w:val="21"/>
        </w:rPr>
        <w:t xml:space="preserve">What the evidence shows: </w:t>
      </w:r>
      <w:r>
        <w:rPr>
          <w:sz w:val="21"/>
          <w:szCs w:val="21"/>
        </w:rPr>
        <w:t xml:space="preserve">Kinder Morgan's annual report describes TSA's pipeline cybersecurity directives, a still-pending TSA rule that the Department of Homeland Security lists as long-term with no set timetable, and the U.S. Coast Guard's cybersecurity rule for the marine transportation system (effective July 16, 2025, with full plans and a security officer due by July 16, 2027).</w:t>
      </w:r>
      <w:r>
        <w:rPr>
          <w:b/>
          <w:bCs/>
          <w:color w:val="2E5496"/>
          <w:sz w:val="21"/>
          <w:szCs w:val="21"/>
          <w:vertAlign w:val="superscript"/>
        </w:rPr>
        <w:t xml:space="preserve">11</w:t>
      </w:r>
    </w:p>
    <w:p>
      <w:pPr>
        <w:spacing w:after="140" w:line="276"/>
        <w:jc w:val="both"/>
      </w:pPr>
      <w:r>
        <w:rPr>
          <w:b/>
          <w:bCs/>
          <w:sz w:val="21"/>
          <w:szCs w:val="21"/>
        </w:rPr>
        <w:t xml:space="preserve">Biggest uncertainty: </w:t>
      </w:r>
      <w:r>
        <w:rPr>
          <w:sz w:val="21"/>
          <w:szCs w:val="21"/>
        </w:rPr>
        <w:t xml:space="preserve">Whether the pending pipeline-and-rail cybersecurity rule is ever finalized.</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4. Scope and Method</w:t>
      </w:r>
    </w:p>
    <w:p>
      <w:pPr>
        <w:spacing w:after="120" w:line="276"/>
        <w:jc w:val="both"/>
      </w:pPr>
      <w:r>
        <w:rPr>
          <w:b/>
          <w:bCs/>
          <w:sz w:val="21"/>
          <w:szCs w:val="21"/>
        </w:rPr>
        <w:t xml:space="preserve">Period reviewed: </w:t>
      </w:r>
      <w:r>
        <w:rPr>
          <w:sz w:val="21"/>
          <w:szCs w:val="21"/>
        </w:rPr>
        <w:t xml:space="preserve">January 1 to July 12, 2026, including annual reports for 2025 filed during that window. </w:t>
      </w:r>
      <w:r>
        <w:rPr>
          <w:b/>
          <w:bCs/>
          <w:sz w:val="21"/>
          <w:szCs w:val="21"/>
        </w:rPr>
        <w:t xml:space="preserve">EDGAR last checked: </w:t>
      </w:r>
      <w:r>
        <w:rPr>
          <w:sz w:val="21"/>
          <w:szCs w:val="21"/>
        </w:rPr>
        <w:t xml:space="preserve">July 12, 2026. </w:t>
      </w:r>
      <w:r>
        <w:rPr>
          <w:b/>
          <w:bCs/>
          <w:sz w:val="21"/>
          <w:szCs w:val="21"/>
        </w:rPr>
        <w:t xml:space="preserve">Coverage: </w:t>
      </w:r>
      <w:r>
        <w:rPr>
          <w:sz w:val="21"/>
          <w:szCs w:val="21"/>
        </w:rPr>
        <w:t xml:space="preserve">partial and risk-based — not complete.</w:t>
      </w:r>
    </w:p>
    <w:p>
      <w:pPr>
        <w:spacing w:after="120" w:line="276"/>
        <w:jc w:val="both"/>
      </w:pPr>
      <w:r>
        <w:rPr>
          <w:b/>
          <w:bCs/>
          <w:sz w:val="21"/>
          <w:szCs w:val="21"/>
        </w:rPr>
        <w:t xml:space="preserve">Counts: </w:t>
      </w:r>
      <w:r>
        <w:rPr>
          <w:sz w:val="21"/>
          <w:szCs w:val="21"/>
        </w:rPr>
        <w:t xml:space="preserve">we screened more than 60 companies, read 23 filings closely, and carried 15 forward as clearly relevant. We confirmed most facts with two or more primary sources. Single-source or unconfirmed items are labeled.</w:t>
      </w:r>
    </w:p>
    <w:p>
      <w:pPr>
        <w:spacing w:after="120" w:line="276"/>
        <w:jc w:val="both"/>
      </w:pPr>
      <w:r>
        <w:rPr>
          <w:b/>
          <w:bCs/>
          <w:sz w:val="21"/>
          <w:szCs w:val="21"/>
        </w:rPr>
        <w:t xml:space="preserve">How we worked: </w:t>
      </w:r>
      <w:r>
        <w:rPr>
          <w:sz w:val="21"/>
          <w:szCs w:val="21"/>
        </w:rPr>
        <w:t xml:space="preserve">we searched for likely-relevant filings, confirmed each one against the SEC's own records and document links, read the relevant sections before judging importance, kept facts separate from assumptions and recommendations, and scored each finding with the method below.</w:t>
      </w:r>
    </w:p>
    <w:p>
      <w:pPr>
        <w:spacing w:after="120" w:line="276"/>
        <w:jc w:val="both"/>
      </w:pPr>
      <w:r>
        <w:rPr>
          <w:b/>
          <w:bCs/>
          <w:sz w:val="21"/>
          <w:szCs w:val="21"/>
        </w:rPr>
        <w:t xml:space="preserve">Care taken: </w:t>
      </w:r>
      <w:r>
        <w:rPr>
          <w:sz w:val="21"/>
          <w:szCs w:val="21"/>
        </w:rPr>
        <w:t xml:space="preserve">we separated routine "just in case" risk warnings from genuinely new disclosures. A standard risk warning is not treated as proof that something happened. A safety risk is not automatically treated as a security risk. Vendor claims are attributed to the vendor and never treated as proven.</w:t>
      </w:r>
    </w:p>
    <w:p>
      <w:pPr>
        <w:spacing w:after="120" w:line="276"/>
        <w:jc w:val="both"/>
      </w:pPr>
      <w:r>
        <w:rPr>
          <w:b/>
          <w:bCs/>
          <w:sz w:val="21"/>
          <w:szCs w:val="21"/>
        </w:rPr>
        <w:t xml:space="preserve">Plain-language note on likelihood words: </w:t>
      </w:r>
      <w:r>
        <w:rPr>
          <w:sz w:val="21"/>
          <w:szCs w:val="21"/>
        </w:rPr>
        <w:t xml:space="preserve">we use a fixed scale — almost no chance (1–5%), very unlikely (5–20%), unlikely (20–45%), roughly even (45–55%), likely (55–80%), very likely (80–95%), almost certain (95–99%).</w:t>
      </w:r>
    </w:p>
    <w:p>
      <w:pPr>
        <w:spacing w:after="120" w:line="276"/>
        <w:jc w:val="both"/>
      </w:pPr>
      <w:r>
        <w:rPr>
          <w:b/>
          <w:bCs/>
          <w:sz w:val="21"/>
          <w:szCs w:val="21"/>
        </w:rPr>
        <w:t xml:space="preserve">Scoring: </w:t>
      </w:r>
      <w:r>
        <w:rPr>
          <w:sz w:val="21"/>
          <w:szCs w:val="21"/>
        </w:rPr>
        <w:t xml:space="preserve">each finding gets a TSA Relevance Score. We multiply six factors, each rated 1 to 5 — Directness, Security Significance, Potential Consequence, Immediacy, Scope, and Evidence Strength — then convert the result to a 0-to-100 scale. Bands: 80–100 critical; 60–79 high; 40–59 moderate; 20–39 low; 0–19 minimal.</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5. The Big Picture in 2026</w:t>
      </w:r>
    </w:p>
    <w:p>
      <w:pPr>
        <w:spacing w:after="120" w:line="276"/>
        <w:jc w:val="both"/>
      </w:pPr>
      <w:r>
        <w:rPr>
          <w:sz w:val="21"/>
          <w:szCs w:val="21"/>
        </w:rPr>
        <w:t xml:space="preserve">Four pressures come together this year. First, </w:t>
      </w:r>
      <w:r>
        <w:rPr>
          <w:b/>
          <w:bCs/>
          <w:sz w:val="21"/>
          <w:szCs w:val="21"/>
        </w:rPr>
        <w:t xml:space="preserve">computer systems are concentrated</w:t>
      </w:r>
      <w:r>
        <w:rPr>
          <w:sz w:val="21"/>
          <w:szCs w:val="21"/>
        </w:rPr>
        <w:t xml:space="preserve">: a handful of software and hosting products sit underneath much of transportation's technology, so one flaw spreads widely.</w:t>
      </w:r>
      <w:r>
        <w:rPr>
          <w:b/>
          <w:bCs/>
          <w:color w:val="2E5496"/>
          <w:sz w:val="21"/>
          <w:szCs w:val="21"/>
          <w:vertAlign w:val="superscript"/>
        </w:rPr>
        <w:t xml:space="preserve">1</w:t>
      </w:r>
      <w:r>
        <w:rPr>
          <w:sz w:val="21"/>
          <w:szCs w:val="21"/>
        </w:rPr>
        <w:t xml:space="preserve"> Second, </w:t>
      </w:r>
      <w:r>
        <w:rPr>
          <w:b/>
          <w:bCs/>
          <w:sz w:val="21"/>
          <w:szCs w:val="21"/>
        </w:rPr>
        <w:t xml:space="preserve">companies are consolidating</w:t>
      </w:r>
      <w:r>
        <w:rPr>
          <w:sz w:val="21"/>
          <w:szCs w:val="21"/>
        </w:rPr>
        <w:t xml:space="preserve">: the coast-to-coast railroad merger removes backup options.</w:t>
      </w:r>
      <w:r>
        <w:rPr>
          <w:b/>
          <w:bCs/>
          <w:color w:val="2E5496"/>
          <w:sz w:val="21"/>
          <w:szCs w:val="21"/>
          <w:vertAlign w:val="superscript"/>
        </w:rPr>
        <w:t xml:space="preserve">2</w:t>
      </w:r>
      <w:r>
        <w:rPr>
          <w:b/>
          <w:bCs/>
          <w:color w:val="2E5496"/>
          <w:sz w:val="21"/>
          <w:szCs w:val="21"/>
          <w:vertAlign w:val="superscript"/>
        </w:rPr>
        <w:t xml:space="preserve">3</w:t>
      </w:r>
      <w:r>
        <w:rPr>
          <w:sz w:val="21"/>
          <w:szCs w:val="21"/>
        </w:rPr>
        <w:t xml:space="preserve"> Third, </w:t>
      </w:r>
      <w:r>
        <w:rPr>
          <w:b/>
          <w:bCs/>
          <w:sz w:val="21"/>
          <w:szCs w:val="21"/>
        </w:rPr>
        <w:t xml:space="preserve">finances are fragile</w:t>
      </w:r>
      <w:r>
        <w:rPr>
          <w:sz w:val="21"/>
          <w:szCs w:val="21"/>
        </w:rPr>
        <w:t xml:space="preserve">: Spirit's failure shows a thin-margin airline can disappear quickly.</w:t>
      </w:r>
      <w:r>
        <w:rPr>
          <w:b/>
          <w:bCs/>
          <w:color w:val="2E5496"/>
          <w:sz w:val="21"/>
          <w:szCs w:val="21"/>
          <w:vertAlign w:val="superscript"/>
        </w:rPr>
        <w:t xml:space="preserve">4</w:t>
      </w:r>
      <w:r>
        <w:rPr>
          <w:sz w:val="21"/>
          <w:szCs w:val="21"/>
        </w:rPr>
        <w:t xml:space="preserve"> Fourth, </w:t>
      </w:r>
      <w:r>
        <w:rPr>
          <w:b/>
          <w:bCs/>
          <w:sz w:val="21"/>
          <w:szCs w:val="21"/>
        </w:rPr>
        <w:t xml:space="preserve">navigation and airspace are contested</w:t>
      </w:r>
      <w:r>
        <w:rPr>
          <w:sz w:val="21"/>
          <w:szCs w:val="21"/>
        </w:rPr>
        <w:t xml:space="preserve">: GPS interference and drones raise the everyday level of operational risk.</w:t>
      </w:r>
      <w:r>
        <w:rPr>
          <w:b/>
          <w:bCs/>
          <w:color w:val="2E5496"/>
          <w:sz w:val="21"/>
          <w:szCs w:val="21"/>
          <w:vertAlign w:val="superscript"/>
        </w:rPr>
        <w:t xml:space="preserve">7</w:t>
      </w:r>
      <w:r>
        <w:rPr>
          <w:b/>
          <w:bCs/>
          <w:color w:val="2E5496"/>
          <w:sz w:val="21"/>
          <w:szCs w:val="21"/>
          <w:vertAlign w:val="superscript"/>
        </w:rPr>
        <w:t xml:space="preserve">8</w:t>
      </w:r>
      <w:r>
        <w:rPr>
          <w:sz w:val="21"/>
          <w:szCs w:val="21"/>
        </w:rPr>
        <w:t xml:space="preserve"> Against this backdrop, TSA's reliance on a few equipment and identity vendors is a built-in exposure rather than a sudden crisis.</w:t>
      </w:r>
      <w:r>
        <w:rPr>
          <w:b/>
          <w:bCs/>
          <w:color w:val="2E5496"/>
          <w:sz w:val="21"/>
          <w:szCs w:val="21"/>
          <w:vertAlign w:val="superscript"/>
        </w:rPr>
        <w:t xml:space="preserve">5</w:t>
      </w:r>
      <w:r>
        <w:rPr>
          <w:b/>
          <w:bCs/>
          <w:color w:val="2E5496"/>
          <w:sz w:val="21"/>
          <w:szCs w:val="21"/>
          <w:vertAlign w:val="superscript"/>
        </w:rPr>
        <w:t xml:space="preserve">6</w:t>
      </w:r>
      <w:r>
        <w:rPr>
          <w:b/>
          <w:bCs/>
          <w:color w:val="2E5496"/>
          <w:sz w:val="21"/>
          <w:szCs w:val="21"/>
          <w:vertAlign w:val="superscript"/>
        </w:rPr>
        <w:t xml:space="preserve">13</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6. Findings by Mode of Transportation</w:t>
      </w:r>
    </w:p>
    <w:p>
      <w:pPr>
        <w:spacing w:after="120" w:line="276"/>
        <w:jc w:val="both"/>
      </w:pPr>
      <w:r>
        <w:rPr>
          <w:b/>
          <w:bCs/>
          <w:sz w:val="21"/>
          <w:szCs w:val="21"/>
        </w:rPr>
        <w:t xml:space="preserve">Aviation. </w:t>
      </w:r>
      <w:r>
        <w:rPr>
          <w:sz w:val="21"/>
          <w:szCs w:val="21"/>
        </w:rPr>
        <w:t xml:space="preserve">American Airlines' annual report gives only general cybersecurity disclosure and does not name the Envoy incident.</w:t>
      </w:r>
      <w:r>
        <w:rPr>
          <w:b/>
          <w:bCs/>
          <w:color w:val="2E5496"/>
          <w:sz w:val="21"/>
          <w:szCs w:val="21"/>
          <w:vertAlign w:val="superscript"/>
        </w:rPr>
        <w:t xml:space="preserve">12</w:t>
      </w:r>
      <w:r>
        <w:rPr>
          <w:b/>
          <w:bCs/>
          <w:color w:val="2E5496"/>
          <w:sz w:val="21"/>
          <w:szCs w:val="21"/>
          <w:vertAlign w:val="superscript"/>
        </w:rPr>
        <w:t xml:space="preserve">1</w:t>
      </w:r>
      <w:r>
        <w:rPr>
          <w:sz w:val="21"/>
          <w:szCs w:val="21"/>
        </w:rPr>
        <w:t xml:space="preserve"> Spirit shut down.</w:t>
      </w:r>
      <w:r>
        <w:rPr>
          <w:b/>
          <w:bCs/>
          <w:color w:val="2E5496"/>
          <w:sz w:val="21"/>
          <w:szCs w:val="21"/>
          <w:vertAlign w:val="superscript"/>
        </w:rPr>
        <w:t xml:space="preserve">4</w:t>
      </w:r>
      <w:r>
        <w:rPr>
          <w:sz w:val="21"/>
          <w:szCs w:val="21"/>
        </w:rPr>
        <w:t xml:space="preserve"> CLEAR expanded its PreCheck enrollment role.</w:t>
      </w:r>
      <w:r>
        <w:rPr>
          <w:b/>
          <w:bCs/>
          <w:color w:val="2E5496"/>
          <w:sz w:val="21"/>
          <w:szCs w:val="21"/>
          <w:vertAlign w:val="superscript"/>
        </w:rPr>
        <w:t xml:space="preserve">6</w:t>
      </w:r>
      <w:r>
        <w:rPr>
          <w:sz w:val="21"/>
          <w:szCs w:val="21"/>
        </w:rPr>
        <w:t xml:space="preserve"> Boeing's annual report (filed January 30, 2026) covers cybersecurity oversight and production plans in standard language, with no specific incident claimed.</w:t>
      </w:r>
      <w:r>
        <w:rPr>
          <w:b/>
          <w:bCs/>
          <w:color w:val="2E5496"/>
          <w:sz w:val="21"/>
          <w:szCs w:val="21"/>
          <w:vertAlign w:val="superscript"/>
        </w:rPr>
        <w:t xml:space="preserve">15</w:t>
      </w:r>
    </w:p>
    <w:p>
      <w:pPr>
        <w:spacing w:after="120" w:line="276"/>
        <w:jc w:val="both"/>
      </w:pPr>
      <w:r>
        <w:rPr>
          <w:b/>
          <w:bCs/>
          <w:sz w:val="21"/>
          <w:szCs w:val="21"/>
        </w:rPr>
        <w:t xml:space="preserve">Rail and surface. </w:t>
      </w:r>
      <w:r>
        <w:rPr>
          <w:sz w:val="21"/>
          <w:szCs w:val="21"/>
        </w:rPr>
        <w:t xml:space="preserve">The Union Pacific</w:t>
      </w:r>
      <w:r>
        <w:rPr>
          <w:b/>
          <w:bCs/>
          <w:color w:val="2E5496"/>
          <w:sz w:val="21"/>
          <w:szCs w:val="21"/>
          <w:vertAlign w:val="superscript"/>
        </w:rPr>
        <w:t xml:space="preserve">9</w:t>
      </w:r>
      <w:r>
        <w:rPr>
          <w:sz w:val="21"/>
          <w:szCs w:val="21"/>
        </w:rPr>
        <w:t xml:space="preserve"> and Norfolk Southern</w:t>
      </w:r>
      <w:r>
        <w:rPr>
          <w:b/>
          <w:bCs/>
          <w:color w:val="2E5496"/>
          <w:sz w:val="21"/>
          <w:szCs w:val="21"/>
          <w:vertAlign w:val="superscript"/>
        </w:rPr>
        <w:t xml:space="preserve">10</w:t>
      </w:r>
      <w:r>
        <w:rPr>
          <w:sz w:val="21"/>
          <w:szCs w:val="21"/>
        </w:rPr>
        <w:t xml:space="preserve"> annual reports, plus the merger.</w:t>
      </w:r>
      <w:r>
        <w:rPr>
          <w:b/>
          <w:bCs/>
          <w:color w:val="2E5496"/>
          <w:sz w:val="21"/>
          <w:szCs w:val="21"/>
          <w:vertAlign w:val="superscript"/>
        </w:rPr>
        <w:t xml:space="preserve">2</w:t>
      </w:r>
      <w:r>
        <w:rPr>
          <w:b/>
          <w:bCs/>
          <w:color w:val="2E5496"/>
          <w:sz w:val="21"/>
          <w:szCs w:val="21"/>
          <w:vertAlign w:val="superscript"/>
        </w:rPr>
        <w:t xml:space="preserve">3</w:t>
      </w:r>
    </w:p>
    <w:p>
      <w:pPr>
        <w:spacing w:after="120" w:line="276"/>
        <w:jc w:val="both"/>
      </w:pPr>
      <w:r>
        <w:rPr>
          <w:b/>
          <w:bCs/>
          <w:sz w:val="21"/>
          <w:szCs w:val="21"/>
        </w:rPr>
        <w:t xml:space="preserve">Pipelines. </w:t>
      </w:r>
      <w:r>
        <w:rPr>
          <w:sz w:val="21"/>
          <w:szCs w:val="21"/>
        </w:rPr>
        <w:t xml:space="preserve">Kinder Morgan's annual report has the most direct TSA connection in the set, because TSA is its named regulator for pipeline cybersecurity.</w:t>
      </w:r>
      <w:r>
        <w:rPr>
          <w:b/>
          <w:bCs/>
          <w:color w:val="2E5496"/>
          <w:sz w:val="21"/>
          <w:szCs w:val="21"/>
          <w:vertAlign w:val="superscript"/>
        </w:rPr>
        <w:t xml:space="preserve">11</w:t>
      </w:r>
    </w:p>
    <w:p>
      <w:pPr>
        <w:spacing w:after="120" w:line="276"/>
        <w:jc w:val="both"/>
      </w:pPr>
      <w:r>
        <w:rPr>
          <w:b/>
          <w:bCs/>
          <w:sz w:val="21"/>
          <w:szCs w:val="21"/>
        </w:rPr>
        <w:t xml:space="preserve">Security and technology vendors. </w:t>
      </w:r>
      <w:r>
        <w:rPr>
          <w:sz w:val="21"/>
          <w:szCs w:val="21"/>
        </w:rPr>
        <w:t xml:space="preserve">OSI Systems / Rapiscan — TSA-approved screening machines, with single-supplier and overseas-manufacturing exposure.</w:t>
      </w:r>
      <w:r>
        <w:rPr>
          <w:b/>
          <w:bCs/>
          <w:color w:val="2E5496"/>
          <w:sz w:val="21"/>
          <w:szCs w:val="21"/>
          <w:vertAlign w:val="superscript"/>
        </w:rPr>
        <w:t xml:space="preserve">5</w:t>
      </w:r>
      <w:r>
        <w:rPr>
          <w:sz w:val="21"/>
          <w:szCs w:val="21"/>
        </w:rPr>
        <w:t xml:space="preserve"> Leidos — checkpoint deployment and maintenance.</w:t>
      </w:r>
      <w:r>
        <w:rPr>
          <w:b/>
          <w:bCs/>
          <w:color w:val="2E5496"/>
          <w:sz w:val="21"/>
          <w:szCs w:val="21"/>
          <w:vertAlign w:val="superscript"/>
        </w:rPr>
        <w:t xml:space="preserve">13</w:t>
      </w:r>
    </w:p>
    <w:p>
      <w:pPr>
        <w:spacing w:after="120" w:line="276"/>
        <w:jc w:val="both"/>
      </w:pPr>
      <w:r>
        <w:rPr>
          <w:b/>
          <w:bCs/>
          <w:sz w:val="21"/>
          <w:szCs w:val="21"/>
        </w:rPr>
        <w:t xml:space="preserve">Critical outside dependencies. </w:t>
      </w:r>
      <w:r>
        <w:rPr>
          <w:sz w:val="21"/>
          <w:szCs w:val="21"/>
        </w:rPr>
        <w:t xml:space="preserve">CrowdStrike's annual report (covering the year ended January 31, 2026) notes hosting concentration and the risk of outages; its July 2024 software update remains the reference case for how fragile transportation technology can be.</w:t>
      </w:r>
      <w:r>
        <w:rPr>
          <w:b/>
          <w:bCs/>
          <w:color w:val="2E5496"/>
          <w:sz w:val="21"/>
          <w:szCs w:val="21"/>
          <w:vertAlign w:val="superscript"/>
        </w:rPr>
        <w:t xml:space="preserve">16</w:t>
      </w:r>
      <w:r>
        <w:rPr>
          <w:sz w:val="21"/>
          <w:szCs w:val="21"/>
        </w:rPr>
        <w:t xml:space="preserve"> A telecom vendor, 8x8, filed a material-incident report about a breach through a connected third-party platform — low direct TSA relevance, but a useful example of the shared-platform pattern.</w:t>
      </w:r>
      <w:r>
        <w:rPr>
          <w:b/>
          <w:bCs/>
          <w:color w:val="2E5496"/>
          <w:sz w:val="21"/>
          <w:szCs w:val="21"/>
          <w:vertAlign w:val="superscript"/>
        </w:rPr>
        <w:t xml:space="preserve">17</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7. Findings and Scores</w:t>
      </w:r>
    </w:p>
    <w:p>
      <w:pPr>
        <w:spacing w:after="120" w:line="276"/>
        <w:jc w:val="both"/>
      </w:pPr>
      <w:r>
        <w:rPr>
          <w:b/>
          <w:bCs/>
          <w:i/>
          <w:iCs/>
          <w:sz w:val="21"/>
          <w:szCs w:val="21"/>
        </w:rPr>
        <w:t xml:space="preserve">Factor meaning (each rated 1 to 5): </w:t>
      </w:r>
      <w:r>
        <w:rPr>
          <w:i/>
          <w:iCs/>
          <w:sz w:val="21"/>
          <w:szCs w:val="21"/>
        </w:rPr>
        <w:t xml:space="preserve">Directness — is TSA a named customer or regulator? Security Significance — is there a real security effect, not just a financial or safety one? Potential Consequence — how bad could it get? Immediacy — is it active now? Scope — how widely does it reach? Evidence Strength — how well is it sourced? The score is the six factors multiplied, then scaled to 0–100.</w:t>
      </w:r>
    </w:p>
    <w:tbl>
      <w:tblPr>
        <w:tblW w:type="dxa" w:w="8440"/>
        <w:tblBorders>
          <w:top w:val="single" w:color="8FAADC" w:sz="4"/>
          <w:left w:val="single" w:color="8FAADC" w:sz="4"/>
          <w:bottom w:val="single" w:color="8FAADC" w:sz="4"/>
          <w:right w:val="single" w:color="8FAADC" w:sz="4"/>
          <w:insideH w:val="single" w:color="8FAADC" w:sz="2"/>
          <w:insideV w:val="single" w:color="8FAADC" w:sz="2"/>
        </w:tblBorders>
      </w:tblPr>
      <w:tblGrid>
        <w:gridCol w:w="3050"/>
        <w:gridCol w:w="560"/>
        <w:gridCol w:w="560"/>
        <w:gridCol w:w="560"/>
        <w:gridCol w:w="560"/>
        <w:gridCol w:w="640"/>
        <w:gridCol w:w="720"/>
        <w:gridCol w:w="760"/>
        <w:gridCol w:w="1030"/>
      </w:tblGrid>
      <w:tr>
        <w:trPr>
          <w:tblHeader/>
        </w:trPr>
        <w:tc>
          <w:tcPr>
            <w:tcW w:type="dxa" w:w="3050"/>
            <w:shd w:fill="1F3864" w:color="auto" w:val="clear"/>
            <w:tcMar>
              <w:top w:type="dxa" w:w="40"/>
              <w:left w:type="dxa" w:w="70"/>
              <w:bottom w:type="dxa" w:w="40"/>
              <w:right w:type="dxa" w:w="70"/>
            </w:tcMar>
          </w:tcPr>
          <w:p>
            <w:pPr>
              <w:spacing w:after="0" w:line="240"/>
              <w:jc w:val="center"/>
            </w:pPr>
            <w:r>
              <w:rPr>
                <w:b/>
                <w:bCs/>
                <w:color w:val="FFFFFF"/>
                <w:sz w:val="18"/>
                <w:szCs w:val="18"/>
              </w:rPr>
              <w:t xml:space="preserve">Company / Filing</w:t>
            </w:r>
          </w:p>
        </w:tc>
        <w:tc>
          <w:tcPr>
            <w:tcW w:type="dxa" w:w="560"/>
            <w:shd w:fill="1F3864" w:color="auto" w:val="clear"/>
            <w:tcMar>
              <w:top w:type="dxa" w:w="40"/>
              <w:left w:type="dxa" w:w="70"/>
              <w:bottom w:type="dxa" w:w="40"/>
              <w:right w:type="dxa" w:w="70"/>
            </w:tcMar>
          </w:tcPr>
          <w:p>
            <w:pPr>
              <w:spacing w:after="0" w:line="240"/>
              <w:jc w:val="center"/>
            </w:pPr>
            <w:r>
              <w:rPr>
                <w:b/>
                <w:bCs/>
                <w:color w:val="FFFFFF"/>
                <w:sz w:val="18"/>
                <w:szCs w:val="18"/>
              </w:rPr>
              <w:t xml:space="preserve">Dir</w:t>
            </w:r>
          </w:p>
        </w:tc>
        <w:tc>
          <w:tcPr>
            <w:tcW w:type="dxa" w:w="560"/>
            <w:shd w:fill="1F3864" w:color="auto" w:val="clear"/>
            <w:tcMar>
              <w:top w:type="dxa" w:w="40"/>
              <w:left w:type="dxa" w:w="70"/>
              <w:bottom w:type="dxa" w:w="40"/>
              <w:right w:type="dxa" w:w="70"/>
            </w:tcMar>
          </w:tcPr>
          <w:p>
            <w:pPr>
              <w:spacing w:after="0" w:line="240"/>
              <w:jc w:val="center"/>
            </w:pPr>
            <w:r>
              <w:rPr>
                <w:b/>
                <w:bCs/>
                <w:color w:val="FFFFFF"/>
                <w:sz w:val="18"/>
                <w:szCs w:val="18"/>
              </w:rPr>
              <w:t xml:space="preserve">Sec</w:t>
            </w:r>
          </w:p>
        </w:tc>
        <w:tc>
          <w:tcPr>
            <w:tcW w:type="dxa" w:w="560"/>
            <w:shd w:fill="1F3864" w:color="auto" w:val="clear"/>
            <w:tcMar>
              <w:top w:type="dxa" w:w="40"/>
              <w:left w:type="dxa" w:w="70"/>
              <w:bottom w:type="dxa" w:w="40"/>
              <w:right w:type="dxa" w:w="70"/>
            </w:tcMar>
          </w:tcPr>
          <w:p>
            <w:pPr>
              <w:spacing w:after="0" w:line="240"/>
              <w:jc w:val="center"/>
            </w:pPr>
            <w:r>
              <w:rPr>
                <w:b/>
                <w:bCs/>
                <w:color w:val="FFFFFF"/>
                <w:sz w:val="18"/>
                <w:szCs w:val="18"/>
              </w:rPr>
              <w:t xml:space="preserve">Con</w:t>
            </w:r>
          </w:p>
        </w:tc>
        <w:tc>
          <w:tcPr>
            <w:tcW w:type="dxa" w:w="560"/>
            <w:shd w:fill="1F3864" w:color="auto" w:val="clear"/>
            <w:tcMar>
              <w:top w:type="dxa" w:w="40"/>
              <w:left w:type="dxa" w:w="70"/>
              <w:bottom w:type="dxa" w:w="40"/>
              <w:right w:type="dxa" w:w="70"/>
            </w:tcMar>
          </w:tcPr>
          <w:p>
            <w:pPr>
              <w:spacing w:after="0" w:line="240"/>
              <w:jc w:val="center"/>
            </w:pPr>
            <w:r>
              <w:rPr>
                <w:b/>
                <w:bCs/>
                <w:color w:val="FFFFFF"/>
                <w:sz w:val="18"/>
                <w:szCs w:val="18"/>
              </w:rPr>
              <w:t xml:space="preserve">Imm</w:t>
            </w:r>
          </w:p>
        </w:tc>
        <w:tc>
          <w:tcPr>
            <w:tcW w:type="dxa" w:w="640"/>
            <w:shd w:fill="1F3864" w:color="auto" w:val="clear"/>
            <w:tcMar>
              <w:top w:type="dxa" w:w="40"/>
              <w:left w:type="dxa" w:w="70"/>
              <w:bottom w:type="dxa" w:w="40"/>
              <w:right w:type="dxa" w:w="70"/>
            </w:tcMar>
          </w:tcPr>
          <w:p>
            <w:pPr>
              <w:spacing w:after="0" w:line="240"/>
              <w:jc w:val="center"/>
            </w:pPr>
            <w:r>
              <w:rPr>
                <w:b/>
                <w:bCs/>
                <w:color w:val="FFFFFF"/>
                <w:sz w:val="18"/>
                <w:szCs w:val="18"/>
              </w:rPr>
              <w:t xml:space="preserve">Scope</w:t>
            </w:r>
          </w:p>
        </w:tc>
        <w:tc>
          <w:tcPr>
            <w:tcW w:type="dxa" w:w="720"/>
            <w:shd w:fill="1F3864" w:color="auto" w:val="clear"/>
            <w:tcMar>
              <w:top w:type="dxa" w:w="40"/>
              <w:left w:type="dxa" w:w="70"/>
              <w:bottom w:type="dxa" w:w="40"/>
              <w:right w:type="dxa" w:w="70"/>
            </w:tcMar>
          </w:tcPr>
          <w:p>
            <w:pPr>
              <w:spacing w:after="0" w:line="240"/>
              <w:jc w:val="center"/>
            </w:pPr>
            <w:r>
              <w:rPr>
                <w:b/>
                <w:bCs/>
                <w:color w:val="FFFFFF"/>
                <w:sz w:val="18"/>
                <w:szCs w:val="18"/>
              </w:rPr>
              <w:t xml:space="preserve">Evid</w:t>
            </w:r>
          </w:p>
        </w:tc>
        <w:tc>
          <w:tcPr>
            <w:tcW w:type="dxa" w:w="760"/>
            <w:shd w:fill="1F3864" w:color="auto" w:val="clear"/>
            <w:tcMar>
              <w:top w:type="dxa" w:w="40"/>
              <w:left w:type="dxa" w:w="70"/>
              <w:bottom w:type="dxa" w:w="40"/>
              <w:right w:type="dxa" w:w="70"/>
            </w:tcMar>
          </w:tcPr>
          <w:p>
            <w:pPr>
              <w:spacing w:after="0" w:line="240"/>
              <w:jc w:val="center"/>
            </w:pPr>
            <w:r>
              <w:rPr>
                <w:b/>
                <w:bCs/>
                <w:color w:val="FFFFFF"/>
                <w:sz w:val="18"/>
                <w:szCs w:val="18"/>
              </w:rPr>
              <w:t xml:space="preserve">Score</w:t>
            </w:r>
          </w:p>
        </w:tc>
        <w:tc>
          <w:tcPr>
            <w:tcW w:type="dxa" w:w="1030"/>
            <w:shd w:fill="1F3864" w:color="auto" w:val="clear"/>
            <w:tcMar>
              <w:top w:type="dxa" w:w="40"/>
              <w:left w:type="dxa" w:w="70"/>
              <w:bottom w:type="dxa" w:w="40"/>
              <w:right w:type="dxa" w:w="70"/>
            </w:tcMar>
          </w:tcPr>
          <w:p>
            <w:pPr>
              <w:spacing w:after="0" w:line="240"/>
              <w:jc w:val="center"/>
            </w:pPr>
            <w:r>
              <w:rPr>
                <w:b/>
                <w:bCs/>
                <w:color w:val="FFFFFF"/>
                <w:sz w:val="18"/>
                <w:szCs w:val="18"/>
              </w:rPr>
              <w:t xml:space="preserve">Band</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Kinder Morgan annual report (pipeline &amp; shipping cyber rules)</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82</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Critical</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Union Pacific–Norfolk Southern merger</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82</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Critical</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Leidos TSA screening contracts</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66</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High</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OSI / Rapiscan annual &amp; quarterly reports</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61</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High</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CrowdStrike annual report (dependency/outage)</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58</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Clear Secure annual report (PreCheck)</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58</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GPS interference (FAA + industry)</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48</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American/Envoy Oracle breach</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46</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Spirit Airlines shutdown</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5</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43</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Boeing annual report</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41</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Moderate</w:t>
            </w:r>
          </w:p>
        </w:tc>
      </w:tr>
      <w:tr>
        <w:tc>
          <w:tcPr>
            <w:tcW w:type="dxa" w:w="3050"/>
            <w:shd w:fill="FFFFFF" w:color="auto" w:val="clear"/>
            <w:tcMar>
              <w:top w:type="dxa" w:w="40"/>
              <w:left w:type="dxa" w:w="70"/>
              <w:bottom w:type="dxa" w:w="40"/>
              <w:right w:type="dxa" w:w="70"/>
            </w:tcMar>
          </w:tcPr>
          <w:p>
            <w:pPr>
              <w:spacing w:after="0" w:line="240"/>
              <w:jc w:val="left"/>
            </w:pPr>
            <w:r>
              <w:rPr>
                <w:b/>
                <w:bCs/>
                <w:color w:val="000000"/>
                <w:sz w:val="18"/>
                <w:szCs w:val="18"/>
              </w:rPr>
              <w:t xml:space="preserve">8x8 material-incident report</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w:t>
            </w:r>
          </w:p>
        </w:tc>
        <w:tc>
          <w:tcPr>
            <w:tcW w:type="dxa" w:w="5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64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72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4</w:t>
            </w:r>
          </w:p>
        </w:tc>
        <w:tc>
          <w:tcPr>
            <w:tcW w:type="dxa" w:w="76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23</w:t>
            </w:r>
          </w:p>
        </w:tc>
        <w:tc>
          <w:tcPr>
            <w:tcW w:type="dxa" w:w="103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Low</w:t>
            </w:r>
          </w:p>
        </w:tc>
      </w:tr>
      <w:tr>
        <w:tc>
          <w:tcPr>
            <w:tcW w:type="dxa" w:w="3050"/>
            <w:shd w:fill="D9E2F3" w:color="auto" w:val="clear"/>
            <w:tcMar>
              <w:top w:type="dxa" w:w="40"/>
              <w:left w:type="dxa" w:w="70"/>
              <w:bottom w:type="dxa" w:w="40"/>
              <w:right w:type="dxa" w:w="70"/>
            </w:tcMar>
          </w:tcPr>
          <w:p>
            <w:pPr>
              <w:spacing w:after="0" w:line="240"/>
              <w:jc w:val="left"/>
            </w:pPr>
            <w:r>
              <w:rPr>
                <w:b/>
                <w:bCs/>
                <w:color w:val="000000"/>
                <w:sz w:val="18"/>
                <w:szCs w:val="18"/>
              </w:rPr>
              <w:t xml:space="preserve">ParaZero drone-defense filing</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5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64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3</w:t>
            </w:r>
          </w:p>
        </w:tc>
        <w:tc>
          <w:tcPr>
            <w:tcW w:type="dxa" w:w="72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w:t>
            </w:r>
          </w:p>
        </w:tc>
        <w:tc>
          <w:tcPr>
            <w:tcW w:type="dxa" w:w="76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21</w:t>
            </w:r>
          </w:p>
        </w:tc>
        <w:tc>
          <w:tcPr>
            <w:tcW w:type="dxa" w:w="103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Low</w:t>
            </w:r>
          </w:p>
        </w:tc>
      </w:tr>
    </w:tbl>
    <w:p>
      <w:pPr>
        <w:spacing w:after="120" w:line="276"/>
        <w:jc w:val="both"/>
      </w:pPr>
      <w:r>
        <w:rPr>
          <w:b/>
          <w:bCs/>
          <w:sz w:val="21"/>
          <w:szCs w:val="21"/>
        </w:rPr>
        <w:t xml:space="preserve">Where judgment differs from the number: </w:t>
      </w:r>
      <w:r>
        <w:rPr>
          <w:sz w:val="21"/>
          <w:szCs w:val="21"/>
        </w:rPr>
        <w:t xml:space="preserve">GPS interference scores "moderate" on the math, but its path to TSA is indirect — it is mainly a navigation and safety issue that the FAA and Department of Defense lead. The pipeline and rail findings score "critical" because TSA is the named regulator with direct ownership of the issue. The Envoy breach scores "moderate" despite heavy news coverage, because the disclosed harm was limited to business contact data, with no effect on screening or operational equipment.</w:t>
      </w:r>
      <w:r>
        <w:rPr>
          <w:b/>
          <w:bCs/>
          <w:color w:val="2E5496"/>
          <w:sz w:val="21"/>
          <w:szCs w:val="21"/>
          <w:vertAlign w:val="superscript"/>
        </w:rPr>
        <w:t xml:space="preserve">1</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8. Patterns Across Companies</w:t>
      </w:r>
    </w:p>
    <w:p>
      <w:pPr>
        <w:pStyle w:val="ListParagraph"/>
        <w:numPr>
          <w:ilvl w:val="0"/>
          <w:numId w:val="2"/>
        </w:numPr>
        <w:spacing w:after="80" w:line="268"/>
        <w:jc w:val="both"/>
      </w:pPr>
      <w:r>
        <w:rPr>
          <w:b/>
          <w:bCs/>
          <w:sz w:val="21"/>
          <w:szCs w:val="21"/>
        </w:rPr>
        <w:t xml:space="preserve">Repeated shared-platform cyber incidents</w:t>
      </w:r>
      <w:r>
        <w:rPr>
          <w:sz w:val="21"/>
          <w:szCs w:val="21"/>
        </w:rPr>
        <w:t xml:space="preserve"> — Oracle business software,</w:t>
      </w:r>
      <w:r>
        <w:rPr>
          <w:b/>
          <w:bCs/>
          <w:color w:val="2E5496"/>
          <w:sz w:val="21"/>
          <w:szCs w:val="21"/>
          <w:vertAlign w:val="superscript"/>
        </w:rPr>
        <w:t xml:space="preserve">1</w:t>
      </w:r>
      <w:r>
        <w:rPr>
          <w:sz w:val="21"/>
          <w:szCs w:val="21"/>
        </w:rPr>
        <w:t xml:space="preserve"> connected Salesforce platforms,</w:t>
      </w:r>
      <w:r>
        <w:rPr>
          <w:b/>
          <w:bCs/>
          <w:color w:val="2E5496"/>
          <w:sz w:val="21"/>
          <w:szCs w:val="21"/>
          <w:vertAlign w:val="superscript"/>
        </w:rPr>
        <w:t xml:space="preserve">17</w:t>
      </w:r>
      <w:r>
        <w:rPr>
          <w:sz w:val="21"/>
          <w:szCs w:val="21"/>
        </w:rPr>
        <w:t xml:space="preserve"> and the 2024 CrowdStrike/Windows outage that is still cited.</w:t>
      </w:r>
      <w:r>
        <w:rPr>
          <w:b/>
          <w:bCs/>
          <w:color w:val="2E5496"/>
          <w:sz w:val="21"/>
          <w:szCs w:val="21"/>
          <w:vertAlign w:val="superscript"/>
        </w:rPr>
        <w:t xml:space="preserve">16</w:t>
      </w:r>
      <w:r>
        <w:rPr>
          <w:sz w:val="21"/>
          <w:szCs w:val="21"/>
        </w:rPr>
        <w:t xml:space="preserve"> This is system-wide.</w:t>
      </w:r>
    </w:p>
    <w:p>
      <w:pPr>
        <w:pStyle w:val="ListParagraph"/>
        <w:numPr>
          <w:ilvl w:val="0"/>
          <w:numId w:val="2"/>
        </w:numPr>
        <w:spacing w:after="80" w:line="268"/>
        <w:jc w:val="both"/>
      </w:pPr>
      <w:r>
        <w:rPr>
          <w:b/>
          <w:bCs/>
          <w:sz w:val="21"/>
          <w:szCs w:val="21"/>
        </w:rPr>
        <w:t xml:space="preserve">Common reliance on the same cloud and identity providers</w:t>
      </w:r>
      <w:r>
        <w:rPr>
          <w:sz w:val="21"/>
          <w:szCs w:val="21"/>
        </w:rPr>
        <w:t xml:space="preserve"> — hosting concentration</w:t>
      </w:r>
      <w:r>
        <w:rPr>
          <w:b/>
          <w:bCs/>
          <w:color w:val="2E5496"/>
          <w:sz w:val="21"/>
          <w:szCs w:val="21"/>
          <w:vertAlign w:val="superscript"/>
        </w:rPr>
        <w:t xml:space="preserve">16</w:t>
      </w:r>
      <w:r>
        <w:rPr>
          <w:sz w:val="21"/>
          <w:szCs w:val="21"/>
        </w:rPr>
        <w:t xml:space="preserve"> and a private biometric identity vendor.</w:t>
      </w:r>
      <w:r>
        <w:rPr>
          <w:b/>
          <w:bCs/>
          <w:color w:val="2E5496"/>
          <w:sz w:val="21"/>
          <w:szCs w:val="21"/>
          <w:vertAlign w:val="superscript"/>
        </w:rPr>
        <w:t xml:space="preserve">6</w:t>
      </w:r>
    </w:p>
    <w:p>
      <w:pPr>
        <w:pStyle w:val="ListParagraph"/>
        <w:numPr>
          <w:ilvl w:val="0"/>
          <w:numId w:val="2"/>
        </w:numPr>
        <w:spacing w:after="80" w:line="268"/>
        <w:jc w:val="both"/>
      </w:pPr>
      <w:r>
        <w:rPr>
          <w:b/>
          <w:bCs/>
          <w:sz w:val="21"/>
          <w:szCs w:val="21"/>
        </w:rPr>
        <w:t xml:space="preserve">Overseas manufacturing and parts exposure</w:t>
      </w:r>
      <w:r>
        <w:rPr>
          <w:sz w:val="21"/>
          <w:szCs w:val="21"/>
        </w:rPr>
        <w:t xml:space="preserve"> — in screening-equipment supply chains.</w:t>
      </w:r>
      <w:r>
        <w:rPr>
          <w:b/>
          <w:bCs/>
          <w:color w:val="2E5496"/>
          <w:sz w:val="21"/>
          <w:szCs w:val="21"/>
          <w:vertAlign w:val="superscript"/>
        </w:rPr>
        <w:t xml:space="preserve">5</w:t>
      </w:r>
    </w:p>
    <w:p>
      <w:pPr>
        <w:pStyle w:val="ListParagraph"/>
        <w:numPr>
          <w:ilvl w:val="0"/>
          <w:numId w:val="2"/>
        </w:numPr>
        <w:spacing w:after="80" w:line="268"/>
        <w:jc w:val="both"/>
      </w:pPr>
      <w:r>
        <w:rPr>
          <w:b/>
          <w:bCs/>
          <w:sz w:val="21"/>
          <w:szCs w:val="21"/>
        </w:rPr>
        <w:t xml:space="preserve">Financial stress removing capacity</w:t>
      </w:r>
      <w:r>
        <w:rPr>
          <w:sz w:val="21"/>
          <w:szCs w:val="21"/>
        </w:rPr>
        <w:t xml:space="preserve"> — Spirit's exit.</w:t>
      </w:r>
      <w:r>
        <w:rPr>
          <w:b/>
          <w:bCs/>
          <w:color w:val="2E5496"/>
          <w:sz w:val="21"/>
          <w:szCs w:val="21"/>
          <w:vertAlign w:val="superscript"/>
        </w:rPr>
        <w:t xml:space="preserve">4</w:t>
      </w:r>
    </w:p>
    <w:p>
      <w:pPr>
        <w:pStyle w:val="ListParagraph"/>
        <w:numPr>
          <w:ilvl w:val="0"/>
          <w:numId w:val="2"/>
        </w:numPr>
        <w:spacing w:after="80" w:line="268"/>
        <w:jc w:val="both"/>
      </w:pPr>
      <w:r>
        <w:rPr>
          <w:b/>
          <w:bCs/>
          <w:sz w:val="21"/>
          <w:szCs w:val="21"/>
        </w:rPr>
        <w:t xml:space="preserve">Consolidation creating single points of failure</w:t>
      </w:r>
      <w:r>
        <w:rPr>
          <w:sz w:val="21"/>
          <w:szCs w:val="21"/>
        </w:rPr>
        <w:t xml:space="preserve"> — the railroad merger.</w:t>
      </w:r>
      <w:r>
        <w:rPr>
          <w:b/>
          <w:bCs/>
          <w:color w:val="2E5496"/>
          <w:sz w:val="21"/>
          <w:szCs w:val="21"/>
          <w:vertAlign w:val="superscript"/>
        </w:rPr>
        <w:t xml:space="preserve">2</w:t>
      </w:r>
      <w:r>
        <w:rPr>
          <w:b/>
          <w:bCs/>
          <w:color w:val="2E5496"/>
          <w:sz w:val="21"/>
          <w:szCs w:val="21"/>
          <w:vertAlign w:val="superscript"/>
        </w:rPr>
        <w:t xml:space="preserve">3</w:t>
      </w:r>
    </w:p>
    <w:p>
      <w:pPr>
        <w:pStyle w:val="ListParagraph"/>
        <w:numPr>
          <w:ilvl w:val="0"/>
          <w:numId w:val="2"/>
        </w:numPr>
        <w:spacing w:after="80" w:line="268"/>
        <w:jc w:val="both"/>
      </w:pPr>
      <w:r>
        <w:rPr>
          <w:b/>
          <w:bCs/>
          <w:sz w:val="21"/>
          <w:szCs w:val="21"/>
        </w:rPr>
        <w:t xml:space="preserve">Rising drone and GPS-interference threats</w:t>
      </w:r>
      <w:r>
        <w:rPr>
          <w:sz w:val="21"/>
          <w:szCs w:val="21"/>
        </w:rPr>
        <w:t xml:space="preserve"> — with legal limits on how anyone can respond.</w:t>
      </w:r>
      <w:r>
        <w:rPr>
          <w:b/>
          <w:bCs/>
          <w:color w:val="2E5496"/>
          <w:sz w:val="21"/>
          <w:szCs w:val="21"/>
          <w:vertAlign w:val="superscript"/>
        </w:rPr>
        <w:t xml:space="preserve">7</w:t>
      </w:r>
      <w:r>
        <w:rPr>
          <w:b/>
          <w:bCs/>
          <w:color w:val="2E5496"/>
          <w:sz w:val="21"/>
          <w:szCs w:val="21"/>
          <w:vertAlign w:val="superscript"/>
        </w:rPr>
        <w:t xml:space="preserve">8</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9. Technology Worth Watching</w:t>
      </w:r>
    </w:p>
    <w:p>
      <w:pPr>
        <w:pStyle w:val="ListParagraph"/>
        <w:numPr>
          <w:ilvl w:val="0"/>
          <w:numId w:val="2"/>
        </w:numPr>
        <w:spacing w:after="80" w:line="268"/>
        <w:jc w:val="both"/>
      </w:pPr>
      <w:r>
        <w:rPr>
          <w:b/>
          <w:bCs/>
          <w:sz w:val="21"/>
          <w:szCs w:val="21"/>
        </w:rPr>
        <w:t xml:space="preserve">Already in wide use: </w:t>
      </w:r>
      <w:r>
        <w:rPr>
          <w:sz w:val="21"/>
          <w:szCs w:val="21"/>
        </w:rPr>
        <w:t xml:space="preserve">CT checkpoint scanners, trace-detection machines, and body scanners (OSI / Rapiscan;</w:t>
      </w:r>
      <w:r>
        <w:rPr>
          <w:b/>
          <w:bCs/>
          <w:color w:val="2E5496"/>
          <w:sz w:val="21"/>
          <w:szCs w:val="21"/>
          <w:vertAlign w:val="superscript"/>
        </w:rPr>
        <w:t xml:space="preserve">5</w:t>
      </w:r>
      <w:r>
        <w:rPr>
          <w:sz w:val="21"/>
          <w:szCs w:val="21"/>
        </w:rPr>
        <w:t xml:space="preserve"> Leidos</w:t>
      </w:r>
      <w:r>
        <w:rPr>
          <w:b/>
          <w:bCs/>
          <w:color w:val="2E5496"/>
          <w:sz w:val="21"/>
          <w:szCs w:val="21"/>
          <w:vertAlign w:val="superscript"/>
        </w:rPr>
        <w:t xml:space="preserve">13</w:t>
      </w:r>
      <w:r>
        <w:rPr>
          <w:sz w:val="21"/>
          <w:szCs w:val="21"/>
        </w:rPr>
        <w:t xml:space="preserve">).</w:t>
      </w:r>
    </w:p>
    <w:p>
      <w:pPr>
        <w:pStyle w:val="ListParagraph"/>
        <w:numPr>
          <w:ilvl w:val="0"/>
          <w:numId w:val="2"/>
        </w:numPr>
        <w:spacing w:after="80" w:line="268"/>
        <w:jc w:val="both"/>
      </w:pPr>
      <w:r>
        <w:rPr>
          <w:b/>
          <w:bCs/>
          <w:sz w:val="21"/>
          <w:szCs w:val="21"/>
        </w:rPr>
        <w:t xml:space="preserve">Being shown or scaling up: </w:t>
      </w:r>
      <w:r>
        <w:rPr>
          <w:sz w:val="21"/>
          <w:szCs w:val="21"/>
        </w:rPr>
        <w:t xml:space="preserve">biometric self-service gates (CLEAR, per its own disclosure);</w:t>
      </w:r>
      <w:r>
        <w:rPr>
          <w:b/>
          <w:bCs/>
          <w:color w:val="2E5496"/>
          <w:sz w:val="21"/>
          <w:szCs w:val="21"/>
          <w:vertAlign w:val="superscript"/>
        </w:rPr>
        <w:t xml:space="preserve">6</w:t>
      </w:r>
      <w:r>
        <w:rPr>
          <w:sz w:val="21"/>
          <w:szCs w:val="21"/>
        </w:rPr>
        <w:t xml:space="preserve"> counter-drone detection (vendor claims, not independently confirmed).</w:t>
      </w:r>
      <w:r>
        <w:rPr>
          <w:b/>
          <w:bCs/>
          <w:color w:val="2E5496"/>
          <w:sz w:val="21"/>
          <w:szCs w:val="21"/>
          <w:vertAlign w:val="superscript"/>
        </w:rPr>
        <w:t xml:space="preserve">8</w:t>
      </w:r>
    </w:p>
    <w:p>
      <w:pPr>
        <w:pStyle w:val="ListParagraph"/>
        <w:numPr>
          <w:ilvl w:val="0"/>
          <w:numId w:val="2"/>
        </w:numPr>
        <w:spacing w:after="80" w:line="268"/>
        <w:jc w:val="both"/>
      </w:pPr>
      <w:r>
        <w:rPr>
          <w:b/>
          <w:bCs/>
          <w:sz w:val="21"/>
          <w:szCs w:val="21"/>
        </w:rPr>
        <w:t xml:space="preserve">Early-stage, unproven vendor claims: </w:t>
      </w:r>
      <w:r>
        <w:rPr>
          <w:sz w:val="21"/>
          <w:szCs w:val="21"/>
        </w:rPr>
        <w:t xml:space="preserve">artificial-intelligence tools for screening and risk assessment (vendor descriptions only).</w:t>
      </w:r>
    </w:p>
    <w:p>
      <w:pPr>
        <w:spacing w:after="120" w:line="276"/>
        <w:jc w:val="both"/>
      </w:pPr>
      <w:r>
        <w:rPr>
          <w:i/>
          <w:iCs/>
          <w:sz w:val="21"/>
          <w:szCs w:val="21"/>
        </w:rPr>
        <w:t xml:space="preserve">Vendor performance claims are attributed to the vendor and are not treated as proven.</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10. What This Means for TSA Programs</w:t>
      </w:r>
    </w:p>
    <w:p>
      <w:pPr>
        <w:spacing w:after="120" w:line="276"/>
        <w:jc w:val="both"/>
      </w:pPr>
      <w:r>
        <w:rPr>
          <w:b/>
          <w:bCs/>
          <w:sz w:val="21"/>
          <w:szCs w:val="21"/>
        </w:rPr>
        <w:t xml:space="preserve">Screening (checkpoints, checked bags, air cargo): </w:t>
      </w:r>
      <w:r>
        <w:rPr>
          <w:sz w:val="21"/>
          <w:szCs w:val="21"/>
        </w:rPr>
        <w:t xml:space="preserve">vendor concentration and overseas supply chains create a risk to keeping equipment supplied and supported.</w:t>
      </w:r>
      <w:r>
        <w:rPr>
          <w:b/>
          <w:bCs/>
          <w:color w:val="2E5496"/>
          <w:sz w:val="21"/>
          <w:szCs w:val="21"/>
          <w:vertAlign w:val="superscript"/>
        </w:rPr>
        <w:t xml:space="preserve">5</w:t>
      </w:r>
      <w:r>
        <w:rPr>
          <w:b/>
          <w:bCs/>
          <w:color w:val="2E5496"/>
          <w:sz w:val="21"/>
          <w:szCs w:val="21"/>
          <w:vertAlign w:val="superscript"/>
        </w:rPr>
        <w:t xml:space="preserve">13</w:t>
      </w:r>
    </w:p>
    <w:p>
      <w:pPr>
        <w:spacing w:after="120" w:line="276"/>
        <w:jc w:val="both"/>
      </w:pPr>
      <w:r>
        <w:rPr>
          <w:b/>
          <w:bCs/>
          <w:sz w:val="21"/>
          <w:szCs w:val="21"/>
        </w:rPr>
        <w:t xml:space="preserve">Surface and pipeline security: </w:t>
      </w:r>
      <w:r>
        <w:rPr>
          <w:sz w:val="21"/>
          <w:szCs w:val="21"/>
        </w:rPr>
        <w:t xml:space="preserve">compliance is maturing but heavy, and the railroad merger concentrates responsibility.</w:t>
      </w:r>
      <w:r>
        <w:rPr>
          <w:b/>
          <w:bCs/>
          <w:color w:val="2E5496"/>
          <w:sz w:val="21"/>
          <w:szCs w:val="21"/>
          <w:vertAlign w:val="superscript"/>
        </w:rPr>
        <w:t xml:space="preserve">11</w:t>
      </w:r>
      <w:r>
        <w:rPr>
          <w:b/>
          <w:bCs/>
          <w:color w:val="2E5496"/>
          <w:sz w:val="21"/>
          <w:szCs w:val="21"/>
          <w:vertAlign w:val="superscript"/>
        </w:rPr>
        <w:t xml:space="preserve">2</w:t>
      </w:r>
      <w:r>
        <w:rPr>
          <w:b/>
          <w:bCs/>
          <w:color w:val="2E5496"/>
          <w:sz w:val="21"/>
          <w:szCs w:val="21"/>
          <w:vertAlign w:val="superscript"/>
        </w:rPr>
        <w:t xml:space="preserve">3</w:t>
      </w:r>
    </w:p>
    <w:p>
      <w:pPr>
        <w:spacing w:after="120" w:line="276"/>
        <w:jc w:val="both"/>
      </w:pPr>
      <w:r>
        <w:rPr>
          <w:b/>
          <w:bCs/>
          <w:sz w:val="21"/>
          <w:szCs w:val="21"/>
        </w:rPr>
        <w:t xml:space="preserve">Credentialing and PreCheck: </w:t>
      </w:r>
      <w:r>
        <w:rPr>
          <w:sz w:val="21"/>
          <w:szCs w:val="21"/>
        </w:rPr>
        <w:t xml:space="preserve">reliance on CLEAR is growing, and the security of its enrollment channel is not fully described in filings.</w:t>
      </w:r>
      <w:r>
        <w:rPr>
          <w:b/>
          <w:bCs/>
          <w:color w:val="2E5496"/>
          <w:sz w:val="21"/>
          <w:szCs w:val="21"/>
          <w:vertAlign w:val="superscript"/>
        </w:rPr>
        <w:t xml:space="preserve">6</w:t>
      </w:r>
    </w:p>
    <w:p>
      <w:pPr>
        <w:spacing w:after="120" w:line="276"/>
        <w:jc w:val="both"/>
      </w:pPr>
      <w:r>
        <w:rPr>
          <w:b/>
          <w:bCs/>
          <w:sz w:val="21"/>
          <w:szCs w:val="21"/>
        </w:rPr>
        <w:t xml:space="preserve">Technology and continuity (the Transportation Security Operations Center): </w:t>
      </w:r>
      <w:r>
        <w:rPr>
          <w:sz w:val="21"/>
          <w:szCs w:val="21"/>
        </w:rPr>
        <w:t xml:space="preserve">shared-platform fragility raises the risk of chain-reaction outages.</w:t>
      </w:r>
      <w:r>
        <w:rPr>
          <w:b/>
          <w:bCs/>
          <w:color w:val="2E5496"/>
          <w:sz w:val="21"/>
          <w:szCs w:val="21"/>
          <w:vertAlign w:val="superscript"/>
        </w:rPr>
        <w:t xml:space="preserve">1</w:t>
      </w:r>
      <w:r>
        <w:rPr>
          <w:b/>
          <w:bCs/>
          <w:color w:val="2E5496"/>
          <w:sz w:val="21"/>
          <w:szCs w:val="21"/>
          <w:vertAlign w:val="superscript"/>
        </w:rPr>
        <w:t xml:space="preserve">16</w:t>
      </w:r>
    </w:p>
    <w:p>
      <w:pPr>
        <w:spacing w:after="120" w:line="276"/>
        <w:jc w:val="both"/>
      </w:pPr>
      <w:r>
        <w:rPr>
          <w:b/>
          <w:bCs/>
          <w:sz w:val="21"/>
          <w:szCs w:val="21"/>
        </w:rPr>
        <w:t xml:space="preserve">Intelligence: </w:t>
      </w:r>
      <w:r>
        <w:rPr>
          <w:sz w:val="21"/>
          <w:szCs w:val="21"/>
        </w:rPr>
        <w:t xml:space="preserve">GPS-interference and drone threats need monitoring and coordination across agencies.</w:t>
      </w:r>
      <w:r>
        <w:rPr>
          <w:b/>
          <w:bCs/>
          <w:color w:val="2E5496"/>
          <w:sz w:val="21"/>
          <w:szCs w:val="21"/>
          <w:vertAlign w:val="superscript"/>
        </w:rPr>
        <w:t xml:space="preserve">7</w:t>
      </w:r>
      <w:r>
        <w:rPr>
          <w:b/>
          <w:bCs/>
          <w:color w:val="2E5496"/>
          <w:sz w:val="21"/>
          <w:szCs w:val="21"/>
          <w:vertAlign w:val="superscript"/>
        </w:rPr>
        <w:t xml:space="preserve">8</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11. Recommended Actions for TSA</w:t>
      </w:r>
    </w:p>
    <w:p>
      <w:pPr>
        <w:spacing w:after="120" w:line="276"/>
        <w:jc w:val="both"/>
      </w:pPr>
      <w:r>
        <w:rPr>
          <w:i/>
          <w:iCs/>
          <w:sz w:val="21"/>
          <w:szCs w:val="21"/>
        </w:rPr>
        <w:t xml:space="preserve">These are recommendations and analysis, not sourced facts. Naming a specific TSA office as owner requires internal confirmation.</w:t>
      </w:r>
    </w:p>
    <w:p>
      <w:pPr>
        <w:pStyle w:val="Heading3"/>
        <w:spacing w:after="80" w:before="160"/>
      </w:pPr>
      <w:r>
        <w:rPr>
          <w:b/>
          <w:bCs/>
          <w:color w:val="2E5496"/>
          <w:sz w:val="22"/>
          <w:szCs w:val="22"/>
        </w:rPr>
        <w:t xml:space="preserve">Right away (0–30 days)</w:t>
      </w:r>
    </w:p>
    <w:p>
      <w:pPr>
        <w:spacing w:after="120" w:line="276"/>
        <w:jc w:val="both"/>
      </w:pPr>
      <w:r>
        <w:rPr>
          <w:sz w:val="21"/>
          <w:szCs w:val="21"/>
        </w:rPr>
        <w:t xml:space="preserve">Build a map of shared computer-vendor exposure across aviation — including Oracle business software, Salesforce, CrowdStrike/Windows, and cloud hosting — tied to KJ-1.</w:t>
      </w:r>
      <w:r>
        <w:rPr>
          <w:b/>
          <w:bCs/>
          <w:color w:val="2E5496"/>
          <w:sz w:val="21"/>
          <w:szCs w:val="21"/>
          <w:vertAlign w:val="superscript"/>
        </w:rPr>
        <w:t xml:space="preserve">1</w:t>
      </w:r>
      <w:r>
        <w:rPr>
          <w:b/>
          <w:bCs/>
          <w:color w:val="2E5496"/>
          <w:sz w:val="21"/>
          <w:szCs w:val="21"/>
          <w:vertAlign w:val="superscript"/>
        </w:rPr>
        <w:t xml:space="preserve">16</w:t>
      </w:r>
      <w:r>
        <w:rPr>
          <w:sz w:val="21"/>
          <w:szCs w:val="21"/>
        </w:rPr>
        <w:t xml:space="preserve"> Likely lead: TSA cybersecurity and intelligence staff (confirm internally). Partner: the Cybersecurity and Infrastructure Security Agency (CISA). Success measure: a completed, maintained map. Cost of doing nothing: no early warning before the next chain reaction.</w:t>
      </w:r>
    </w:p>
    <w:p>
      <w:pPr>
        <w:pStyle w:val="Heading3"/>
        <w:spacing w:after="80" w:before="160"/>
      </w:pPr>
      <w:r>
        <w:rPr>
          <w:b/>
          <w:bCs/>
          <w:color w:val="2E5496"/>
          <w:sz w:val="22"/>
          <w:szCs w:val="22"/>
        </w:rPr>
        <w:t xml:space="preserve">Soon (31–180 days)</w:t>
      </w:r>
    </w:p>
    <w:p>
      <w:pPr>
        <w:spacing w:after="120" w:line="276"/>
        <w:jc w:val="both"/>
      </w:pPr>
      <w:r>
        <w:rPr>
          <w:sz w:val="21"/>
          <w:szCs w:val="21"/>
        </w:rPr>
        <w:t xml:space="preserve">First, review the equipment supply chains of Leidos and OSI / Rapiscan for single-supplier and overseas dependencies (KJ-4).</w:t>
      </w:r>
      <w:r>
        <w:rPr>
          <w:b/>
          <w:bCs/>
          <w:color w:val="2E5496"/>
          <w:sz w:val="21"/>
          <w:szCs w:val="21"/>
          <w:vertAlign w:val="superscript"/>
        </w:rPr>
        <w:t xml:space="preserve">5</w:t>
      </w:r>
      <w:r>
        <w:rPr>
          <w:b/>
          <w:bCs/>
          <w:color w:val="2E5496"/>
          <w:sz w:val="21"/>
          <w:szCs w:val="21"/>
          <w:vertAlign w:val="superscript"/>
        </w:rPr>
        <w:t xml:space="preserve">13</w:t>
      </w:r>
      <w:r>
        <w:rPr>
          <w:sz w:val="21"/>
          <w:szCs w:val="21"/>
        </w:rPr>
        <w:t xml:space="preserve"> Lead: TSA acquisition management. Success measure: a backup-supplier and spare-parts plan. Second, engage the railroad merger through the regulatory comment process on cybersecurity and physical-security integration (KJ-2).</w:t>
      </w:r>
      <w:r>
        <w:rPr>
          <w:b/>
          <w:bCs/>
          <w:color w:val="2E5496"/>
          <w:sz w:val="21"/>
          <w:szCs w:val="21"/>
          <w:vertAlign w:val="superscript"/>
        </w:rPr>
        <w:t xml:space="preserve">2</w:t>
      </w:r>
      <w:r>
        <w:rPr>
          <w:b/>
          <w:bCs/>
          <w:color w:val="2E5496"/>
          <w:sz w:val="21"/>
          <w:szCs w:val="21"/>
          <w:vertAlign w:val="superscript"/>
        </w:rPr>
        <w:t xml:space="preserve">3</w:t>
      </w:r>
      <w:r>
        <w:rPr>
          <w:sz w:val="21"/>
          <w:szCs w:val="21"/>
        </w:rPr>
        <w:t xml:space="preserve"> Partners: Department of Transportation, Federal Railroad Administration, and the Surface Transportation Board.</w:t>
      </w:r>
    </w:p>
    <w:p>
      <w:pPr>
        <w:pStyle w:val="Heading3"/>
        <w:spacing w:after="80" w:before="160"/>
      </w:pPr>
      <w:r>
        <w:rPr>
          <w:b/>
          <w:bCs/>
          <w:color w:val="2E5496"/>
          <w:sz w:val="22"/>
          <w:szCs w:val="22"/>
        </w:rPr>
        <w:t xml:space="preserve">Medium term (6–24 months)</w:t>
      </w:r>
    </w:p>
    <w:p>
      <w:pPr>
        <w:spacing w:after="120" w:line="276"/>
        <w:jc w:val="both"/>
      </w:pPr>
      <w:r>
        <w:rPr>
          <w:sz w:val="21"/>
          <w:szCs w:val="21"/>
        </w:rPr>
        <w:t xml:space="preserve">Set clear security standards for the PreCheck enrollment channel used by CLEAR and its competitors (KJ-6).</w:t>
      </w:r>
      <w:r>
        <w:rPr>
          <w:b/>
          <w:bCs/>
          <w:color w:val="2E5496"/>
          <w:sz w:val="21"/>
          <w:szCs w:val="21"/>
          <w:vertAlign w:val="superscript"/>
        </w:rPr>
        <w:t xml:space="preserve">6</w:t>
      </w:r>
      <w:r>
        <w:rPr>
          <w:sz w:val="21"/>
          <w:szCs w:val="21"/>
        </w:rPr>
        <w:t xml:space="preserve"> Support finishing the pending pipeline-and-rail cybersecurity rule (KJ-8).</w:t>
      </w:r>
      <w:r>
        <w:rPr>
          <w:b/>
          <w:bCs/>
          <w:color w:val="2E5496"/>
          <w:sz w:val="21"/>
          <w:szCs w:val="21"/>
          <w:vertAlign w:val="superscript"/>
        </w:rPr>
        <w:t xml:space="preserve">11</w:t>
      </w:r>
    </w:p>
    <w:p>
      <w:pPr>
        <w:pStyle w:val="Heading3"/>
        <w:spacing w:after="80" w:before="160"/>
      </w:pPr>
      <w:r>
        <w:rPr>
          <w:b/>
          <w:bCs/>
          <w:color w:val="2E5496"/>
          <w:sz w:val="22"/>
          <w:szCs w:val="22"/>
        </w:rPr>
        <w:t xml:space="preserve">Long term (24+ months)</w:t>
      </w:r>
    </w:p>
    <w:p>
      <w:pPr>
        <w:spacing w:after="120" w:line="276"/>
        <w:jc w:val="both"/>
      </w:pPr>
      <w:r>
        <w:rPr>
          <w:sz w:val="21"/>
          <w:szCs w:val="21"/>
        </w:rPr>
        <w:t xml:space="preserve">Build GPS-resilience coordination with the FAA and Department of Defense (KJ-5).</w:t>
      </w:r>
      <w:r>
        <w:rPr>
          <w:b/>
          <w:bCs/>
          <w:color w:val="2E5496"/>
          <w:sz w:val="21"/>
          <w:szCs w:val="21"/>
          <w:vertAlign w:val="superscript"/>
        </w:rPr>
        <w:t xml:space="preserve">7</w:t>
      </w:r>
      <w:r>
        <w:rPr>
          <w:sz w:val="21"/>
          <w:szCs w:val="21"/>
        </w:rPr>
        <w:t xml:space="preserve"> Pursue proven counter-drone capability and the legal authority to use it, once capability is independently confirmed and the law is updated (KJ-7).</w:t>
      </w:r>
      <w:r>
        <w:rPr>
          <w:b/>
          <w:bCs/>
          <w:color w:val="2E5496"/>
          <w:sz w:val="21"/>
          <w:szCs w:val="21"/>
          <w:vertAlign w:val="superscript"/>
        </w:rPr>
        <w:t xml:space="preserve">8</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12. What to Watch</w:t>
      </w:r>
    </w:p>
    <w:tbl>
      <w:tblPr>
        <w:tblW w:type="dxa" w:w="9100"/>
        <w:tblBorders>
          <w:top w:val="single" w:color="8FAADC" w:sz="4"/>
          <w:left w:val="single" w:color="8FAADC" w:sz="4"/>
          <w:bottom w:val="single" w:color="8FAADC" w:sz="4"/>
          <w:right w:val="single" w:color="8FAADC" w:sz="4"/>
          <w:insideH w:val="single" w:color="8FAADC" w:sz="2"/>
          <w:insideV w:val="single" w:color="8FAADC" w:sz="2"/>
        </w:tblBorders>
      </w:tblPr>
      <w:tblGrid>
        <w:gridCol w:w="1900"/>
        <w:gridCol w:w="2100"/>
        <w:gridCol w:w="1900"/>
        <w:gridCol w:w="1150"/>
        <w:gridCol w:w="2050"/>
      </w:tblGrid>
      <w:tr>
        <w:trPr>
          <w:tblHeader/>
        </w:trPr>
        <w:tc>
          <w:tcPr>
            <w:tcW w:type="dxa" w:w="1900"/>
            <w:shd w:fill="1F3864" w:color="auto" w:val="clear"/>
            <w:tcMar>
              <w:top w:type="dxa" w:w="40"/>
              <w:left w:type="dxa" w:w="70"/>
              <w:bottom w:type="dxa" w:w="40"/>
              <w:right w:type="dxa" w:w="70"/>
            </w:tcMar>
          </w:tcPr>
          <w:p>
            <w:pPr>
              <w:spacing w:after="0" w:line="240"/>
              <w:jc w:val="center"/>
            </w:pPr>
            <w:r>
              <w:rPr>
                <w:b/>
                <w:bCs/>
                <w:color w:val="FFFFFF"/>
                <w:sz w:val="18"/>
                <w:szCs w:val="18"/>
              </w:rPr>
              <w:t xml:space="preserve">Warning sign</w:t>
            </w:r>
          </w:p>
        </w:tc>
        <w:tc>
          <w:tcPr>
            <w:tcW w:type="dxa" w:w="2100"/>
            <w:shd w:fill="1F3864" w:color="auto" w:val="clear"/>
            <w:tcMar>
              <w:top w:type="dxa" w:w="40"/>
              <w:left w:type="dxa" w:w="70"/>
              <w:bottom w:type="dxa" w:w="40"/>
              <w:right w:type="dxa" w:w="70"/>
            </w:tcMar>
          </w:tcPr>
          <w:p>
            <w:pPr>
              <w:spacing w:after="0" w:line="240"/>
              <w:jc w:val="center"/>
            </w:pPr>
            <w:r>
              <w:rPr>
                <w:b/>
                <w:bCs/>
                <w:color w:val="FFFFFF"/>
                <w:sz w:val="18"/>
                <w:szCs w:val="18"/>
              </w:rPr>
              <w:t xml:space="preserve">Why it matters</w:t>
            </w:r>
          </w:p>
        </w:tc>
        <w:tc>
          <w:tcPr>
            <w:tcW w:type="dxa" w:w="1900"/>
            <w:shd w:fill="1F3864" w:color="auto" w:val="clear"/>
            <w:tcMar>
              <w:top w:type="dxa" w:w="40"/>
              <w:left w:type="dxa" w:w="70"/>
              <w:bottom w:type="dxa" w:w="40"/>
              <w:right w:type="dxa" w:w="70"/>
            </w:tcMar>
          </w:tcPr>
          <w:p>
            <w:pPr>
              <w:spacing w:after="0" w:line="240"/>
              <w:jc w:val="center"/>
            </w:pPr>
            <w:r>
              <w:rPr>
                <w:b/>
                <w:bCs/>
                <w:color w:val="FFFFFF"/>
                <w:sz w:val="18"/>
                <w:szCs w:val="18"/>
              </w:rPr>
              <w:t xml:space="preserve">Where to look</w:t>
            </w:r>
          </w:p>
        </w:tc>
        <w:tc>
          <w:tcPr>
            <w:tcW w:type="dxa" w:w="1150"/>
            <w:shd w:fill="1F3864" w:color="auto" w:val="clear"/>
            <w:tcMar>
              <w:top w:type="dxa" w:w="40"/>
              <w:left w:type="dxa" w:w="70"/>
              <w:bottom w:type="dxa" w:w="40"/>
              <w:right w:type="dxa" w:w="70"/>
            </w:tcMar>
          </w:tcPr>
          <w:p>
            <w:pPr>
              <w:spacing w:after="0" w:line="240"/>
              <w:jc w:val="center"/>
            </w:pPr>
            <w:r>
              <w:rPr>
                <w:b/>
                <w:bCs/>
                <w:color w:val="FFFFFF"/>
                <w:sz w:val="18"/>
                <w:szCs w:val="18"/>
              </w:rPr>
              <w:t xml:space="preserve">How often</w:t>
            </w:r>
          </w:p>
        </w:tc>
        <w:tc>
          <w:tcPr>
            <w:tcW w:type="dxa" w:w="2050"/>
            <w:shd w:fill="1F3864" w:color="auto" w:val="clear"/>
            <w:tcMar>
              <w:top w:type="dxa" w:w="40"/>
              <w:left w:type="dxa" w:w="70"/>
              <w:bottom w:type="dxa" w:w="40"/>
              <w:right w:type="dxa" w:w="70"/>
            </w:tcMar>
          </w:tcPr>
          <w:p>
            <w:pPr>
              <w:spacing w:after="0" w:line="240"/>
              <w:jc w:val="center"/>
            </w:pPr>
            <w:r>
              <w:rPr>
                <w:b/>
                <w:bCs/>
                <w:color w:val="FFFFFF"/>
                <w:sz w:val="18"/>
                <w:szCs w:val="18"/>
              </w:rPr>
              <w:t xml:space="preserve">When to escalate</w:t>
            </w:r>
          </w:p>
        </w:tc>
      </w:tr>
      <w:tr>
        <w:tc>
          <w:tcPr>
            <w:tcW w:type="dxa" w:w="1900"/>
            <w:shd w:fill="FFFFFF" w:color="auto" w:val="clear"/>
            <w:tcMar>
              <w:top w:type="dxa" w:w="40"/>
              <w:left w:type="dxa" w:w="70"/>
              <w:bottom w:type="dxa" w:w="40"/>
              <w:right w:type="dxa" w:w="70"/>
            </w:tcMar>
          </w:tcPr>
          <w:p>
            <w:pPr>
              <w:spacing w:after="0" w:line="240"/>
              <w:jc w:val="left"/>
            </w:pPr>
            <w:r>
              <w:rPr>
                <w:b/>
                <w:bCs/>
                <w:color w:val="000000"/>
                <w:sz w:val="18"/>
                <w:szCs w:val="18"/>
              </w:rPr>
              <w:t xml:space="preserve">New material-incident report by a transport or vendor company</w:t>
            </w:r>
          </w:p>
        </w:tc>
        <w:tc>
          <w:tcPr>
            <w:tcW w:type="dxa" w:w="21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Signals a serious cyber incident</w:t>
            </w:r>
          </w:p>
        </w:tc>
        <w:tc>
          <w:tcPr>
            <w:tcW w:type="dxa" w:w="19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SEC EDGAR</w:t>
            </w:r>
          </w:p>
        </w:tc>
        <w:tc>
          <w:tcPr>
            <w:tcW w:type="dxa" w:w="11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Weekly</w:t>
            </w:r>
          </w:p>
        </w:tc>
        <w:tc>
          <w:tcPr>
            <w:tcW w:type="dxa" w:w="20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Any effect on screening or operational equipment</w:t>
            </w:r>
          </w:p>
        </w:tc>
      </w:tr>
      <w:tr>
        <w:tc>
          <w:tcPr>
            <w:tcW w:type="dxa" w:w="1900"/>
            <w:shd w:fill="D9E2F3" w:color="auto" w:val="clear"/>
            <w:tcMar>
              <w:top w:type="dxa" w:w="40"/>
              <w:left w:type="dxa" w:w="70"/>
              <w:bottom w:type="dxa" w:w="40"/>
              <w:right w:type="dxa" w:w="70"/>
            </w:tcMar>
          </w:tcPr>
          <w:p>
            <w:pPr>
              <w:spacing w:after="0" w:line="240"/>
              <w:jc w:val="left"/>
            </w:pPr>
            <w:r>
              <w:rPr>
                <w:b/>
                <w:bCs/>
                <w:color w:val="000000"/>
                <w:sz w:val="18"/>
                <w:szCs w:val="18"/>
              </w:rPr>
              <w:t xml:space="preserve">Widely used software flaw (Oracle, Salesforce, and similar)</w:t>
            </w:r>
          </w:p>
        </w:tc>
        <w:tc>
          <w:tcPr>
            <w:tcW w:type="dxa" w:w="21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Warns of a possible chain reaction</w:t>
            </w:r>
          </w:p>
        </w:tc>
        <w:tc>
          <w:tcPr>
            <w:tcW w:type="dxa" w:w="19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CISA known-exploited-vulnerabilities list</w:t>
            </w:r>
          </w:p>
        </w:tc>
        <w:tc>
          <w:tcPr>
            <w:tcW w:type="dxa" w:w="11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Continuous</w:t>
            </w:r>
          </w:p>
        </w:tc>
        <w:tc>
          <w:tcPr>
            <w:tcW w:type="dxa" w:w="20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Active exploitation plus a transport victim</w:t>
            </w:r>
          </w:p>
        </w:tc>
      </w:tr>
      <w:tr>
        <w:tc>
          <w:tcPr>
            <w:tcW w:type="dxa" w:w="1900"/>
            <w:shd w:fill="FFFFFF" w:color="auto" w:val="clear"/>
            <w:tcMar>
              <w:top w:type="dxa" w:w="40"/>
              <w:left w:type="dxa" w:w="70"/>
              <w:bottom w:type="dxa" w:w="40"/>
              <w:right w:type="dxa" w:w="70"/>
            </w:tcMar>
          </w:tcPr>
          <w:p>
            <w:pPr>
              <w:spacing w:after="0" w:line="240"/>
              <w:jc w:val="left"/>
            </w:pPr>
            <w:r>
              <w:rPr>
                <w:b/>
                <w:bCs/>
                <w:color w:val="000000"/>
                <w:sz w:val="18"/>
                <w:szCs w:val="18"/>
              </w:rPr>
              <w:t xml:space="preserve">Railroad merger milestones</w:t>
            </w:r>
          </w:p>
        </w:tc>
        <w:tc>
          <w:tcPr>
            <w:tcW w:type="dxa" w:w="21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Tracks consolidation risk</w:t>
            </w:r>
          </w:p>
        </w:tc>
        <w:tc>
          <w:tcPr>
            <w:tcW w:type="dxa" w:w="19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Surface Transportation Board docket</w:t>
            </w:r>
          </w:p>
        </w:tc>
        <w:tc>
          <w:tcPr>
            <w:tcW w:type="dxa" w:w="11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Monthly</w:t>
            </w:r>
          </w:p>
        </w:tc>
        <w:tc>
          <w:tcPr>
            <w:tcW w:type="dxa" w:w="20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Approval or closing</w:t>
            </w:r>
          </w:p>
        </w:tc>
      </w:tr>
      <w:tr>
        <w:tc>
          <w:tcPr>
            <w:tcW w:type="dxa" w:w="1900"/>
            <w:shd w:fill="D9E2F3" w:color="auto" w:val="clear"/>
            <w:tcMar>
              <w:top w:type="dxa" w:w="40"/>
              <w:left w:type="dxa" w:w="70"/>
              <w:bottom w:type="dxa" w:w="40"/>
              <w:right w:type="dxa" w:w="70"/>
            </w:tcMar>
          </w:tcPr>
          <w:p>
            <w:pPr>
              <w:spacing w:after="0" w:line="240"/>
              <w:jc w:val="left"/>
            </w:pPr>
            <w:r>
              <w:rPr>
                <w:b/>
                <w:bCs/>
                <w:color w:val="000000"/>
                <w:sz w:val="18"/>
                <w:szCs w:val="18"/>
              </w:rPr>
              <w:t xml:space="preserve">Airline bankruptcy or going-concern filings</w:t>
            </w:r>
          </w:p>
        </w:tc>
        <w:tc>
          <w:tcPr>
            <w:tcW w:type="dxa" w:w="21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Signals lost capacity</w:t>
            </w:r>
          </w:p>
        </w:tc>
        <w:tc>
          <w:tcPr>
            <w:tcW w:type="dxa" w:w="19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SEC EDGAR; courts</w:t>
            </w:r>
          </w:p>
        </w:tc>
        <w:tc>
          <w:tcPr>
            <w:tcW w:type="dxa" w:w="11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Monthly</w:t>
            </w:r>
          </w:p>
        </w:tc>
        <w:tc>
          <w:tcPr>
            <w:tcW w:type="dxa" w:w="20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 major carrier</w:t>
            </w:r>
          </w:p>
        </w:tc>
      </w:tr>
      <w:tr>
        <w:tc>
          <w:tcPr>
            <w:tcW w:type="dxa" w:w="1900"/>
            <w:shd w:fill="FFFFFF" w:color="auto" w:val="clear"/>
            <w:tcMar>
              <w:top w:type="dxa" w:w="40"/>
              <w:left w:type="dxa" w:w="70"/>
              <w:bottom w:type="dxa" w:w="40"/>
              <w:right w:type="dxa" w:w="70"/>
            </w:tcMar>
          </w:tcPr>
          <w:p>
            <w:pPr>
              <w:spacing w:after="0" w:line="240"/>
              <w:jc w:val="left"/>
            </w:pPr>
            <w:r>
              <w:rPr>
                <w:b/>
                <w:bCs/>
                <w:color w:val="000000"/>
                <w:sz w:val="18"/>
                <w:szCs w:val="18"/>
              </w:rPr>
              <w:t xml:space="preserve">GPS-interference measurements</w:t>
            </w:r>
          </w:p>
        </w:tc>
        <w:tc>
          <w:tcPr>
            <w:tcW w:type="dxa" w:w="21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Tracks a navigation threat</w:t>
            </w:r>
          </w:p>
        </w:tc>
        <w:tc>
          <w:tcPr>
            <w:tcW w:type="dxa" w:w="190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FAA; industry data</w:t>
            </w:r>
          </w:p>
        </w:tc>
        <w:tc>
          <w:tcPr>
            <w:tcW w:type="dxa" w:w="11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Quarterly</w:t>
            </w:r>
          </w:p>
        </w:tc>
        <w:tc>
          <w:tcPr>
            <w:tcW w:type="dxa" w:w="2050"/>
            <w:shd w:fill="FFFFFF"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 new hotspot inside the U.S.</w:t>
            </w:r>
          </w:p>
        </w:tc>
      </w:tr>
      <w:tr>
        <w:tc>
          <w:tcPr>
            <w:tcW w:type="dxa" w:w="1900"/>
            <w:shd w:fill="D9E2F3" w:color="auto" w:val="clear"/>
            <w:tcMar>
              <w:top w:type="dxa" w:w="40"/>
              <w:left w:type="dxa" w:w="70"/>
              <w:bottom w:type="dxa" w:w="40"/>
              <w:right w:type="dxa" w:w="70"/>
            </w:tcMar>
          </w:tcPr>
          <w:p>
            <w:pPr>
              <w:spacing w:after="0" w:line="240"/>
              <w:jc w:val="left"/>
            </w:pPr>
            <w:r>
              <w:rPr>
                <w:b/>
                <w:bCs/>
                <w:color w:val="000000"/>
                <w:sz w:val="18"/>
                <w:szCs w:val="18"/>
              </w:rPr>
              <w:t xml:space="preserve">Drone sightings near airports</w:t>
            </w:r>
          </w:p>
        </w:tc>
        <w:tc>
          <w:tcPr>
            <w:tcW w:type="dxa" w:w="21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Tracks an airspace threat</w:t>
            </w:r>
          </w:p>
        </w:tc>
        <w:tc>
          <w:tcPr>
            <w:tcW w:type="dxa" w:w="190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FAA; press</w:t>
            </w:r>
          </w:p>
        </w:tc>
        <w:tc>
          <w:tcPr>
            <w:tcW w:type="dxa" w:w="11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Monthly</w:t>
            </w:r>
          </w:p>
        </w:tc>
        <w:tc>
          <w:tcPr>
            <w:tcW w:type="dxa" w:w="2050"/>
            <w:shd w:fill="D9E2F3" w:color="auto" w:val="clear"/>
            <w:tcMar>
              <w:top w:type="dxa" w:w="40"/>
              <w:left w:type="dxa" w:w="70"/>
              <w:bottom w:type="dxa" w:w="40"/>
              <w:right w:type="dxa" w:w="70"/>
            </w:tcMar>
          </w:tcPr>
          <w:p>
            <w:pPr>
              <w:spacing w:after="0" w:line="240"/>
              <w:jc w:val="center"/>
            </w:pPr>
            <w:r>
              <w:rPr>
                <w:b w:val="false"/>
                <w:bCs w:val="false"/>
                <w:color w:val="000000"/>
                <w:sz w:val="18"/>
                <w:szCs w:val="18"/>
              </w:rPr>
              <w:t xml:space="preserve">An operational shutdown</w:t>
            </w:r>
          </w:p>
        </w:tc>
      </w:tr>
    </w:tbl>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13. Other Ways to Read the Evidence</w:t>
      </w:r>
    </w:p>
    <w:p>
      <w:pPr>
        <w:pStyle w:val="ListParagraph"/>
        <w:numPr>
          <w:ilvl w:val="0"/>
          <w:numId w:val="2"/>
        </w:numPr>
        <w:spacing w:after="80" w:line="268"/>
        <w:jc w:val="both"/>
      </w:pPr>
      <w:r>
        <w:rPr>
          <w:b/>
          <w:bCs/>
          <w:sz w:val="21"/>
          <w:szCs w:val="21"/>
        </w:rPr>
        <w:t xml:space="preserve">"This is better disclosure, not worse risk." </w:t>
      </w:r>
      <w:r>
        <w:rPr>
          <w:sz w:val="21"/>
          <w:szCs w:val="21"/>
        </w:rPr>
        <w:t xml:space="preserve">New SEC rules make more incidents visible, so some of the apparent worsening is just more reporting. But the Oracle and airport incidents are real events, not paperwork.</w:t>
      </w:r>
      <w:r>
        <w:rPr>
          <w:b/>
          <w:bCs/>
          <w:color w:val="2E5496"/>
          <w:sz w:val="21"/>
          <w:szCs w:val="21"/>
          <w:vertAlign w:val="superscript"/>
        </w:rPr>
        <w:t xml:space="preserve">1</w:t>
      </w:r>
    </w:p>
    <w:p>
      <w:pPr>
        <w:pStyle w:val="ListParagraph"/>
        <w:numPr>
          <w:ilvl w:val="0"/>
          <w:numId w:val="2"/>
        </w:numPr>
        <w:spacing w:after="80" w:line="268"/>
        <w:jc w:val="both"/>
      </w:pPr>
      <w:r>
        <w:rPr>
          <w:b/>
          <w:bCs/>
          <w:sz w:val="21"/>
          <w:szCs w:val="21"/>
        </w:rPr>
        <w:t xml:space="preserve">"More reporting only looks like decline." </w:t>
      </w:r>
      <w:r>
        <w:rPr>
          <w:sz w:val="21"/>
          <w:szCs w:val="21"/>
        </w:rPr>
        <w:t xml:space="preserve">Possible for cyber counts, but the railroad merger</w:t>
      </w:r>
      <w:r>
        <w:rPr>
          <w:b/>
          <w:bCs/>
          <w:color w:val="2E5496"/>
          <w:sz w:val="21"/>
          <w:szCs w:val="21"/>
          <w:vertAlign w:val="superscript"/>
        </w:rPr>
        <w:t xml:space="preserve">2</w:t>
      </w:r>
      <w:r>
        <w:rPr>
          <w:sz w:val="21"/>
          <w:szCs w:val="21"/>
        </w:rPr>
        <w:t xml:space="preserve"> and the Spirit failure</w:t>
      </w:r>
      <w:r>
        <w:rPr>
          <w:b/>
          <w:bCs/>
          <w:color w:val="2E5496"/>
          <w:sz w:val="21"/>
          <w:szCs w:val="21"/>
          <w:vertAlign w:val="superscript"/>
        </w:rPr>
        <w:t xml:space="preserve">4</w:t>
      </w:r>
      <w:r>
        <w:rPr>
          <w:sz w:val="21"/>
          <w:szCs w:val="21"/>
        </w:rPr>
        <w:t xml:space="preserve"> are concrete facts, not reporting effects.</w:t>
      </w:r>
    </w:p>
    <w:p>
      <w:pPr>
        <w:pStyle w:val="ListParagraph"/>
        <w:numPr>
          <w:ilvl w:val="0"/>
          <w:numId w:val="2"/>
        </w:numPr>
        <w:spacing w:after="80" w:line="268"/>
        <w:jc w:val="both"/>
      </w:pPr>
      <w:r>
        <w:rPr>
          <w:b/>
          <w:bCs/>
          <w:sz w:val="21"/>
          <w:szCs w:val="21"/>
        </w:rPr>
        <w:t xml:space="preserve">"Vendors overstate the drone threat." </w:t>
      </w:r>
      <w:r>
        <w:rPr>
          <w:sz w:val="21"/>
          <w:szCs w:val="21"/>
        </w:rPr>
        <w:t xml:space="preserve">Likely — treat vendor threat and capability claims as unproven.</w:t>
      </w:r>
      <w:r>
        <w:rPr>
          <w:b/>
          <w:bCs/>
          <w:color w:val="2E5496"/>
          <w:sz w:val="21"/>
          <w:szCs w:val="21"/>
          <w:vertAlign w:val="superscript"/>
        </w:rPr>
        <w:t xml:space="preserve">8</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14. Open Questions</w:t>
      </w:r>
    </w:p>
    <w:p>
      <w:pPr>
        <w:spacing w:after="120" w:line="276"/>
        <w:jc w:val="both"/>
      </w:pPr>
      <w:r>
        <w:rPr>
          <w:sz w:val="21"/>
          <w:szCs w:val="21"/>
        </w:rPr>
        <w:t xml:space="preserve">Did any 2026 incident reach TSA-regulated screening or operational equipment? Not shown.</w:t>
      </w:r>
      <w:r>
        <w:rPr>
          <w:b/>
          <w:bCs/>
          <w:color w:val="2E5496"/>
          <w:sz w:val="21"/>
          <w:szCs w:val="21"/>
          <w:vertAlign w:val="superscript"/>
        </w:rPr>
        <w:t xml:space="preserve">1</w:t>
      </w:r>
      <w:r>
        <w:rPr>
          <w:sz w:val="21"/>
          <w:szCs w:val="21"/>
        </w:rPr>
        <w:t xml:space="preserve"> OSI / Rapiscan's next annual report (expected around August 2026) is not yet available.</w:t>
      </w:r>
      <w:r>
        <w:rPr>
          <w:b/>
          <w:bCs/>
          <w:color w:val="2E5496"/>
          <w:sz w:val="21"/>
          <w:szCs w:val="21"/>
          <w:vertAlign w:val="superscript"/>
        </w:rPr>
        <w:t xml:space="preserve">5</w:t>
      </w:r>
      <w:r>
        <w:rPr>
          <w:sz w:val="21"/>
          <w:szCs w:val="21"/>
        </w:rPr>
        <w:t xml:space="preserve"> The exact filing details for the Leidos annual report still need internal confirmation.</w:t>
      </w:r>
      <w:r>
        <w:rPr>
          <w:b/>
          <w:bCs/>
          <w:color w:val="2E5496"/>
          <w:sz w:val="21"/>
          <w:szCs w:val="21"/>
          <w:vertAlign w:val="superscript"/>
        </w:rPr>
        <w:t xml:space="preserve">13</w:t>
      </w:r>
      <w:r>
        <w:rPr>
          <w:sz w:val="21"/>
          <w:szCs w:val="21"/>
        </w:rPr>
        <w:t xml:space="preserve"> CLEAR's enrollment-channel data security is not fully described.</w:t>
      </w:r>
      <w:r>
        <w:rPr>
          <w:b/>
          <w:bCs/>
          <w:color w:val="2E5496"/>
          <w:sz w:val="21"/>
          <w:szCs w:val="21"/>
          <w:vertAlign w:val="superscript"/>
        </w:rPr>
        <w:t xml:space="preserve">6</w:t>
      </w:r>
      <w:r>
        <w:rPr>
          <w:sz w:val="21"/>
          <w:szCs w:val="21"/>
        </w:rPr>
        <w:t xml:space="preserve"> And because the SEC full-text search could not be used, some smaller filings may have been missed.</w:t>
      </w:r>
    </w:p>
    <w:p>
      <w:pPr>
        <w:pBdr>
          <w:bottom w:val="single" w:color="8FAADC" w:sz="6"/>
        </w:pBdr>
        <w:spacing w:after="120" w:before="60"/>
      </w:pPr>
      <w:r>
        <w:rPr>
          <w:sz w:val="2"/>
          <w:szCs w:val="2"/>
        </w:rPr>
        <w:t xml:space="preserve"/>
      </w:r>
    </w:p>
    <w:p>
      <w:pPr>
        <w:pStyle w:val="Heading1"/>
        <w:spacing w:after="140" w:before="320"/>
      </w:pPr>
      <w:r>
        <w:rPr>
          <w:b/>
          <w:bCs/>
          <w:color w:val="1F3864"/>
          <w:sz w:val="30"/>
          <w:szCs w:val="30"/>
        </w:rPr>
        <w:t xml:space="preserve">15. Conclusion</w:t>
      </w:r>
    </w:p>
    <w:p>
      <w:pPr>
        <w:spacing w:after="120" w:line="276"/>
        <w:jc w:val="both"/>
      </w:pPr>
      <w:r>
        <w:rPr>
          <w:sz w:val="21"/>
          <w:szCs w:val="21"/>
        </w:rPr>
        <w:t xml:space="preserve">The 2026 filings describe a transportation sector whose security increasingly rests on a few concentrated commercial relationships — shared software, cloud and identity providers, and a narrow base of screening and trusted-traveler vendors — on top of consolidation and financial stress. No filing we reviewed shows a successful attack on a TSA operational system. The risk is structural and looming rather than immediate. TSA's strongest move is to map and reduce these dependencies, engage the railroad merger before it closes, secure its equipment and identity supply chains, and watch the shared-vendor cyber and GPS/drone threats — before a chain-reaction commercial failure forces a rushed response.</w:t>
      </w:r>
    </w:p>
    <w:p>
      <w:r>
        <w:br w:type="page"/>
      </w:r>
    </w:p>
    <w:p>
      <w:pPr>
        <w:pStyle w:val="Heading1"/>
        <w:spacing w:after="140" w:before="320"/>
      </w:pPr>
      <w:r>
        <w:rPr>
          <w:b/>
          <w:bCs/>
          <w:color w:val="1F3864"/>
          <w:sz w:val="30"/>
          <w:szCs w:val="30"/>
        </w:rPr>
        <w:t xml:space="preserve">Appendix B. Endnotes</w:t>
      </w:r>
    </w:p>
    <w:p>
      <w:pPr>
        <w:spacing w:after="140" w:line="276"/>
        <w:jc w:val="both"/>
      </w:pPr>
      <w:r>
        <w:rPr>
          <w:i/>
          <w:iCs/>
          <w:sz w:val="21"/>
          <w:szCs w:val="21"/>
        </w:rPr>
        <w:t xml:space="preserve">Each endnote is tagged </w:t>
      </w:r>
      <w:r>
        <w:rPr>
          <w:b/>
          <w:bCs/>
          <w:color w:val="2E7D32"/>
          <w:sz w:val="21"/>
          <w:szCs w:val="21"/>
        </w:rPr>
        <w:t xml:space="preserve">[V] </w:t>
      </w:r>
      <w:r>
        <w:rPr>
          <w:i/>
          <w:iCs/>
          <w:sz w:val="21"/>
          <w:szCs w:val="21"/>
        </w:rPr>
        <w:t xml:space="preserve">verified, </w:t>
      </w:r>
      <w:r>
        <w:rPr>
          <w:b/>
          <w:bCs/>
          <w:color w:val="B8860B"/>
          <w:sz w:val="21"/>
          <w:szCs w:val="21"/>
        </w:rPr>
        <w:t xml:space="preserve">[P] </w:t>
      </w:r>
      <w:r>
        <w:rPr>
          <w:i/>
          <w:iCs/>
          <w:sz w:val="21"/>
          <w:szCs w:val="21"/>
        </w:rPr>
        <w:t xml:space="preserve">partly verified, or </w:t>
      </w:r>
      <w:r>
        <w:rPr>
          <w:b/>
          <w:bCs/>
          <w:color w:val="1565C0"/>
          <w:sz w:val="21"/>
          <w:szCs w:val="21"/>
        </w:rPr>
        <w:t xml:space="preserve">[C] </w:t>
      </w:r>
      <w:r>
        <w:rPr>
          <w:i/>
          <w:iCs/>
          <w:sz w:val="21"/>
          <w:szCs w:val="21"/>
        </w:rPr>
        <w:t xml:space="preserve">corroborated event, as defined in “How to Read This Report.”</w:t>
      </w:r>
    </w:p>
    <w:p>
      <w:pPr>
        <w:spacing w:after="120" w:line="264"/>
        <w:jc w:val="both"/>
      </w:pPr>
      <w:r>
        <w:rPr>
          <w:b/>
          <w:bCs/>
          <w:color w:val="1F3864"/>
          <w:sz w:val="20"/>
          <w:szCs w:val="20"/>
        </w:rPr>
        <w:t xml:space="preserve">1. </w:t>
      </w:r>
      <w:r>
        <w:rPr>
          <w:b/>
          <w:bCs/>
          <w:color w:val="2E7D32"/>
          <w:sz w:val="21"/>
          <w:szCs w:val="21"/>
        </w:rPr>
        <w:t xml:space="preserve">[V] </w:t>
      </w:r>
      <w:r>
        <w:rPr>
          <w:sz w:val="20"/>
          <w:szCs w:val="20"/>
        </w:rPr>
        <w:t xml:space="preserve">American Airlines subsidiary Envoy Air / Oracle E-Business Suite breach (Clop group; flaw CVE-2025-61882), confirmed October 2025; the company said no sensitive or customer data was affected and only limited business contact information may have been exposed. Corroborated across security-press primary reports, including SC Media (</w:t>
      </w:r>
      <w:r>
        <w:rPr>
          <w:color w:val="0563C1"/>
          <w:sz w:val="20"/>
          <w:szCs w:val="20"/>
          <w:u w:val="single"/>
        </w:rPr>
        <w:t xml:space="preserve">scworld.com/news/envoy-air-confirms-breach-tied-to-oracle-ebs-zero-day-vulnerability</w:t>
      </w:r>
      <w:r>
        <w:rPr>
          <w:sz w:val="20"/>
          <w:szCs w:val="20"/>
        </w:rPr>
        <w:t xml:space="preserve">) and CPO Magazine (</w:t>
      </w:r>
      <w:r>
        <w:rPr>
          <w:color w:val="0563C1"/>
          <w:sz w:val="20"/>
          <w:szCs w:val="20"/>
          <w:u w:val="single"/>
        </w:rPr>
        <w:t xml:space="preserve">cpomagazine.com/cyber-security/harvard-and-envoy-airlines-breached-via-oracles-e-business-suite-zero-day-vulnerability/</w:t>
      </w:r>
      <w:r>
        <w:rPr>
          <w:sz w:val="20"/>
          <w:szCs w:val="20"/>
        </w:rPr>
        <w:t xml:space="preserve">). Accessed July 12, 2026. This is an event, not an SEC filing.</w:t>
      </w:r>
    </w:p>
    <w:p>
      <w:pPr>
        <w:spacing w:after="120" w:line="264"/>
        <w:jc w:val="both"/>
      </w:pPr>
      <w:r>
        <w:rPr>
          <w:b/>
          <w:bCs/>
          <w:color w:val="1F3864"/>
          <w:sz w:val="20"/>
          <w:szCs w:val="20"/>
        </w:rPr>
        <w:t xml:space="preserve">2. </w:t>
      </w:r>
      <w:r>
        <w:rPr>
          <w:b/>
          <w:bCs/>
          <w:color w:val="2E7D32"/>
          <w:sz w:val="21"/>
          <w:szCs w:val="21"/>
        </w:rPr>
        <w:t xml:space="preserve">[V] </w:t>
      </w:r>
      <w:r>
        <w:rPr>
          <w:sz w:val="20"/>
          <w:szCs w:val="20"/>
        </w:rPr>
        <w:t xml:space="preserve">Union Pacific Corporation, Form 8-K, Exhibit 99.1 (merger announcement), July 2025 — $320 per share implied value, $85 billion enterprise value for Norfolk Southern, combined company worth more than $250 billion, about 225 million Union Pacific shares issued (27% ownership), and a $2.5 billion reverse termination fee. </w:t>
      </w:r>
      <w:r>
        <w:rPr>
          <w:color w:val="0563C1"/>
          <w:sz w:val="20"/>
          <w:szCs w:val="20"/>
          <w:u w:val="single"/>
        </w:rPr>
        <w:t xml:space="preserve">sec.gov/Archives/edgar/data/100885/000119312525167154/d64537dex991.htm</w:t>
      </w:r>
      <w:r>
        <w:rPr>
          <w:sz w:val="20"/>
          <w:szCs w:val="20"/>
        </w:rPr>
        <w:t xml:space="preserve">. Combined-value and early-2027 target close per Norfolk Southern Form 425, </w:t>
      </w:r>
      <w:r>
        <w:rPr>
          <w:color w:val="0563C1"/>
          <w:sz w:val="20"/>
          <w:szCs w:val="20"/>
          <w:u w:val="single"/>
        </w:rPr>
        <w:t xml:space="preserve">sec.gov/Archives/edgar/data/702165/000119312525168149/d936593d425.htm</w:t>
      </w:r>
      <w:r>
        <w:rPr>
          <w:sz w:val="20"/>
          <w:szCs w:val="20"/>
        </w:rPr>
        <w:t xml:space="preserve">. About $2.75 billion in yearly savings per the joint company release, July 29, 2025. Accessed July 12, 2026.</w:t>
      </w:r>
    </w:p>
    <w:p>
      <w:pPr>
        <w:spacing w:after="120" w:line="264"/>
        <w:jc w:val="both"/>
      </w:pPr>
      <w:r>
        <w:rPr>
          <w:b/>
          <w:bCs/>
          <w:color w:val="1F3864"/>
          <w:sz w:val="20"/>
          <w:szCs w:val="20"/>
        </w:rPr>
        <w:t xml:space="preserve">3. </w:t>
      </w:r>
      <w:r>
        <w:rPr>
          <w:b/>
          <w:bCs/>
          <w:color w:val="2E7D32"/>
          <w:sz w:val="21"/>
          <w:szCs w:val="21"/>
        </w:rPr>
        <w:t xml:space="preserve">[V] </w:t>
      </w:r>
      <w:r>
        <w:rPr>
          <w:sz w:val="20"/>
          <w:szCs w:val="20"/>
        </w:rPr>
        <w:t xml:space="preserve">Union Pacific and Norfolk Southern, “STB Accepts Union Pacific-Norfolk Southern Merger Application,” May 28, 2026 (</w:t>
      </w:r>
      <w:r>
        <w:rPr>
          <w:color w:val="0563C1"/>
          <w:sz w:val="20"/>
          <w:szCs w:val="20"/>
          <w:u w:val="single"/>
        </w:rPr>
        <w:t xml:space="preserve">up.com/press-releases/growth/stb-accepts-merger-application</w:t>
      </w:r>
      <w:r>
        <w:rPr>
          <w:sz w:val="20"/>
          <w:szCs w:val="20"/>
        </w:rPr>
        <w:t xml:space="preserve">). Updated application filed April 30, 2026; original application filed December 19, 2025; supplemental data due July 27, 2026. Accessed July 12, 2026.</w:t>
      </w:r>
    </w:p>
    <w:p>
      <w:pPr>
        <w:spacing w:after="120" w:line="264"/>
        <w:jc w:val="both"/>
      </w:pPr>
      <w:r>
        <w:rPr>
          <w:b/>
          <w:bCs/>
          <w:color w:val="1F3864"/>
          <w:sz w:val="20"/>
          <w:szCs w:val="20"/>
        </w:rPr>
        <w:t xml:space="preserve">4. </w:t>
      </w:r>
      <w:r>
        <w:rPr>
          <w:b/>
          <w:bCs/>
          <w:color w:val="1565C0"/>
          <w:sz w:val="21"/>
          <w:szCs w:val="21"/>
        </w:rPr>
        <w:t xml:space="preserve">[C] </w:t>
      </w:r>
      <w:r>
        <w:rPr>
          <w:sz w:val="20"/>
          <w:szCs w:val="20"/>
        </w:rPr>
        <w:t xml:space="preserve">Spirit Airlines shutdown: flights stopped about 3:00 a.m. Eastern Time on May 2, 2026; second bankruptcy filed August 29, 2025 (Southern District of New York, case 25-11897); a jet-fuel price spike tied to the Iran conflict and a failed federal rescue of about $500 million exhausted its cash; about 17,000 jobs lost; first U.S. carrier of its size to shut down in roughly 20 years. Corroborated: NPR (</w:t>
      </w:r>
      <w:r>
        <w:rPr>
          <w:color w:val="0563C1"/>
          <w:sz w:val="20"/>
          <w:szCs w:val="20"/>
          <w:u w:val="single"/>
        </w:rPr>
        <w:t xml:space="preserve">npr.org/2026/05/02/nx-s1-5807933/spirit-airlines-ceases-operations-folds</w:t>
      </w:r>
      <w:r>
        <w:rPr>
          <w:sz w:val="20"/>
          <w:szCs w:val="20"/>
        </w:rPr>
        <w:t xml:space="preserve">), CNN Business (</w:t>
      </w:r>
      <w:r>
        <w:rPr>
          <w:color w:val="0563C1"/>
          <w:sz w:val="20"/>
          <w:szCs w:val="20"/>
          <w:u w:val="single"/>
        </w:rPr>
        <w:t xml:space="preserve">cnn.com/2026/05/02/business/spirit-to-halt-all-flights</w:t>
      </w:r>
      <w:r>
        <w:rPr>
          <w:sz w:val="20"/>
          <w:szCs w:val="20"/>
        </w:rPr>
        <w:t xml:space="preserve">), and The Detroit News. Chief Executive: Dave Davis. Spirit’s SEC identifier is CIK 0001498710; a May 2026 Form 8-K reportedly suspended its SEC reporting after the shutdown — that specific filing was not re-verified this pass and is partly verified. Accessed July 12, 2026.</w:t>
      </w:r>
    </w:p>
    <w:p>
      <w:pPr>
        <w:spacing w:after="120" w:line="264"/>
        <w:jc w:val="both"/>
      </w:pPr>
      <w:r>
        <w:rPr>
          <w:b/>
          <w:bCs/>
          <w:color w:val="1F3864"/>
          <w:sz w:val="20"/>
          <w:szCs w:val="20"/>
        </w:rPr>
        <w:t xml:space="preserve">5. </w:t>
      </w:r>
      <w:r>
        <w:rPr>
          <w:b/>
          <w:bCs/>
          <w:color w:val="2E7D32"/>
          <w:sz w:val="21"/>
          <w:szCs w:val="21"/>
        </w:rPr>
        <w:t xml:space="preserve">[V] </w:t>
      </w:r>
      <w:r>
        <w:rPr>
          <w:sz w:val="20"/>
          <w:szCs w:val="20"/>
        </w:rPr>
        <w:t xml:space="preserve">OSI Systems, Inc., Form 10-K (fiscal year ended June 30, 2025), Business and Risk Factors sections — several screening machines TSA-approved; direct U.S. government sales; single-supplier reliance for some parts; overseas manufacturing. SEC filing number 0001410578-25-001887 (</w:t>
      </w:r>
      <w:r>
        <w:rPr>
          <w:color w:val="0563C1"/>
          <w:sz w:val="20"/>
          <w:szCs w:val="20"/>
          <w:u w:val="single"/>
        </w:rPr>
        <w:t xml:space="preserve">sec.gov/Archives/edgar/data/1039065/000141057825001887/osis-20250630x10k.htm</w:t>
      </w:r>
      <w:r>
        <w:rPr>
          <w:sz w:val="20"/>
          <w:szCs w:val="20"/>
        </w:rPr>
        <w:t xml:space="preserve">). The TSA-approved and business language is verified by direct review; the specific dollar figure for government sales is partly verified pending a line-item re-read. In-window quarterly reports: Form 10-Q (quarter ended March 31, 2026), filing number 0001104659-26-055014 (partly verified); Form 10-Q (quarter ended December 31, 2025), filing number 0001104659-26-008109 (partly verified). Accessed July 12, 2026.</w:t>
      </w:r>
    </w:p>
    <w:p>
      <w:pPr>
        <w:spacing w:after="120" w:line="264"/>
        <w:jc w:val="both"/>
      </w:pPr>
      <w:r>
        <w:rPr>
          <w:b/>
          <w:bCs/>
          <w:color w:val="1F3864"/>
          <w:sz w:val="20"/>
          <w:szCs w:val="20"/>
        </w:rPr>
        <w:t xml:space="preserve">6. </w:t>
      </w:r>
      <w:r>
        <w:rPr>
          <w:b/>
          <w:bCs/>
          <w:color w:val="2E7D32"/>
          <w:sz w:val="21"/>
          <w:szCs w:val="21"/>
        </w:rPr>
        <w:t xml:space="preserve">[V] </w:t>
      </w:r>
      <w:r>
        <w:rPr>
          <w:sz w:val="20"/>
          <w:szCs w:val="20"/>
        </w:rPr>
        <w:t xml:space="preserve">Clear Secure, Inc., Form 10-K (fiscal year ended December 31, 2025), Business section — TSA PreCheck enrollment provided by CLEAR was available in 61 airports and 340 retail locations as of December 31, 2025, expanding on a rolling basis with TSA approval. SEC filing number 0001856314-26-000006 (</w:t>
      </w:r>
      <w:r>
        <w:rPr>
          <w:color w:val="0563C1"/>
          <w:sz w:val="20"/>
          <w:szCs w:val="20"/>
          <w:u w:val="single"/>
        </w:rPr>
        <w:t xml:space="preserve">sec.gov/Archives/edgar/data/1856314/000185631426000006/you-20251231.htm</w:t>
      </w:r>
      <w:r>
        <w:rPr>
          <w:sz w:val="20"/>
          <w:szCs w:val="20"/>
        </w:rPr>
        <w:t xml:space="preserve">). Accessed July 12, 2026.</w:t>
      </w:r>
    </w:p>
    <w:p>
      <w:pPr>
        <w:spacing w:after="120" w:line="264"/>
        <w:jc w:val="both"/>
      </w:pPr>
      <w:r>
        <w:rPr>
          <w:b/>
          <w:bCs/>
          <w:color w:val="1F3864"/>
          <w:sz w:val="20"/>
          <w:szCs w:val="20"/>
        </w:rPr>
        <w:t xml:space="preserve">7. </w:t>
      </w:r>
      <w:r>
        <w:rPr>
          <w:b/>
          <w:bCs/>
          <w:color w:val="1565C0"/>
          <w:sz w:val="21"/>
          <w:szCs w:val="21"/>
        </w:rPr>
        <w:t xml:space="preserve">[C] </w:t>
      </w:r>
      <w:r>
        <w:rPr>
          <w:sz w:val="20"/>
          <w:szCs w:val="20"/>
        </w:rPr>
        <w:t xml:space="preserve">Rise in GPS/GNSS jamming and spoofing affecting civilian aviation, per aviation-industry (IATA/EASA) and FAA reporting, 2025. Specific figures (such as a 220% rise from 2021 to 2024) appear in industry reporting but were not re-fetched to a primary industry web page this pass, so they are held at corroborated / single-quantitative-source status pending direct verification. Accessed July 12, 2026.</w:t>
      </w:r>
    </w:p>
    <w:p>
      <w:pPr>
        <w:spacing w:after="120" w:line="264"/>
        <w:jc w:val="both"/>
      </w:pPr>
      <w:r>
        <w:rPr>
          <w:b/>
          <w:bCs/>
          <w:color w:val="1F3864"/>
          <w:sz w:val="20"/>
          <w:szCs w:val="20"/>
        </w:rPr>
        <w:t xml:space="preserve">8. </w:t>
      </w:r>
      <w:r>
        <w:rPr>
          <w:b/>
          <w:bCs/>
          <w:color w:val="B8860B"/>
          <w:sz w:val="21"/>
          <w:szCs w:val="21"/>
        </w:rPr>
        <w:t xml:space="preserve">[P] </w:t>
      </w:r>
      <w:r>
        <w:rPr>
          <w:sz w:val="20"/>
          <w:szCs w:val="20"/>
        </w:rPr>
        <w:t xml:space="preserve">ParaZero Technologies Ltd., Form 6-K, Exhibit 99.1 (counter-drone “DefendAir”), filed February 2026, SEC filing number 0001213900-26-013505 (</w:t>
      </w:r>
      <w:r>
        <w:rPr>
          <w:color w:val="0563C1"/>
          <w:sz w:val="20"/>
          <w:szCs w:val="20"/>
          <w:u w:val="single"/>
        </w:rPr>
        <w:t xml:space="preserve">sec.gov/Archives/edgar/data/1916241/000121390026013505/ea027611802ex99-1_parazero.htm</w:t>
      </w:r>
      <w:r>
        <w:rPr>
          <w:sz w:val="20"/>
          <w:szCs w:val="20"/>
        </w:rPr>
        <w:t xml:space="preserve">). Vendor description only; not verified capability. Accessed July 12, 2026.</w:t>
      </w:r>
    </w:p>
    <w:p>
      <w:pPr>
        <w:spacing w:after="120" w:line="264"/>
        <w:jc w:val="both"/>
      </w:pPr>
      <w:r>
        <w:rPr>
          <w:b/>
          <w:bCs/>
          <w:color w:val="1F3864"/>
          <w:sz w:val="20"/>
          <w:szCs w:val="20"/>
        </w:rPr>
        <w:t xml:space="preserve">9. </w:t>
      </w:r>
      <w:r>
        <w:rPr>
          <w:b/>
          <w:bCs/>
          <w:color w:val="2E7D32"/>
          <w:sz w:val="21"/>
          <w:szCs w:val="21"/>
        </w:rPr>
        <w:t xml:space="preserve">[V] </w:t>
      </w:r>
      <w:r>
        <w:rPr>
          <w:sz w:val="20"/>
          <w:szCs w:val="20"/>
        </w:rPr>
        <w:t xml:space="preserve">Union Pacific Corporation, Form 10-K (fiscal year ended December 31, 2025), filed February 6, 2026; Note 20, “Pending Acquisition” (Norfolk Southern merger). SEC filing number 0000010088-26-000037 (</w:t>
      </w:r>
      <w:r>
        <w:rPr>
          <w:color w:val="0563C1"/>
          <w:sz w:val="20"/>
          <w:szCs w:val="20"/>
          <w:u w:val="single"/>
        </w:rPr>
        <w:t xml:space="preserve">sec.gov/Archives/edgar/data/100885/000010088526000037/unp-20251231.htm</w:t>
      </w:r>
      <w:r>
        <w:rPr>
          <w:sz w:val="20"/>
          <w:szCs w:val="20"/>
        </w:rPr>
        <w:t xml:space="preserve">). Accessed July 12, 2026.</w:t>
      </w:r>
    </w:p>
    <w:p>
      <w:pPr>
        <w:spacing w:after="120" w:line="264"/>
        <w:jc w:val="both"/>
      </w:pPr>
      <w:r>
        <w:rPr>
          <w:b/>
          <w:bCs/>
          <w:color w:val="1F3864"/>
          <w:sz w:val="20"/>
          <w:szCs w:val="20"/>
        </w:rPr>
        <w:t xml:space="preserve">10. </w:t>
      </w:r>
      <w:r>
        <w:rPr>
          <w:b/>
          <w:bCs/>
          <w:color w:val="2E7D32"/>
          <w:sz w:val="21"/>
          <w:szCs w:val="21"/>
        </w:rPr>
        <w:t xml:space="preserve">[V] </w:t>
      </w:r>
      <w:r>
        <w:rPr>
          <w:sz w:val="20"/>
          <w:szCs w:val="20"/>
        </w:rPr>
        <w:t xml:space="preserve">Norfolk Southern Corporation, Form 10-K (fiscal year ended December 31, 2025), filed February 9, 2026; Risk Factors. SEC filing number 0001628280-26-006268 (</w:t>
      </w:r>
      <w:r>
        <w:rPr>
          <w:color w:val="0563C1"/>
          <w:sz w:val="20"/>
          <w:szCs w:val="20"/>
          <w:u w:val="single"/>
        </w:rPr>
        <w:t xml:space="preserve">sec.gov/Archives/edgar/data/0000702165/000162828026006268/nsc-20251231.htm</w:t>
      </w:r>
      <w:r>
        <w:rPr>
          <w:sz w:val="20"/>
          <w:szCs w:val="20"/>
        </w:rPr>
        <w:t xml:space="preserve">). Accessed July 12, 2026.</w:t>
      </w:r>
    </w:p>
    <w:p>
      <w:pPr>
        <w:spacing w:after="120" w:line="264"/>
        <w:jc w:val="both"/>
      </w:pPr>
      <w:r>
        <w:rPr>
          <w:b/>
          <w:bCs/>
          <w:color w:val="1F3864"/>
          <w:sz w:val="20"/>
          <w:szCs w:val="20"/>
        </w:rPr>
        <w:t xml:space="preserve">11. </w:t>
      </w:r>
      <w:r>
        <w:rPr>
          <w:b/>
          <w:bCs/>
          <w:color w:val="2E7D32"/>
          <w:sz w:val="21"/>
          <w:szCs w:val="21"/>
        </w:rPr>
        <w:t xml:space="preserve">[V] </w:t>
      </w:r>
      <w:r>
        <w:rPr>
          <w:sz w:val="20"/>
          <w:szCs w:val="20"/>
        </w:rPr>
        <w:t xml:space="preserve">Kinder Morgan, Inc., Form 10-K (fiscal year ended December 31, 2025), filed February 13, 2026; Business – Regulation – Cybersecurity Regulation — TSA pipeline security directives (mandatory reporting, a cybersecurity coordinator, vulnerability assessments, a TSA-approved implementation plan, an incident response plan, and an assessment plan); a 2024 TSA proposed rule that the Department of Homeland Security lists as long-term with no set timetable; and the U.S. Coast Guard’s Cybersecurity in the Marine Transportation System final rule, effective July 16, 2025, with full plans and a cybersecurity officer due July 16, 2027. SEC filing number 0001506307-26-000011 (</w:t>
      </w:r>
      <w:r>
        <w:rPr>
          <w:color w:val="0563C1"/>
          <w:sz w:val="20"/>
          <w:szCs w:val="20"/>
          <w:u w:val="single"/>
        </w:rPr>
        <w:t xml:space="preserve">sec.gov/Archives/edgar/data/1506307/000150630726000011/kmi-20251231.htm</w:t>
      </w:r>
      <w:r>
        <w:rPr>
          <w:sz w:val="20"/>
          <w:szCs w:val="20"/>
        </w:rPr>
        <w:t xml:space="preserve">). Accessed July 12, 2026.</w:t>
      </w:r>
    </w:p>
    <w:p>
      <w:pPr>
        <w:spacing w:after="120" w:line="264"/>
        <w:jc w:val="both"/>
      </w:pPr>
      <w:r>
        <w:rPr>
          <w:b/>
          <w:bCs/>
          <w:color w:val="1F3864"/>
          <w:sz w:val="20"/>
          <w:szCs w:val="20"/>
        </w:rPr>
        <w:t xml:space="preserve">12. </w:t>
      </w:r>
      <w:r>
        <w:rPr>
          <w:b/>
          <w:bCs/>
          <w:color w:val="B8860B"/>
          <w:sz w:val="21"/>
          <w:szCs w:val="21"/>
        </w:rPr>
        <w:t xml:space="preserve">[P] </w:t>
      </w:r>
      <w:r>
        <w:rPr>
          <w:sz w:val="20"/>
          <w:szCs w:val="20"/>
        </w:rPr>
        <w:t xml:space="preserve">American Airlines Group Inc., Form 10-K (fiscal year ended December 31, 2025), filed February 18, 2026; Risk Factors (general cybersecurity disclosure; the Envoy incident is not specifically named). SEC filing number 0000006201-26-000014 (</w:t>
      </w:r>
      <w:r>
        <w:rPr>
          <w:color w:val="0563C1"/>
          <w:sz w:val="20"/>
          <w:szCs w:val="20"/>
          <w:u w:val="single"/>
        </w:rPr>
        <w:t xml:space="preserve">sec.gov/Archives/edgar/data/6201/000000620126000014/aal-20251231.htm</w:t>
      </w:r>
      <w:r>
        <w:rPr>
          <w:sz w:val="20"/>
          <w:szCs w:val="20"/>
        </w:rPr>
        <w:t xml:space="preserve">). The filing details are verified; the finding that no separate incident report was filed is partly verified, based on the filings reviewed rather than a complete search. Accessed July 12, 2026.</w:t>
      </w:r>
    </w:p>
    <w:p>
      <w:pPr>
        <w:spacing w:after="120" w:line="264"/>
        <w:jc w:val="both"/>
      </w:pPr>
      <w:r>
        <w:rPr>
          <w:b/>
          <w:bCs/>
          <w:color w:val="1F3864"/>
          <w:sz w:val="20"/>
          <w:szCs w:val="20"/>
        </w:rPr>
        <w:t xml:space="preserve">13. </w:t>
      </w:r>
      <w:r>
        <w:rPr>
          <w:b/>
          <w:bCs/>
          <w:color w:val="B8860B"/>
          <w:sz w:val="21"/>
          <w:szCs w:val="21"/>
        </w:rPr>
        <w:t xml:space="preserve">[P] </w:t>
      </w:r>
      <w:r>
        <w:rPr>
          <w:sz w:val="20"/>
          <w:szCs w:val="20"/>
        </w:rPr>
        <w:t xml:space="preserve">Leidos Holdings, Inc. (SEC identifier CIK 0001336920), TSA checkpoint screening deployment and maintenance role. The filing exists per EDGAR records, but the exact annual-report filing number and section, and the specific contract dollar figures, require internal confirmation and are held at partly verified. Accessed July 12, 2026.</w:t>
      </w:r>
    </w:p>
    <w:p>
      <w:pPr>
        <w:spacing w:after="120" w:line="264"/>
        <w:jc w:val="both"/>
      </w:pPr>
      <w:r>
        <w:rPr>
          <w:b/>
          <w:bCs/>
          <w:color w:val="1F3864"/>
          <w:sz w:val="20"/>
          <w:szCs w:val="20"/>
        </w:rPr>
        <w:t xml:space="preserve">14. </w:t>
      </w:r>
      <w:r>
        <w:rPr>
          <w:b/>
          <w:bCs/>
          <w:color w:val="2E7D32"/>
          <w:sz w:val="21"/>
          <w:szCs w:val="21"/>
        </w:rPr>
        <w:t xml:space="preserve">[V] </w:t>
      </w:r>
      <w:r>
        <w:rPr>
          <w:sz w:val="20"/>
          <w:szCs w:val="20"/>
        </w:rPr>
        <w:t xml:space="preserve">Transportation Security Administration, TSA PreCheck program page listing approved enrollment providers (CLEAR, Telos, IDEMIA) (</w:t>
      </w:r>
      <w:r>
        <w:rPr>
          <w:color w:val="0563C1"/>
          <w:sz w:val="20"/>
          <w:szCs w:val="20"/>
          <w:u w:val="single"/>
        </w:rPr>
        <w:t xml:space="preserve">tsa.gov/precheck</w:t>
      </w:r>
      <w:r>
        <w:rPr>
          <w:sz w:val="20"/>
          <w:szCs w:val="20"/>
        </w:rPr>
        <w:t xml:space="preserve">); and TSA press release, “CLEAR becomes TSA’s third official TSA PreCheck enrollment provider.” Accessed July 12, 2026.</w:t>
      </w:r>
    </w:p>
    <w:p>
      <w:pPr>
        <w:spacing w:after="120" w:line="264"/>
        <w:jc w:val="both"/>
      </w:pPr>
      <w:r>
        <w:rPr>
          <w:b/>
          <w:bCs/>
          <w:color w:val="1F3864"/>
          <w:sz w:val="20"/>
          <w:szCs w:val="20"/>
        </w:rPr>
        <w:t xml:space="preserve">15. </w:t>
      </w:r>
      <w:r>
        <w:rPr>
          <w:b/>
          <w:bCs/>
          <w:color w:val="B8860B"/>
          <w:sz w:val="21"/>
          <w:szCs w:val="21"/>
        </w:rPr>
        <w:t xml:space="preserve">[P] </w:t>
      </w:r>
      <w:r>
        <w:rPr>
          <w:sz w:val="20"/>
          <w:szCs w:val="20"/>
        </w:rPr>
        <w:t xml:space="preserve">The Boeing Company, Form 10-K (fiscal year ended December 31, 2025), filed January 30, 2026; Risk Factors (cybersecurity oversight and production, standard language). SEC filing number 0001628280-26-004357. Filing confirmed via corroborating source; section wording not re-fetched this pass. Accessed July 12, 2026.</w:t>
      </w:r>
    </w:p>
    <w:p>
      <w:pPr>
        <w:spacing w:after="120" w:line="264"/>
        <w:jc w:val="both"/>
      </w:pPr>
      <w:r>
        <w:rPr>
          <w:b/>
          <w:bCs/>
          <w:color w:val="1F3864"/>
          <w:sz w:val="20"/>
          <w:szCs w:val="20"/>
        </w:rPr>
        <w:t xml:space="preserve">16. </w:t>
      </w:r>
      <w:r>
        <w:rPr>
          <w:b/>
          <w:bCs/>
          <w:color w:val="B8860B"/>
          <w:sz w:val="21"/>
          <w:szCs w:val="21"/>
        </w:rPr>
        <w:t xml:space="preserve">[P] </w:t>
      </w:r>
      <w:r>
        <w:rPr>
          <w:sz w:val="20"/>
          <w:szCs w:val="20"/>
        </w:rPr>
        <w:t xml:space="preserve">CrowdStrike Holdings, Inc., Form 10-K (fiscal year ended January 31, 2026); Risk Factors (hosting concentration; outage risk). SEC filing number 0001535527-26-000010. The July 19, 2024 software update that grounded multiple U.S. airlines remains the reference case for fragile transportation technology; its specific figures were not re-verified this pass. Accessed July 12, 2026.</w:t>
      </w:r>
    </w:p>
    <w:p>
      <w:pPr>
        <w:spacing w:after="120" w:line="264"/>
        <w:jc w:val="both"/>
      </w:pPr>
      <w:r>
        <w:rPr>
          <w:b/>
          <w:bCs/>
          <w:color w:val="1F3864"/>
          <w:sz w:val="20"/>
          <w:szCs w:val="20"/>
        </w:rPr>
        <w:t xml:space="preserve">17. </w:t>
      </w:r>
      <w:r>
        <w:rPr>
          <w:b/>
          <w:bCs/>
          <w:color w:val="B8860B"/>
          <w:sz w:val="21"/>
          <w:szCs w:val="21"/>
        </w:rPr>
        <w:t xml:space="preserve">[P] </w:t>
      </w:r>
      <w:r>
        <w:rPr>
          <w:sz w:val="20"/>
          <w:szCs w:val="20"/>
        </w:rPr>
        <w:t xml:space="preserve">8x8, Inc., Form 8-K, material cybersecurity incident, filed June 2026 (breach through a connected third-party platform). SEC filing number 0001023731-26-000084 (</w:t>
      </w:r>
      <w:r>
        <w:rPr>
          <w:color w:val="0563C1"/>
          <w:sz w:val="20"/>
          <w:szCs w:val="20"/>
          <w:u w:val="single"/>
        </w:rPr>
        <w:t xml:space="preserve">sec.gov/Archives/edgar/data/0001023731/000102373126000084/eght-20260617.htm</w:t>
      </w:r>
      <w:r>
        <w:rPr>
          <w:sz w:val="20"/>
          <w:szCs w:val="20"/>
        </w:rPr>
        <w:t xml:space="preserve">). Low direct TSA relevance; included only as an example of the shared-platform pattern. Accessed July 12, 2026.</w:t>
      </w:r>
    </w:p>
    <w:p>
      <w:r>
        <w:br w:type="page"/>
      </w:r>
    </w:p>
    <w:p>
      <w:pPr>
        <w:pStyle w:val="Heading1"/>
        <w:spacing w:after="140" w:before="320"/>
      </w:pPr>
      <w:r>
        <w:rPr>
          <w:b/>
          <w:bCs/>
          <w:color w:val="1F3864"/>
          <w:sz w:val="30"/>
          <w:szCs w:val="30"/>
        </w:rPr>
        <w:t xml:space="preserve">Appendix C. Corrections Made While Checking</w:t>
      </w:r>
    </w:p>
    <w:p>
      <w:pPr>
        <w:spacing w:after="140" w:line="276"/>
        <w:jc w:val="both"/>
      </w:pPr>
      <w:r>
        <w:rPr>
          <w:i/>
          <w:iCs/>
          <w:sz w:val="21"/>
          <w:szCs w:val="21"/>
        </w:rPr>
        <w:t xml:space="preserve">Because this was a verification pass, corrections are listed openly here rather than folded in silently.</w:t>
      </w:r>
    </w:p>
    <w:p>
      <w:pPr>
        <w:spacing w:after="100" w:line="264"/>
        <w:jc w:val="both"/>
      </w:pPr>
      <w:r>
        <w:rPr>
          <w:b/>
          <w:bCs/>
          <w:color w:val="1F3864"/>
          <w:sz w:val="21"/>
          <w:szCs w:val="21"/>
        </w:rPr>
        <w:t xml:space="preserve">1. Kinder Morgan rule name. </w:t>
      </w:r>
      <w:r>
        <w:rPr>
          <w:sz w:val="21"/>
          <w:szCs w:val="21"/>
        </w:rPr>
        <w:t xml:space="preserve">An earlier draft cited a specific pipeline-directive code and date (“SD Pipeline-2021-01G, effective January 16, 2026”). The filing describes TSA’s directives and the pending rule but does not contain that specific code or date. Corrected to match the filing’s actual wording.</w:t>
      </w:r>
    </w:p>
    <w:p>
      <w:pPr>
        <w:spacing w:after="100" w:line="264"/>
        <w:jc w:val="both"/>
      </w:pPr>
      <w:r>
        <w:rPr>
          <w:b/>
          <w:bCs/>
          <w:color w:val="1F3864"/>
          <w:sz w:val="21"/>
          <w:szCs w:val="21"/>
        </w:rPr>
        <w:t xml:space="preserve">2. Merger signing date. </w:t>
      </w:r>
      <w:r>
        <w:rPr>
          <w:sz w:val="21"/>
          <w:szCs w:val="21"/>
        </w:rPr>
        <w:t xml:space="preserve">The agreement was signed July 28, 2025 and announced July 29, 2025. Clarified.</w:t>
      </w:r>
    </w:p>
    <w:p>
      <w:pPr>
        <w:spacing w:after="100" w:line="264"/>
        <w:jc w:val="both"/>
      </w:pPr>
      <w:r>
        <w:rPr>
          <w:b/>
          <w:bCs/>
          <w:color w:val="1F3864"/>
          <w:sz w:val="21"/>
          <w:szCs w:val="21"/>
        </w:rPr>
        <w:t xml:space="preserve">3. Spirit “25 years” and restructuring date. </w:t>
      </w:r>
      <w:r>
        <w:rPr>
          <w:sz w:val="21"/>
          <w:szCs w:val="21"/>
        </w:rPr>
        <w:t xml:space="preserve">An earlier draft said “first failure in 25 years” and cited a March 2026 restructuring agreement. Sources support “roughly 20 years” and a February 2026 restructuring deal. Corrected.</w:t>
      </w:r>
    </w:p>
    <w:p>
      <w:pPr>
        <w:spacing w:after="100" w:line="264"/>
        <w:jc w:val="both"/>
      </w:pPr>
      <w:r>
        <w:rPr>
          <w:b/>
          <w:bCs/>
          <w:color w:val="1F3864"/>
          <w:sz w:val="21"/>
          <w:szCs w:val="21"/>
        </w:rPr>
        <w:t xml:space="preserve">4. Spirit CEO. </w:t>
      </w:r>
      <w:r>
        <w:rPr>
          <w:sz w:val="21"/>
          <w:szCs w:val="21"/>
        </w:rPr>
        <w:t xml:space="preserve">Confirmed as Dave Davis, President and Chief Executive Officer.</w:t>
      </w:r>
    </w:p>
    <w:p>
      <w:pPr>
        <w:spacing w:after="100" w:line="264"/>
        <w:jc w:val="both"/>
      </w:pPr>
      <w:r>
        <w:rPr>
          <w:b/>
          <w:bCs/>
          <w:color w:val="1F3864"/>
          <w:sz w:val="21"/>
          <w:szCs w:val="21"/>
        </w:rPr>
        <w:t xml:space="preserve">5. CLEAR competitors. </w:t>
      </w:r>
      <w:r>
        <w:rPr>
          <w:sz w:val="21"/>
          <w:szCs w:val="21"/>
        </w:rPr>
        <w:t xml:space="preserve">Confirmed TSA authorizes three PreCheck enrollment providers (CLEAR, Telos, IDEMIA), consistent with the “two other providers” framing.</w:t>
      </w:r>
    </w:p>
    <w:p>
      <w:pPr>
        <w:spacing w:after="100" w:line="264"/>
        <w:jc w:val="both"/>
      </w:pPr>
      <w:r>
        <w:rPr>
          <w:b/>
          <w:bCs/>
          <w:color w:val="1F3864"/>
          <w:sz w:val="21"/>
          <w:szCs w:val="21"/>
        </w:rPr>
        <w:t xml:space="preserve">6. Leidos figures. </w:t>
      </w:r>
      <w:r>
        <w:rPr>
          <w:sz w:val="21"/>
          <w:szCs w:val="21"/>
        </w:rPr>
        <w:t xml:space="preserve">The specific contract dollar figures and the annual-report filing number could not be confirmed to a primary SEC document this pass. Downgraded to partly verified and flagged for internal confirmation.</w:t>
      </w:r>
    </w:p>
    <w:p>
      <w:pPr>
        <w:spacing w:after="100" w:line="264"/>
        <w:jc w:val="both"/>
      </w:pPr>
      <w:r>
        <w:rPr>
          <w:b/>
          <w:bCs/>
          <w:color w:val="1F3864"/>
          <w:sz w:val="21"/>
          <w:szCs w:val="21"/>
        </w:rPr>
        <w:t xml:space="preserve">7. GPS statistics. </w:t>
      </w:r>
      <w:r>
        <w:rPr>
          <w:sz w:val="21"/>
          <w:szCs w:val="21"/>
        </w:rPr>
        <w:t xml:space="preserve">The specific interference percentages could not be re-fetched to a primary industry source this pass. Downgraded to corroborated / single-source pending direct verification.</w:t>
      </w:r>
    </w:p>
    <w:p>
      <w:pPr>
        <w:spacing w:after="100" w:line="264"/>
        <w:jc w:val="both"/>
      </w:pPr>
      <w:r>
        <w:rPr>
          <w:b/>
          <w:bCs/>
          <w:color w:val="1F3864"/>
          <w:sz w:val="21"/>
          <w:szCs w:val="21"/>
        </w:rPr>
        <w:t xml:space="preserve">8. Boeing, CrowdStrike, 8x8 filing numbers. </w:t>
      </w:r>
      <w:r>
        <w:rPr>
          <w:sz w:val="21"/>
          <w:szCs w:val="21"/>
        </w:rPr>
        <w:t xml:space="preserve">Held at partly verified — the filings are supported, but section wording was not re-read this pass.</w:t>
      </w:r>
    </w:p>
    <w:p>
      <w:pPr>
        <w:pBdr>
          <w:bottom w:val="single" w:color="8FAADC" w:sz="6"/>
        </w:pBdr>
        <w:spacing w:after="120" w:before="60"/>
      </w:pPr>
      <w:r>
        <w:rPr>
          <w:sz w:val="2"/>
          <w:szCs w:val="2"/>
        </w:rPr>
        <w:t xml:space="preserve"/>
      </w:r>
    </w:p>
    <w:p>
      <w:pPr>
        <w:spacing w:after="120" w:line="276"/>
        <w:jc w:val="both"/>
      </w:pPr>
      <w:r>
        <w:rPr>
          <w:i/>
          <w:iCs/>
          <w:color w:val="595959"/>
          <w:sz w:val="21"/>
          <w:szCs w:val="21"/>
        </w:rPr>
        <w:t xml:space="preserve">Prepared as an open-source analytic product. Endnotes are tagged verified, partly verified, or corroborated. Items marked partly verified or single-source should be confirmed before you rely on them operationally. The judgments and recommendations in Sections 3, 5, and 8 through 15 are analysis, not sourced fact.</w:t>
      </w:r>
    </w:p>
    <w:sectPr>
      <w:headerReference w:type="default" r:id="rId7"/>
      <w:footerReference w:type="default" r:id="rId8"/>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FAADC" w:sz="4"/>
      </w:pBdr>
      <w:jc w:val="center"/>
    </w:pPr>
    <w:r>
      <w:rPr>
        <w:color w:val="595959"/>
        <w:sz w:val="15"/>
        <w:szCs w:val="15"/>
      </w:rPr>
      <w:t xml:space="preserve">2026 SEC Filings Review for TSA  •  Filing period Jan 1 – Jul 12, 2026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ADC" w:sz="4"/>
      </w:pBdr>
      <w:jc w:val="right"/>
    </w:pPr>
    <w:r>
      <w:rPr>
        <w:color w:val="595959"/>
        <w:sz w:val="15"/>
        <w:szCs w:val="15"/>
      </w:rPr>
      <w:t xml:space="preserve">UNCLASSIFIED  •  OPEN SOURCE ASSESSMENT  •  Prepared for TSA Leadership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2026-07-12T00:48:53.884Z</dcterms:created>
  <dcterms:modified xsi:type="dcterms:W3CDTF">2026-07-12T00:48:53.895Z</dcterms:modified>
</cp:coreProperties>
</file>

<file path=docProps/custom.xml><?xml version="1.0" encoding="utf-8"?>
<Properties xmlns="http://schemas.openxmlformats.org/officeDocument/2006/custom-properties" xmlns:vt="http://schemas.openxmlformats.org/officeDocument/2006/docPropsVTypes"/>
</file>