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95959"/>
          <w:sz w:val="20"/>
          <w:szCs w:val="20"/>
        </w:rPr>
        <w:t xml:space="preserve">OPEN SOURCE ASSESSMENT</w:t>
      </w:r>
    </w:p>
    <w:p>
      <w:pPr>
        <w:pBdr>
          <w:bottom w:val="single" w:color="1F4E79" w:sz="6" w:space="4"/>
        </w:pBdr>
        <w:spacing w:after="200"/>
        <w:jc w:val="center"/>
      </w:pPr>
      <w:r>
        <w:rPr>
          <w:sz w:val="10"/>
          <w:szCs w:val="10"/>
        </w:rPr>
        <w:t xml:space="preserve"/>
      </w:r>
    </w:p>
    <w:p>
      <w:pPr>
        <w:spacing w:after="120"/>
        <w:jc w:val="center"/>
      </w:pPr>
      <w:r>
        <w:rPr>
          <w:b/>
          <w:bCs/>
          <w:color w:val="1F4E79"/>
          <w:sz w:val="36"/>
          <w:szCs w:val="36"/>
        </w:rPr>
        <w:t xml:space="preserve">Proposed TSA-Perspective Definition of “Known Shipper”</w:t>
      </w:r>
    </w:p>
    <w:p>
      <w:pPr>
        <w:spacing w:after="240"/>
        <w:jc w:val="center"/>
      </w:pPr>
      <w:r>
        <w:rPr>
          <w:i/>
          <w:iCs/>
          <w:color w:val="595959"/>
          <w:sz w:val="24"/>
          <w:szCs w:val="24"/>
        </w:rPr>
        <w:t xml:space="preserve">A Policy Paper for Air Cargo Security Policy, Operational Guidance, and Risk Management</w:t>
      </w:r>
    </w:p>
    <w:p>
      <w:pPr>
        <w:spacing w:after="40"/>
        <w:jc w:val="center"/>
      </w:pPr>
      <w:r>
        <w:rPr>
          <w:sz w:val="20"/>
          <w:szCs w:val="20"/>
        </w:rPr>
        <w:t xml:space="preserve">Prepared from the perspective of a senior TSA air cargo security policy analyst</w:t>
      </w:r>
    </w:p>
    <w:p>
      <w:pPr>
        <w:spacing w:after="240"/>
        <w:jc w:val="center"/>
      </w:pPr>
      <w:r>
        <w:rPr>
          <w:color w:val="595959"/>
          <w:sz w:val="20"/>
          <w:szCs w:val="20"/>
        </w:rPr>
        <w:t xml:space="preserve">Based on publicly releasable primary sources only — contains no Sensitive Security Information</w:t>
      </w:r>
    </w:p>
    <w:p>
      <w:pPr>
        <w:pBdr>
          <w:top w:val="single" w:color="BFBFBF" w:sz="1"/>
          <w:left w:val="single" w:color="BFBFBF" w:sz="1"/>
          <w:bottom w:val="single" w:color="BFBFBF" w:sz="1"/>
          <w:right w:val="single" w:color="BFBFBF" w:sz="1"/>
        </w:pBdr>
        <w:shd w:fill="D9E2F3" w:val="clear"/>
        <w:spacing w:after="120" w:before="60"/>
      </w:pPr>
      <w:r>
        <w:rPr>
          <w:b/>
          <w:bCs/>
        </w:rPr>
        <w:t xml:space="preserve">How to read this paper. </w:t>
      </w:r>
      <w:r>
        <w:t xml:space="preserve">Four kinds of statement are kept separate and labeled where they appear: (1) Existing regulatory requirement — language drawn directly from the Code of Federal Regulations or statute; (2) Publicly stated TSA policy — positions TSA has stated in public records; (3) Analytical interpretation — the author’s reasoning about what the public rules imply; and (4) Recommended policy language — proposed wording that does not yet exist in regulation. Numeric settings (cycle lengths, score cutoffs, time limits) are identified as security-program parameters: the paper specifies the criterion to be measured and leaves the exact value to the TSA-approved security program, because those values are not public and may be Sensitive Security Information. Single-source factual claims are labeled “single-source / unconfirmed.”</w:t>
      </w:r>
    </w:p>
    <w:p>
      <w:r>
        <w:br w:type="page"/>
      </w:r>
    </w:p>
    <w:p>
      <w:pPr>
        <w:pStyle w:val="Heading1"/>
      </w:pPr>
      <w:r>
        <w:t xml:space="preserve">1. Executive Summary</w:t>
      </w:r>
    </w:p>
    <w:p>
      <w:pPr>
        <w:spacing w:after="160" w:line="276"/>
        <w:jc w:val="left"/>
      </w:pPr>
      <w:r>
        <w:rPr>
          <w:b/>
          <w:bCs/>
          <w:i w:val="false"/>
          <w:iCs w:val="false"/>
        </w:rPr>
        <w:t xml:space="preserve">Recommended definition (core). </w:t>
      </w:r>
      <w:r>
        <w:rPr>
          <w:b w:val="false"/>
          <w:bCs w:val="false"/>
          <w:i w:val="false"/>
          <w:iCs w:val="false"/>
        </w:rPr>
        <w:t xml:space="preserve">A Known Shipper is a person or business entity whose identity, shipping location, and legitimate shipping purpose have been verified to the standard set in the applicable TSA-approved security program. That verification makes the entity eligible to tender cargo where Known Shipper status is required and lets the carrier sort its cargo apart from cargo of unknown origin. The status carries fixed conditions — cargo is still screened, the status is kept current and can be revoked, and it belongs only to the verified entity. The full clause and its conditions appear in Section 2.</w:t>
      </w:r>
    </w:p>
    <w:p>
      <w:pPr>
        <w:spacing w:after="160" w:line="276"/>
        <w:jc w:val="left"/>
      </w:pPr>
      <w:r>
        <w:rPr>
          <w:b/>
          <w:bCs/>
          <w:i w:val="false"/>
          <w:iCs w:val="false"/>
        </w:rPr>
        <w:t xml:space="preserve">Why a precise definition matters to TSA. </w:t>
      </w:r>
      <w:r>
        <w:rPr>
          <w:b w:val="false"/>
          <w:bCs w:val="false"/>
          <w:i w:val="false"/>
          <w:iCs w:val="false"/>
        </w:rPr>
        <w:t xml:space="preserve">“Known Shipper” is a security designation, not a commercial label. The cargo rules require aircraft operators, foreign air carriers, and indirect air carriers to run a known shipper program that determines a shipper’s validity and integrity and separates known shipper cargo from unknown shipper cargo.</w:t>
      </w:r>
      <w:r>
        <w:rPr>
          <w:b w:val="false"/>
          <w:bCs w:val="false"/>
          <w:i w:val="false"/>
          <w:iCs w:val="false"/>
          <w:vertAlign w:val="superscript"/>
        </w:rPr>
        <w:t xml:space="preserve">1</w:t>
      </w:r>
      <w:r>
        <w:rPr>
          <w:b w:val="false"/>
          <w:bCs w:val="false"/>
          <w:i w:val="false"/>
          <w:iCs w:val="false"/>
        </w:rPr>
        <w:t xml:space="preserve"> </w:t>
      </w:r>
      <w:r>
        <w:rPr>
          <w:b w:val="false"/>
          <w:bCs w:val="false"/>
          <w:i w:val="false"/>
          <w:iCs w:val="false"/>
          <w:vertAlign w:val="superscript"/>
        </w:rPr>
        <w:t xml:space="preserve">3</w:t>
      </w:r>
      <w:r>
        <w:rPr>
          <w:b w:val="false"/>
          <w:bCs w:val="false"/>
          <w:i w:val="false"/>
          <w:iCs w:val="false"/>
        </w:rPr>
        <w:t xml:space="preserve"> </w:t>
      </w:r>
      <w:r>
        <w:rPr>
          <w:b w:val="false"/>
          <w:bCs w:val="false"/>
          <w:i w:val="false"/>
          <w:iCs w:val="false"/>
          <w:vertAlign w:val="superscript"/>
        </w:rPr>
        <w:t xml:space="preserve">4</w:t>
      </w:r>
      <w:r>
        <w:rPr>
          <w:b w:val="false"/>
          <w:bCs w:val="false"/>
          <w:i w:val="false"/>
          <w:iCs w:val="false"/>
        </w:rPr>
        <w:t xml:space="preserve"> A loose, commercial reading invites two failures: treating a familiar customer as “known” without real verification, and treating the cargo it sends as lower-risk than the rules allow. A crisp, security-anchored definition with measurable verification criteria closes both gaps and fits TSA’s layered model.</w:t>
      </w:r>
    </w:p>
    <w:p>
      <w:pPr>
        <w:spacing w:after="120" w:line="276"/>
        <w:jc w:val="left"/>
      </w:pPr>
      <w:r>
        <w:rPr>
          <w:b/>
          <w:bCs/>
          <w:i w:val="false"/>
          <w:iCs w:val="false"/>
        </w:rPr>
        <w:t xml:space="preserve">Most important implications. </w:t>
      </w:r>
      <w:r>
        <w:rPr>
          <w:b w:val="false"/>
          <w:bCs w:val="false"/>
          <w:i w:val="false"/>
          <w:iCs w:val="false"/>
        </w:rPr>
        <w:t xml:space="preserve">First, “known” means verified identity and verified legitimate purpose, tested against named, observable criteria rather than name recognition. Second, the designation drives a concrete sorting decision — known versus unknown — that the rules require carriers to make.</w:t>
      </w:r>
      <w:r>
        <w:rPr>
          <w:b w:val="false"/>
          <w:bCs w:val="false"/>
          <w:i w:val="false"/>
          <w:iCs w:val="false"/>
          <w:vertAlign w:val="superscript"/>
        </w:rPr>
        <w:t xml:space="preserve">1</w:t>
      </w:r>
      <w:r>
        <w:rPr>
          <w:b w:val="false"/>
          <w:bCs w:val="false"/>
          <w:i w:val="false"/>
          <w:iCs w:val="false"/>
        </w:rPr>
        <w:t xml:space="preserve"> Third, the status is continuing: it has a defined revalidation cycle, defined triggers that force re-verification before the next cycle, and a defined point at which an interrupted chain of custody returns cargo to unknown status. The criteria are specified in this paper; the exact numeric settings are security-program parameters.</w:t>
      </w:r>
    </w:p>
    <w:p>
      <w:r>
        <w:br w:type="page"/>
      </w:r>
    </w:p>
    <w:p>
      <w:pPr>
        <w:pStyle w:val="Heading1"/>
      </w:pPr>
      <w:r>
        <w:t xml:space="preserve">2. Recommended Definition</w:t>
      </w:r>
    </w:p>
    <w:p>
      <w:pPr>
        <w:spacing w:after="120" w:line="276"/>
        <w:jc w:val="left"/>
      </w:pPr>
      <w:r>
        <w:rPr>
          <w:b w:val="false"/>
          <w:bCs w:val="false"/>
          <w:i/>
          <w:iCs/>
        </w:rPr>
        <w:t xml:space="preserve">Category: Recommended policy language. This is the controlling text; Section 8 supplies only the short memorandum caption and does not restate it.</w:t>
      </w:r>
    </w:p>
    <w:p>
      <w:pPr>
        <w:pBdr>
          <w:top w:val="single" w:color="BFBFBF" w:sz="1"/>
          <w:left w:val="single" w:color="BFBFBF" w:sz="1"/>
          <w:bottom w:val="single" w:color="BFBFBF" w:sz="1"/>
          <w:right w:val="single" w:color="BFBFBF" w:sz="1"/>
        </w:pBdr>
        <w:shd w:fill="D9E2F3" w:val="clear"/>
        <w:spacing w:after="120" w:before="60"/>
      </w:pPr>
      <w:r>
        <w:rPr>
          <w:b/>
          <w:bCs/>
        </w:rPr>
        <w:t xml:space="preserve">Primary clause. </w:t>
      </w:r>
      <w:r>
        <w:t xml:space="preserve">A </w:t>
      </w:r>
      <w:r>
        <w:rPr>
          <w:b/>
          <w:bCs/>
        </w:rPr>
        <w:t xml:space="preserve">Known Shipper</w:t>
      </w:r>
      <w:r>
        <w:t xml:space="preserve"> is a person or business entity whose identity, shipping location, and legitimate shipping purpose have been verified to the standard set in the applicable TSA-approved security program, and that is therefore eligible to tender cargo where Known Shipper status is required.</w:t>
      </w:r>
    </w:p>
    <w:p>
      <w:pPr>
        <w:spacing w:after="80" w:line="276"/>
        <w:jc w:val="left"/>
      </w:pPr>
      <w:r>
        <w:rPr>
          <w:b w:val="false"/>
          <w:bCs w:val="false"/>
          <w:i w:val="false"/>
          <w:iCs w:val="false"/>
        </w:rPr>
        <w:t xml:space="preserve">The designation carries the following conditions, each of which must hold:</w:t>
      </w:r>
    </w:p>
    <w:p>
      <w:pPr>
        <w:pStyle w:val="ListParagraph"/>
        <w:numPr>
          <w:ilvl w:val="0"/>
          <w:numId w:val="2"/>
        </w:numPr>
        <w:spacing w:after="70" w:line="268"/>
      </w:pPr>
      <w:r>
        <w:rPr>
          <w:b/>
          <w:bCs/>
          <w:i w:val="false"/>
          <w:iCs w:val="false"/>
        </w:rPr>
        <w:t xml:space="preserve">Verified identity. </w:t>
      </w:r>
      <w:r>
        <w:rPr>
          <w:b w:val="false"/>
          <w:bCs w:val="false"/>
          <w:i w:val="false"/>
          <w:iCs w:val="false"/>
        </w:rPr>
        <w:t xml:space="preserve">The entity’s legal identity and shipping location are confirmed, not merely recognized.</w:t>
      </w:r>
    </w:p>
    <w:p>
      <w:pPr>
        <w:pStyle w:val="ListParagraph"/>
        <w:numPr>
          <w:ilvl w:val="0"/>
          <w:numId w:val="2"/>
        </w:numPr>
        <w:spacing w:after="70" w:line="268"/>
      </w:pPr>
      <w:r>
        <w:rPr>
          <w:b/>
          <w:bCs/>
          <w:i w:val="false"/>
          <w:iCs w:val="false"/>
        </w:rPr>
        <w:t xml:space="preserve">Legitimate, traceable purpose. </w:t>
      </w:r>
      <w:r>
        <w:rPr>
          <w:b w:val="false"/>
          <w:bCs w:val="false"/>
          <w:i w:val="false"/>
          <w:iCs w:val="false"/>
        </w:rPr>
        <w:t xml:space="preserve">The entity has a real, lawful shipping purpose that can be traced — the “validity and integrity” the rules require.</w:t>
      </w:r>
      <w:r>
        <w:rPr>
          <w:b w:val="false"/>
          <w:bCs w:val="false"/>
          <w:i w:val="false"/>
          <w:iCs w:val="false"/>
          <w:vertAlign w:val="superscript"/>
        </w:rPr>
        <w:t xml:space="preserve">1</w:t>
      </w:r>
    </w:p>
    <w:p>
      <w:pPr>
        <w:pStyle w:val="ListParagraph"/>
        <w:numPr>
          <w:ilvl w:val="0"/>
          <w:numId w:val="2"/>
        </w:numPr>
        <w:spacing w:after="70" w:line="268"/>
      </w:pPr>
      <w:r>
        <w:rPr>
          <w:b/>
          <w:bCs/>
          <w:i w:val="false"/>
          <w:iCs w:val="false"/>
        </w:rPr>
        <w:t xml:space="preserve">Cargo-to-shipper link. </w:t>
      </w:r>
      <w:r>
        <w:rPr>
          <w:b w:val="false"/>
          <w:bCs w:val="false"/>
          <w:i w:val="false"/>
          <w:iCs w:val="false"/>
        </w:rPr>
        <w:t xml:space="preserve">The cargo tendered is linked to the verified entity that tenders it.</w:t>
      </w:r>
    </w:p>
    <w:p>
      <w:pPr>
        <w:pStyle w:val="ListParagraph"/>
        <w:numPr>
          <w:ilvl w:val="0"/>
          <w:numId w:val="2"/>
        </w:numPr>
        <w:spacing w:after="70" w:line="268"/>
      </w:pPr>
      <w:r>
        <w:rPr>
          <w:b/>
          <w:bCs/>
          <w:i w:val="false"/>
          <w:iCs w:val="false"/>
        </w:rPr>
        <w:t xml:space="preserve">Enables sorting. </w:t>
      </w:r>
      <w:r>
        <w:rPr>
          <w:b w:val="false"/>
          <w:bCs w:val="false"/>
          <w:i w:val="false"/>
          <w:iCs w:val="false"/>
        </w:rPr>
        <w:t xml:space="preserve">The status lets the carrier or indirect air carrier separate this cargo from unknown shipper cargo.</w:t>
      </w:r>
      <w:r>
        <w:rPr>
          <w:b w:val="false"/>
          <w:bCs w:val="false"/>
          <w:i w:val="false"/>
          <w:iCs w:val="false"/>
          <w:vertAlign w:val="superscript"/>
        </w:rPr>
        <w:t xml:space="preserve">1</w:t>
      </w:r>
      <w:r>
        <w:rPr>
          <w:b w:val="false"/>
          <w:bCs w:val="false"/>
          <w:i w:val="false"/>
          <w:iCs w:val="false"/>
        </w:rPr>
        <w:t xml:space="preserve"> </w:t>
      </w:r>
      <w:r>
        <w:rPr>
          <w:b w:val="false"/>
          <w:bCs w:val="false"/>
          <w:i w:val="false"/>
          <w:iCs w:val="false"/>
          <w:vertAlign w:val="superscript"/>
        </w:rPr>
        <w:t xml:space="preserve">3</w:t>
      </w:r>
      <w:r>
        <w:rPr>
          <w:b w:val="false"/>
          <w:bCs w:val="false"/>
          <w:i w:val="false"/>
          <w:iCs w:val="false"/>
        </w:rPr>
        <w:t xml:space="preserve"> </w:t>
      </w:r>
      <w:r>
        <w:rPr>
          <w:b w:val="false"/>
          <w:bCs w:val="false"/>
          <w:i w:val="false"/>
          <w:iCs w:val="false"/>
          <w:vertAlign w:val="superscript"/>
        </w:rPr>
        <w:t xml:space="preserve">4</w:t>
      </w:r>
    </w:p>
    <w:p>
      <w:pPr>
        <w:pStyle w:val="ListParagraph"/>
        <w:numPr>
          <w:ilvl w:val="0"/>
          <w:numId w:val="2"/>
        </w:numPr>
        <w:spacing w:after="70" w:line="268"/>
      </w:pPr>
      <w:r>
        <w:rPr>
          <w:b/>
          <w:bCs/>
          <w:i w:val="false"/>
          <w:iCs w:val="false"/>
        </w:rPr>
        <w:t xml:space="preserve">No screening waiver. </w:t>
      </w:r>
      <w:r>
        <w:rPr>
          <w:b w:val="false"/>
          <w:bCs w:val="false"/>
          <w:i w:val="false"/>
          <w:iCs w:val="false"/>
        </w:rPr>
        <w:t xml:space="preserve">All cargo remains subject to required screening, inspection, acceptance, and chain-of-custody controls.</w:t>
      </w:r>
      <w:r>
        <w:rPr>
          <w:b w:val="false"/>
          <w:bCs w:val="false"/>
          <w:i w:val="false"/>
          <w:iCs w:val="false"/>
          <w:vertAlign w:val="superscript"/>
        </w:rPr>
        <w:t xml:space="preserve">2</w:t>
      </w:r>
    </w:p>
    <w:p>
      <w:pPr>
        <w:pStyle w:val="ListParagraph"/>
        <w:numPr>
          <w:ilvl w:val="0"/>
          <w:numId w:val="2"/>
        </w:numPr>
        <w:spacing w:after="70" w:line="268"/>
      </w:pPr>
      <w:r>
        <w:rPr>
          <w:b/>
          <w:bCs/>
          <w:i w:val="false"/>
          <w:iCs w:val="false"/>
        </w:rPr>
        <w:t xml:space="preserve">Continuing and revocable. </w:t>
      </w:r>
      <w:r>
        <w:rPr>
          <w:b w:val="false"/>
          <w:bCs w:val="false"/>
          <w:i w:val="false"/>
          <w:iCs w:val="false"/>
        </w:rPr>
        <w:t xml:space="preserve">The status is maintained current, revalidated on a defined cycle, re-verified when a defined trigger occurs, and revoked when the standard is no longer met.</w:t>
      </w:r>
    </w:p>
    <w:p>
      <w:pPr>
        <w:pStyle w:val="ListParagraph"/>
        <w:numPr>
          <w:ilvl w:val="0"/>
          <w:numId w:val="2"/>
        </w:numPr>
        <w:spacing w:after="70" w:line="268"/>
      </w:pPr>
      <w:r>
        <w:rPr>
          <w:b/>
          <w:bCs/>
          <w:i w:val="false"/>
          <w:iCs w:val="false"/>
        </w:rPr>
        <w:t xml:space="preserve">Non-transferable. </w:t>
      </w:r>
      <w:r>
        <w:rPr>
          <w:b w:val="false"/>
          <w:bCs w:val="false"/>
          <w:i w:val="false"/>
          <w:iCs w:val="false"/>
        </w:rPr>
        <w:t xml:space="preserve">The status belongs only to the verified entity and cannot pass to another entity without independent verification.</w:t>
      </w:r>
    </w:p>
    <w:p>
      <w:pPr>
        <w:spacing w:after="120" w:line="276"/>
        <w:jc w:val="left"/>
      </w:pPr>
      <w:r>
        <w:rPr>
          <w:b/>
          <w:bCs/>
          <w:i w:val="false"/>
          <w:iCs w:val="false"/>
        </w:rPr>
        <w:t xml:space="preserve">Passenger-aircraft eligibility. </w:t>
      </w:r>
      <w:r>
        <w:rPr>
          <w:b w:val="false"/>
          <w:bCs w:val="false"/>
          <w:i w:val="false"/>
          <w:iCs w:val="false"/>
        </w:rPr>
        <w:t xml:space="preserve">Where Known Shipper status is a condition for tendering cargo intended for passenger-aircraft movement, a verified Known Shipper is eligible to do so, subject without exception to the screening and inspection controls above.</w:t>
      </w:r>
    </w:p>
    <w:p>
      <w:r>
        <w:br w:type="page"/>
      </w:r>
    </w:p>
    <w:p>
      <w:pPr>
        <w:pStyle w:val="Heading1"/>
      </w:pPr>
      <w:r>
        <w:t xml:space="preserve">3. Plain-Language Definition</w:t>
      </w:r>
    </w:p>
    <w:p>
      <w:pPr>
        <w:spacing w:after="120" w:line="276"/>
        <w:jc w:val="left"/>
      </w:pPr>
      <w:r>
        <w:rPr>
          <w:b w:val="false"/>
          <w:bCs w:val="false"/>
          <w:i/>
          <w:iCs/>
        </w:rPr>
        <w:t xml:space="preserve">Category: Recommended policy language (plain-language version for operational personnel and industry).</w:t>
      </w:r>
    </w:p>
    <w:p>
      <w:pPr>
        <w:spacing w:after="100" w:line="276"/>
        <w:jc w:val="left"/>
      </w:pPr>
      <w:r>
        <w:rPr>
          <w:b w:val="false"/>
          <w:bCs w:val="false"/>
          <w:i w:val="false"/>
          <w:iCs w:val="false"/>
        </w:rPr>
        <w:t xml:space="preserve">A Known Shipper is a shipper that a TSA-regulated party has verified: its identity, where it ships from, and that it operates a real, lawful shipping business. That verification lets a carrier or freight forwarder accept the shipper’s cargo as coming from a verified source and keep it separate from cargo whose source has not been verified.</w:t>
      </w:r>
    </w:p>
    <w:p>
      <w:pPr>
        <w:spacing w:after="100" w:line="276"/>
        <w:jc w:val="left"/>
      </w:pPr>
      <w:r>
        <w:rPr>
          <w:b w:val="false"/>
          <w:bCs w:val="false"/>
          <w:i w:val="false"/>
          <w:iCs w:val="false"/>
        </w:rPr>
        <w:t xml:space="preserve">Known Shipper status does not exempt cargo from screening. Required screening and inspection still apply. The status answers “is the source verified?” — not “has this shipment been cleared for threats?” Those are separate controls, and both apply.</w:t>
      </w:r>
    </w:p>
    <w:p>
      <w:pPr>
        <w:spacing w:after="100" w:line="276"/>
        <w:jc w:val="left"/>
      </w:pPr>
      <w:r>
        <w:rPr>
          <w:b w:val="false"/>
          <w:bCs w:val="false"/>
          <w:i w:val="false"/>
          <w:iCs w:val="false"/>
        </w:rPr>
        <w:t xml:space="preserve">The status must be kept current. It is re-verified on a set schedule, and certain changes — a new address, a change of ownership, a lapse in the shipper’s own controls — require re-verification before that schedule comes due. It applies only to the verified shipper; one shipper cannot lend its status to another.</w:t>
      </w:r>
    </w:p>
    <w:p>
      <w:r>
        <w:br w:type="page"/>
      </w:r>
    </w:p>
    <w:p>
      <w:pPr>
        <w:pStyle w:val="Heading1"/>
      </w:pPr>
      <w:r>
        <w:t xml:space="preserve">4. Detailed Justification</w:t>
      </w:r>
    </w:p>
    <w:p>
      <w:pPr>
        <w:spacing w:after="120" w:line="276"/>
        <w:jc w:val="left"/>
      </w:pPr>
      <w:r>
        <w:rPr>
          <w:b w:val="false"/>
          <w:bCs w:val="false"/>
          <w:i/>
          <w:iCs/>
        </w:rPr>
        <w:t xml:space="preserve">Category: Analytical interpretation, anchored to existing regulatory requirements where cited.</w:t>
      </w:r>
    </w:p>
    <w:p>
      <w:pPr>
        <w:pStyle w:val="Heading2"/>
      </w:pPr>
      <w:r>
        <w:t xml:space="preserve">4.1 “Known” must mean verification, not name recognition</w:t>
      </w:r>
    </w:p>
    <w:p>
      <w:pPr>
        <w:spacing w:after="120" w:line="276"/>
        <w:jc w:val="left"/>
      </w:pPr>
      <w:r>
        <w:rPr>
          <w:b w:val="false"/>
          <w:bCs w:val="false"/>
          <w:i w:val="false"/>
          <w:iCs w:val="false"/>
        </w:rPr>
        <w:t xml:space="preserve">The rules require the program to determine the shipper’s validity and integrity, not merely to recognize a name.</w:t>
      </w:r>
      <w:r>
        <w:rPr>
          <w:b w:val="false"/>
          <w:bCs w:val="false"/>
          <w:i w:val="false"/>
          <w:iCs w:val="false"/>
          <w:vertAlign w:val="superscript"/>
        </w:rPr>
        <w:t xml:space="preserve">1</w:t>
      </w:r>
      <w:r>
        <w:rPr>
          <w:b w:val="false"/>
          <w:bCs w:val="false"/>
          <w:i w:val="false"/>
          <w:iCs w:val="false"/>
        </w:rPr>
        <w:t xml:space="preserve"> “Determine” signals an active verification act, so the definition ties “known” to tested criteria rather than commercial familiarity.</w:t>
      </w:r>
    </w:p>
    <w:p>
      <w:pPr>
        <w:pStyle w:val="Heading2"/>
      </w:pPr>
      <w:r>
        <w:t xml:space="preserve">4.2 Identity must be verifiable, and purpose legitimate and traceable</w:t>
      </w:r>
    </w:p>
    <w:p>
      <w:pPr>
        <w:spacing w:after="120" w:line="276"/>
        <w:jc w:val="left"/>
      </w:pPr>
      <w:r>
        <w:rPr>
          <w:b w:val="false"/>
          <w:bCs w:val="false"/>
          <w:i w:val="false"/>
          <w:iCs w:val="false"/>
        </w:rPr>
        <w:t xml:space="preserve">Sorting known cargo from unknown cargo</w:t>
      </w:r>
      <w:r>
        <w:rPr>
          <w:b w:val="false"/>
          <w:bCs w:val="false"/>
          <w:i w:val="false"/>
          <w:iCs w:val="false"/>
          <w:vertAlign w:val="superscript"/>
        </w:rPr>
        <w:t xml:space="preserve">1</w:t>
      </w:r>
      <w:r>
        <w:rPr>
          <w:b w:val="false"/>
          <w:bCs w:val="false"/>
          <w:i w:val="false"/>
          <w:iCs w:val="false"/>
        </w:rPr>
        <w:t xml:space="preserve"> is only meaningful if “known” rests on a verifiable identity and a real, traceable purpose. An entity whose identity or purpose cannot be established cannot be placed in the “known” category at all; verification is a precondition, not an attribute added afterward.</w:t>
      </w:r>
    </w:p>
    <w:p>
      <w:pPr>
        <w:pStyle w:val="Heading2"/>
      </w:pPr>
      <w:r>
        <w:t xml:space="preserve">4.3 The designation must enable a clean known/unknown sort</w:t>
      </w:r>
    </w:p>
    <w:p>
      <w:pPr>
        <w:spacing w:after="120" w:line="276"/>
        <w:jc w:val="left"/>
      </w:pPr>
      <w:r>
        <w:rPr>
          <w:b w:val="false"/>
          <w:bCs w:val="false"/>
          <w:i w:val="false"/>
          <w:iCs w:val="false"/>
        </w:rPr>
        <w:t xml:space="preserve">All three known shipper sections require the regulated party to separate known shipper cargo from unknown shipper cargo.</w:t>
      </w:r>
      <w:r>
        <w:rPr>
          <w:b w:val="false"/>
          <w:bCs w:val="false"/>
          <w:i w:val="false"/>
          <w:iCs w:val="false"/>
          <w:vertAlign w:val="superscript"/>
        </w:rPr>
        <w:t xml:space="preserve">1</w:t>
      </w:r>
      <w:r>
        <w:rPr>
          <w:b w:val="false"/>
          <w:bCs w:val="false"/>
          <w:i w:val="false"/>
          <w:iCs w:val="false"/>
        </w:rPr>
        <w:t xml:space="preserve"> </w:t>
      </w:r>
      <w:r>
        <w:rPr>
          <w:b w:val="false"/>
          <w:bCs w:val="false"/>
          <w:i w:val="false"/>
          <w:iCs w:val="false"/>
          <w:vertAlign w:val="superscript"/>
        </w:rPr>
        <w:t xml:space="preserve">3</w:t>
      </w:r>
      <w:r>
        <w:rPr>
          <w:b w:val="false"/>
          <w:bCs w:val="false"/>
          <w:i w:val="false"/>
          <w:iCs w:val="false"/>
        </w:rPr>
        <w:t xml:space="preserve"> </w:t>
      </w:r>
      <w:r>
        <w:rPr>
          <w:b w:val="false"/>
          <w:bCs w:val="false"/>
          <w:i w:val="false"/>
          <w:iCs w:val="false"/>
          <w:vertAlign w:val="superscript"/>
        </w:rPr>
        <w:t xml:space="preserve">4</w:t>
      </w:r>
      <w:r>
        <w:rPr>
          <w:b w:val="false"/>
          <w:bCs w:val="false"/>
          <w:i w:val="false"/>
          <w:iCs w:val="false"/>
        </w:rPr>
        <w:t xml:space="preserve"> The definition exists to make that sort possible and defensible; a definition that did not produce a clean split would fail the rule’s own purpose.</w:t>
      </w:r>
    </w:p>
    <w:p>
      <w:pPr>
        <w:pStyle w:val="Heading2"/>
      </w:pPr>
      <w:r>
        <w:t xml:space="preserve">4.4 The screening requirement is a settled, standing control</w:t>
      </w:r>
    </w:p>
    <w:p>
      <w:pPr>
        <w:spacing w:after="120" w:line="276"/>
        <w:jc w:val="left"/>
      </w:pPr>
      <w:r>
        <w:rPr>
          <w:b w:val="false"/>
          <w:bCs w:val="false"/>
          <w:i w:val="false"/>
          <w:iCs w:val="false"/>
        </w:rPr>
        <w:t xml:space="preserve">Two authorities establish that Known Shipper status and cargo screening are distinct, co-existing controls: the acceptance-and-screening rule</w:t>
      </w:r>
      <w:r>
        <w:rPr>
          <w:b w:val="false"/>
          <w:bCs w:val="false"/>
          <w:i w:val="false"/>
          <w:iCs w:val="false"/>
          <w:vertAlign w:val="superscript"/>
        </w:rPr>
        <w:t xml:space="preserve">2</w:t>
      </w:r>
      <w:r>
        <w:rPr>
          <w:b w:val="false"/>
          <w:bCs w:val="false"/>
          <w:i w:val="false"/>
          <w:iCs w:val="false"/>
        </w:rPr>
        <w:t xml:space="preserve"> and the 2007 statute requiring a system to screen 100 percent of cargo on passenger aircraft, fully in place for domestic cargo since August 2010.</w:t>
      </w:r>
      <w:r>
        <w:rPr>
          <w:b w:val="false"/>
          <w:bCs w:val="false"/>
          <w:i w:val="false"/>
          <w:iCs w:val="false"/>
          <w:vertAlign w:val="superscript"/>
        </w:rPr>
        <w:t xml:space="preserve">8</w:t>
      </w:r>
      <w:r>
        <w:rPr>
          <w:b w:val="false"/>
          <w:bCs w:val="false"/>
          <w:i w:val="false"/>
          <w:iCs w:val="false"/>
        </w:rPr>
        <w:t xml:space="preserve"> </w:t>
      </w:r>
      <w:r>
        <w:rPr>
          <w:b w:val="false"/>
          <w:bCs w:val="false"/>
          <w:i w:val="false"/>
          <w:iCs w:val="false"/>
          <w:vertAlign w:val="superscript"/>
        </w:rPr>
        <w:t xml:space="preserve">9</w:t>
      </w:r>
      <w:r>
        <w:rPr>
          <w:b w:val="false"/>
          <w:bCs w:val="false"/>
          <w:i w:val="false"/>
          <w:iCs w:val="false"/>
        </w:rPr>
        <w:t xml:space="preserve"> This paper treats that screening requirement as settled law, not an open debate. The definition names “no screening waiver” as one fixed condition so the term cannot be read as a commercial shortcut, then moves on; the analytic focus is current supply-chain risk — identity, traceability, and chain of custody — not the pre-2010 history.</w:t>
      </w:r>
    </w:p>
    <w:p>
      <w:pPr>
        <w:pStyle w:val="Heading2"/>
      </w:pPr>
      <w:r>
        <w:t xml:space="preserve">4.5 Status must be continuing, with defined cycles and triggers</w:t>
      </w:r>
    </w:p>
    <w:p>
      <w:pPr>
        <w:spacing w:after="120" w:line="276"/>
        <w:jc w:val="left"/>
      </w:pPr>
      <w:r>
        <w:rPr>
          <w:b w:val="false"/>
          <w:bCs w:val="false"/>
          <w:i w:val="false"/>
          <w:iCs w:val="false"/>
        </w:rPr>
        <w:t xml:space="preserve">The rules contemplate ongoing programs and TSA’s authority to require updated information about a known shipper or applicant.</w:t>
      </w:r>
      <w:r>
        <w:rPr>
          <w:b w:val="false"/>
          <w:bCs w:val="false"/>
          <w:i w:val="false"/>
          <w:iCs w:val="false"/>
          <w:vertAlign w:val="superscript"/>
        </w:rPr>
        <w:t xml:space="preserve">1</w:t>
      </w:r>
      <w:r>
        <w:rPr>
          <w:b w:val="false"/>
          <w:bCs w:val="false"/>
          <w:i w:val="false"/>
          <w:iCs w:val="false"/>
        </w:rPr>
        <w:t xml:space="preserve"> Identity, ownership, and legitimacy are not permanent facts. The definition therefore makes the status continuing and pairs a fixed revalidation cycle with event triggers that force earlier re-verification (Sections 7 and 9), so stale information cannot ride between cycles.</w:t>
      </w:r>
    </w:p>
    <w:p>
      <w:pPr>
        <w:pStyle w:val="Heading2"/>
      </w:pPr>
      <w:r>
        <w:t xml:space="preserve">4.6 The definition must reinforce, not replace, the other layers</w:t>
      </w:r>
    </w:p>
    <w:p>
      <w:pPr>
        <w:spacing w:after="120" w:line="276"/>
        <w:jc w:val="left"/>
      </w:pPr>
      <w:r>
        <w:rPr>
          <w:b w:val="false"/>
          <w:bCs w:val="false"/>
          <w:i w:val="false"/>
          <w:iCs w:val="false"/>
        </w:rPr>
        <w:t xml:space="preserve">TSA secures air cargo through layers — vetting of entities, sorting by source, screening and inspection, chain of custody, and compliance oversight.</w:t>
      </w:r>
      <w:r>
        <w:rPr>
          <w:b w:val="false"/>
          <w:bCs w:val="false"/>
          <w:i w:val="false"/>
          <w:iCs w:val="false"/>
          <w:vertAlign w:val="superscript"/>
        </w:rPr>
        <w:t xml:space="preserve">11</w:t>
      </w:r>
      <w:r>
        <w:rPr>
          <w:b w:val="false"/>
          <w:bCs w:val="false"/>
          <w:i w:val="false"/>
          <w:iCs w:val="false"/>
        </w:rPr>
        <w:t xml:space="preserve"> The Known Shipper designation is the source-trust and sorting layer. The definition is written so that it strengthens, but never substitutes for, the other layers.</w:t>
      </w:r>
    </w:p>
    <w:p>
      <w:r>
        <w:br w:type="page"/>
      </w:r>
    </w:p>
    <w:p>
      <w:pPr>
        <w:pStyle w:val="Heading1"/>
      </w:pPr>
      <w:r>
        <w:t xml:space="preserve">5. Regulatory Alignment</w:t>
      </w:r>
    </w:p>
    <w:p>
      <w:pPr>
        <w:spacing w:after="120" w:line="276"/>
        <w:jc w:val="left"/>
      </w:pPr>
      <w:r>
        <w:rPr>
          <w:b w:val="false"/>
          <w:bCs w:val="false"/>
          <w:i/>
          <w:iCs/>
        </w:rPr>
        <w:t xml:space="preserve">Category: Existing regulatory requirements compared against recommended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3060"/>
        <w:gridCol w:w="1700"/>
      </w:tblGrid>
      <w:tr>
        <w:trPr>
          <w:tblHeader/>
        </w:trPr>
        <w:tc>
          <w:tcPr>
            <w:tcW w:type="dxa" w:w="19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rPr>
              <w:t xml:space="preserve">Source / authority</w:t>
            </w:r>
          </w:p>
        </w:tc>
        <w:tc>
          <w:tcPr>
            <w:tcW w:type="dxa" w:w="2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rPr>
              <w:t xml:space="preserve">Requirement</w:t>
            </w:r>
          </w:p>
        </w:tc>
        <w:tc>
          <w:tcPr>
            <w:tcW w:type="dxa" w:w="306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rPr>
              <w:t xml:space="preserve">How the proposed definition incorporates it</w:t>
            </w:r>
          </w:p>
        </w:tc>
        <w:tc>
          <w:tcPr>
            <w:tcW w:type="dxa" w:w="17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r>
              <w:rPr>
                <w:b/>
                <w:bCs/>
                <w:color w:val="FFFFFF"/>
              </w:rPr>
              <w:t xml:space="preserve">Ambiguity or gap</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rPr>
              <w:t xml:space="preserve">49 CFR § 1544.239 (aircraft operators)</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Known shipper program determines shipper validity and integrity, separates known from unknown shipper cargo, and ensures cargo is screened or inspected per the security program.</w:t>
            </w:r>
          </w:p>
        </w:tc>
        <w:tc>
          <w:tcPr>
            <w:tcW w:type="dxa" w:w="3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Primary clause requires verified identity and legitimate purpose (validity and integrity); conditions require known/unknown sorting and preserve screening and inspection as non-waivable.</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Rule does not state verification criteria publicly; they reside in the security program. Definition names the criteria and leaves numeric cutoffs as security-program parameters.</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bCs/>
              </w:rPr>
              <w:t xml:space="preserve">49 CFR § 1546.215 (foreign air carriers)</w:t>
            </w:r>
          </w:p>
        </w:tc>
        <w:tc>
          <w:tcPr>
            <w:tcW w:type="dxa" w:w="2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rPr>
              <w:t xml:space="preserve">Same three-part program applied to foreign air carriers for cargo loaded in the United States.</w:t>
            </w:r>
          </w:p>
        </w:tc>
        <w:tc>
          <w:tcPr>
            <w:tcW w:type="dxa" w:w="30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rPr>
              <w:t xml:space="preserve">Definition is carrier-type-neutral and applies to foreign air carrier contexts for U.S.-loaded cargo.</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rPr>
              <w:t xml:space="preserve">Foreign-loaded cargo follows the carrier’s program and host-nation regime; see Edge Case 7.9.</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rPr>
              <w:t xml:space="preserve">49 CFR § 1548.17 (indirect air carriers)</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IAC known shipper program determines validity and integrity and separates known from unknown shipper cargo.</w:t>
            </w:r>
          </w:p>
        </w:tc>
        <w:tc>
          <w:tcPr>
            <w:tcW w:type="dxa" w:w="3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Definition supports IAC (freight forwarder) determinations and the sort they must perform before tendering cargo onward.</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Screening of IAC cargo is reinforced by § 1544.205 and the screening statute.</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bCs/>
              </w:rPr>
              <w:t xml:space="preserve">49 CFR § 1544.205 (acceptance and screening of cargo)</w:t>
            </w:r>
          </w:p>
        </w:tc>
        <w:tc>
          <w:tcPr>
            <w:tcW w:type="dxa" w:w="2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rPr>
              <w:t xml:space="preserve">Covered operators accept cargo only from authorized sources and ensure it is screened and inspected before loading.</w:t>
            </w:r>
          </w:p>
        </w:tc>
        <w:tc>
          <w:tcPr>
            <w:tcW w:type="dxa" w:w="30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rPr>
              <w:t xml:space="preserve">“No screening waiver” condition states that status never removes screening, inspection, acceptance, or chain-of-custody obligations.</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rPr>
              <w:t xml:space="preserve">Acceptance sources and exemptions are detailed in security programs; not all are public.</w:t>
            </w:r>
          </w:p>
        </w:tc>
      </w:tr>
      <w:tr>
        <w:tc>
          <w:tcPr>
            <w:tcW w:type="dxa" w:w="19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rPr>
              <w:t xml:space="preserve">71 Fed. Reg. 30478 (May 26, 2006) Air Cargo Final Rule</w:t>
            </w:r>
          </w:p>
        </w:tc>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Established and refined the air cargo framework, including known and unknown shipper cargo handling across Parts 1544/1546/1548.</w:t>
            </w:r>
          </w:p>
        </w:tc>
        <w:tc>
          <w:tcPr>
            <w:tcW w:type="dxa" w:w="30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Definition reflects the framework’s intent: a security designation tied to identity, legitimacy, sorting, and continuing compliance.</w:t>
            </w:r>
          </w:p>
        </w:tc>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rPr>
              <w:t xml:space="preserve">Preamble is rationale, not operational criteria; criteria remain in security programs.</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bCs/>
              </w:rPr>
              <w:t xml:space="preserve">Pub. L. 110-53 § 1602 (2007); 49 U.S.C. § 44901(g)</w:t>
            </w:r>
          </w:p>
        </w:tc>
        <w:tc>
          <w:tcPr>
            <w:tcW w:type="dxa" w:w="2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rPr>
              <w:t xml:space="preserve">Requires a system to screen 100 percent of cargo on passenger aircraft (phased to August 2010).</w:t>
            </w:r>
          </w:p>
        </w:tc>
        <w:tc>
          <w:tcPr>
            <w:tcW w:type="dxa" w:w="306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rPr>
              <w:t xml:space="preserve">Treated as settled law; the definition fixes “no screening waiver” as a standing condition rather than relitigating it.</w:t>
            </w:r>
          </w:p>
        </w:tc>
        <w:tc>
          <w:tcPr>
            <w:tcW w:type="dxa" w:w="1700"/>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r>
              <w:rPr>
                <w:b w:val="false"/>
                <w:bCs w:val="false"/>
              </w:rPr>
              <w:t xml:space="preserve">Statute addresses screening, not the definition directly; alignment is by necessary implication.</w:t>
            </w:r>
          </w:p>
        </w:tc>
      </w:tr>
    </w:tbl>
    <w:p>
      <w:pPr>
        <w:spacing w:after="80" w:line="276"/>
        <w:jc w:val="left"/>
      </w:pPr>
      <w:r>
        <w:rPr>
          <w:b/>
          <w:bCs/>
          <w:i w:val="false"/>
          <w:iCs w:val="false"/>
        </w:rPr>
        <w:t xml:space="preserve">Note. </w:t>
      </w:r>
      <w:r>
        <w:rPr>
          <w:b w:val="false"/>
          <w:bCs w:val="false"/>
          <w:i w:val="false"/>
          <w:iCs w:val="false"/>
        </w:rPr>
        <w:t xml:space="preserve">The regulatory text anchors the verification standard in the security program.</w:t>
      </w:r>
      <w:r>
        <w:rPr>
          <w:b w:val="false"/>
          <w:bCs w:val="false"/>
          <w:i w:val="false"/>
          <w:iCs w:val="false"/>
          <w:vertAlign w:val="superscript"/>
        </w:rPr>
        <w:t xml:space="preserve">1</w:t>
      </w:r>
      <w:r>
        <w:rPr>
          <w:b w:val="false"/>
          <w:bCs w:val="false"/>
          <w:i w:val="false"/>
          <w:iCs w:val="false"/>
        </w:rPr>
        <w:t xml:space="preserve"> </w:t>
      </w:r>
      <w:r>
        <w:rPr>
          <w:b w:val="false"/>
          <w:bCs w:val="false"/>
          <w:i w:val="false"/>
          <w:iCs w:val="false"/>
          <w:vertAlign w:val="superscript"/>
        </w:rPr>
        <w:t xml:space="preserve">3</w:t>
      </w:r>
      <w:r>
        <w:rPr>
          <w:b w:val="false"/>
          <w:bCs w:val="false"/>
          <w:i w:val="false"/>
          <w:iCs w:val="false"/>
        </w:rPr>
        <w:t xml:space="preserve"> </w:t>
      </w:r>
      <w:r>
        <w:rPr>
          <w:b w:val="false"/>
          <w:bCs w:val="false"/>
          <w:i w:val="false"/>
          <w:iCs w:val="false"/>
          <w:vertAlign w:val="superscript"/>
        </w:rPr>
        <w:t xml:space="preserve">4</w:t>
      </w:r>
      <w:r>
        <w:rPr>
          <w:b w:val="false"/>
          <w:bCs w:val="false"/>
          <w:i w:val="false"/>
          <w:iCs w:val="false"/>
        </w:rPr>
        <w:t xml:space="preserve"> The non-public numeric cutoffs are therefore left as security-program parameters (Section 10).</w:t>
      </w:r>
    </w:p>
    <w:p>
      <w:r>
        <w:br w:type="page"/>
      </w:r>
    </w:p>
    <w:p>
      <w:pPr>
        <w:pStyle w:val="Heading1"/>
      </w:pPr>
      <w:r>
        <w:t xml:space="preserve">6. Boundary Conditions: What a Known Shipper Is Not</w:t>
      </w:r>
    </w:p>
    <w:p>
      <w:pPr>
        <w:spacing w:after="120" w:line="276"/>
        <w:jc w:val="left"/>
      </w:pPr>
      <w:r>
        <w:rPr>
          <w:b w:val="false"/>
          <w:bCs w:val="false"/>
          <w:i/>
          <w:iCs/>
        </w:rPr>
        <w:t xml:space="preserve">Category: Analytical interpretation.</w:t>
      </w:r>
    </w:p>
    <w:p>
      <w:pPr>
        <w:pStyle w:val="ListParagraph"/>
        <w:numPr>
          <w:ilvl w:val="0"/>
          <w:numId w:val="2"/>
        </w:numPr>
        <w:spacing w:after="70" w:line="268"/>
      </w:pPr>
      <w:r>
        <w:rPr>
          <w:b/>
          <w:bCs/>
          <w:i w:val="false"/>
          <w:iCs w:val="false"/>
        </w:rPr>
        <w:t xml:space="preserve">Not merely a frequent customer. </w:t>
      </w:r>
      <w:r>
        <w:rPr>
          <w:b w:val="false"/>
          <w:bCs w:val="false"/>
          <w:i w:val="false"/>
          <w:iCs w:val="false"/>
        </w:rPr>
        <w:t xml:space="preserve">Commercial familiarity or volume is not a security determination; the rule requires a determination of validity and integrity.</w:t>
      </w:r>
      <w:r>
        <w:rPr>
          <w:b w:val="false"/>
          <w:bCs w:val="false"/>
          <w:i w:val="false"/>
          <w:iCs w:val="false"/>
          <w:vertAlign w:val="superscript"/>
        </w:rPr>
        <w:t xml:space="preserve">1</w:t>
      </w:r>
    </w:p>
    <w:p>
      <w:pPr>
        <w:pStyle w:val="ListParagraph"/>
        <w:numPr>
          <w:ilvl w:val="0"/>
          <w:numId w:val="2"/>
        </w:numPr>
        <w:spacing w:after="70" w:line="268"/>
      </w:pPr>
      <w:r>
        <w:rPr>
          <w:b/>
          <w:bCs/>
          <w:i w:val="false"/>
          <w:iCs w:val="false"/>
        </w:rPr>
        <w:t xml:space="preserve">Not trusted forever. </w:t>
      </w:r>
      <w:r>
        <w:rPr>
          <w:b w:val="false"/>
          <w:bCs w:val="false"/>
          <w:i w:val="false"/>
          <w:iCs w:val="false"/>
        </w:rPr>
        <w:t xml:space="preserve">Status is a point-in-time determination that must be revalidated on a cycle and revoked when the standard fails.</w:t>
      </w:r>
    </w:p>
    <w:p>
      <w:pPr>
        <w:pStyle w:val="ListParagraph"/>
        <w:numPr>
          <w:ilvl w:val="0"/>
          <w:numId w:val="2"/>
        </w:numPr>
        <w:spacing w:after="70" w:line="268"/>
      </w:pPr>
      <w:r>
        <w:rPr>
          <w:b/>
          <w:bCs/>
          <w:i w:val="false"/>
          <w:iCs w:val="false"/>
        </w:rPr>
        <w:t xml:space="preserve">Not a substitute for screening. </w:t>
      </w:r>
      <w:r>
        <w:rPr>
          <w:b w:val="false"/>
          <w:bCs w:val="false"/>
          <w:i w:val="false"/>
          <w:iCs w:val="false"/>
        </w:rPr>
        <w:t xml:space="preserve">Cargo on passenger aircraft is still screened; status governs source trust and sorting, not threat clearance of the shipment.</w:t>
      </w:r>
      <w:r>
        <w:rPr>
          <w:b w:val="false"/>
          <w:bCs w:val="false"/>
          <w:i w:val="false"/>
          <w:iCs w:val="false"/>
          <w:vertAlign w:val="superscript"/>
        </w:rPr>
        <w:t xml:space="preserve">2</w:t>
      </w:r>
      <w:r>
        <w:rPr>
          <w:b w:val="false"/>
          <w:bCs w:val="false"/>
          <w:i w:val="false"/>
          <w:iCs w:val="false"/>
        </w:rPr>
        <w:t xml:space="preserve"> </w:t>
      </w:r>
      <w:r>
        <w:rPr>
          <w:b w:val="false"/>
          <w:bCs w:val="false"/>
          <w:i w:val="false"/>
          <w:iCs w:val="false"/>
          <w:vertAlign w:val="superscript"/>
        </w:rPr>
        <w:t xml:space="preserve">8</w:t>
      </w:r>
    </w:p>
    <w:p>
      <w:pPr>
        <w:pStyle w:val="ListParagraph"/>
        <w:numPr>
          <w:ilvl w:val="0"/>
          <w:numId w:val="2"/>
        </w:numPr>
        <w:spacing w:after="70" w:line="268"/>
      </w:pPr>
      <w:r>
        <w:rPr>
          <w:b/>
          <w:bCs/>
          <w:i w:val="false"/>
          <w:iCs w:val="false"/>
        </w:rPr>
        <w:t xml:space="preserve">Not proof a shipment is threat-free. </w:t>
      </w:r>
      <w:r>
        <w:rPr>
          <w:b w:val="false"/>
          <w:bCs w:val="false"/>
          <w:i w:val="false"/>
          <w:iCs w:val="false"/>
        </w:rPr>
        <w:t xml:space="preserve">A verified source can still tender a tampered, compromised, or unwitting shipment; that is what screening, inspection, and chain of custody address.</w:t>
      </w:r>
    </w:p>
    <w:p>
      <w:pPr>
        <w:pStyle w:val="ListParagraph"/>
        <w:numPr>
          <w:ilvl w:val="0"/>
          <w:numId w:val="2"/>
        </w:numPr>
        <w:spacing w:after="70" w:line="268"/>
      </w:pPr>
      <w:r>
        <w:rPr>
          <w:b/>
          <w:bCs/>
          <w:i w:val="false"/>
          <w:iCs w:val="false"/>
        </w:rPr>
        <w:t xml:space="preserve">Not transferable. </w:t>
      </w:r>
      <w:r>
        <w:rPr>
          <w:b w:val="false"/>
          <w:bCs w:val="false"/>
          <w:i w:val="false"/>
          <w:iCs w:val="false"/>
        </w:rPr>
        <w:t xml:space="preserve">The status is specific to the verified entity and cannot be lent, sold, or inherited without independent verification.</w:t>
      </w:r>
    </w:p>
    <w:p>
      <w:pPr>
        <w:pStyle w:val="ListParagraph"/>
        <w:numPr>
          <w:ilvl w:val="0"/>
          <w:numId w:val="2"/>
        </w:numPr>
        <w:spacing w:after="70" w:line="268"/>
      </w:pPr>
      <w:r>
        <w:rPr>
          <w:b/>
          <w:bCs/>
          <w:i w:val="false"/>
          <w:iCs w:val="false"/>
        </w:rPr>
        <w:t xml:space="preserve">Not applicable where the basics fail. </w:t>
      </w:r>
      <w:r>
        <w:rPr>
          <w:b w:val="false"/>
          <w:bCs w:val="false"/>
          <w:i w:val="false"/>
          <w:iCs w:val="false"/>
        </w:rPr>
        <w:t xml:space="preserve">Where identity, origin, custody, or the shipper-to-cargo link cannot be established, the entity is an unknown shipper for that cargo.</w:t>
      </w:r>
    </w:p>
    <w:p>
      <w:r>
        <w:br w:type="page"/>
      </w:r>
    </w:p>
    <w:p>
      <w:pPr>
        <w:pStyle w:val="Heading1"/>
      </w:pPr>
      <w:r>
        <w:t xml:space="preserve">7. Edge Cases and Decision Criteria</w:t>
      </w:r>
    </w:p>
    <w:p>
      <w:pPr>
        <w:spacing w:after="120" w:line="276"/>
        <w:jc w:val="left"/>
      </w:pPr>
      <w:r>
        <w:rPr>
          <w:b w:val="false"/>
          <w:bCs w:val="false"/>
          <w:i/>
          <w:iCs/>
        </w:rPr>
        <w:t xml:space="preserve">Category: Analytical interpretation. Each case states the observable factors an auditor or risk model evaluates (so the decision is testable, not discretionary) and identifies which numeric cutoff is a security-program parameter. No non-public criteria are disclosed.</w:t>
      </w:r>
    </w:p>
    <w:p>
      <w:pPr>
        <w:pBdr>
          <w:top w:val="single" w:color="BFBFBF" w:sz="1"/>
          <w:left w:val="single" w:color="BFBFBF" w:sz="1"/>
          <w:bottom w:val="single" w:color="BFBFBF" w:sz="1"/>
          <w:right w:val="single" w:color="BFBFBF" w:sz="1"/>
        </w:pBdr>
        <w:shd w:fill="F2F2F2" w:val="clear"/>
        <w:spacing w:after="120" w:before="60"/>
      </w:pPr>
      <w:r>
        <w:rPr>
          <w:b/>
          <w:bCs/>
        </w:rPr>
        <w:t xml:space="preserve">Common decision frame. </w:t>
      </w:r>
      <w:r>
        <w:t xml:space="preserve">For every case below, an entity is placed in “known” status only when all primary-clause conditions in Section 2 test true. Three observable factors recur and should be captured as discrete data fields: (a) </w:t>
      </w:r>
      <w:r>
        <w:rPr>
          <w:b/>
          <w:bCs/>
        </w:rPr>
        <w:t xml:space="preserve">identity confirmation</w:t>
      </w:r>
      <w:r>
        <w:t xml:space="preserve"> — legal identity and physical shipping location independently confirmed (pass/fail); (b) </w:t>
      </w:r>
      <w:r>
        <w:rPr>
          <w:b/>
          <w:bCs/>
        </w:rPr>
        <w:t xml:space="preserve">purpose traceability</w:t>
      </w:r>
      <w:r>
        <w:t xml:space="preserve"> — the shipping purpose is documented and traceable to the verified entity (pass/fail); and (c) </w:t>
      </w:r>
      <w:r>
        <w:rPr>
          <w:b/>
          <w:bCs/>
        </w:rPr>
        <w:t xml:space="preserve">history depth</w:t>
      </w:r>
      <w:r>
        <w:t xml:space="preserve"> — count of prior verified tenders and elapsed time as a verified entity (continuous). Factors (a) and (b) are gates that must pass; (c) sets the monitoring tier. The threshold values that move an entity between tiers are security-program parameters.</w:t>
      </w:r>
    </w:p>
    <w:p>
      <w:pPr>
        <w:pStyle w:val="Heading2"/>
      </w:pPr>
      <w:r>
        <w:t xml:space="preserve">7.1 New business with limited shipping history</w:t>
      </w:r>
    </w:p>
    <w:p>
      <w:pPr>
        <w:spacing w:after="120" w:line="276"/>
        <w:jc w:val="left"/>
      </w:pPr>
      <w:r>
        <w:rPr>
          <w:b w:val="false"/>
          <w:bCs w:val="false"/>
          <w:i w:val="false"/>
          <w:iCs w:val="false"/>
        </w:rPr>
        <w:t xml:space="preserve">Decision: identity confirmation and purpose traceability are the pass/fail gates; limited history fails neither, because the rule turns on validity and integrity, not tenure.</w:t>
      </w:r>
      <w:r>
        <w:rPr>
          <w:b w:val="false"/>
          <w:bCs w:val="false"/>
          <w:i w:val="false"/>
          <w:iCs w:val="false"/>
          <w:vertAlign w:val="superscript"/>
        </w:rPr>
        <w:t xml:space="preserve">1</w:t>
      </w:r>
      <w:r>
        <w:rPr>
          <w:b w:val="false"/>
          <w:bCs w:val="false"/>
          <w:i w:val="false"/>
          <w:iCs w:val="false"/>
        </w:rPr>
        <w:t xml:space="preserve"> A new business that passes both gates is eligible for “known” status but enters the highest monitoring tier — shortest revalidation interval and tightest tender-anomaly tolerance — until history depth crosses the security-program threshold. “New” is therefore an elevated-monitoring outcome, not an “unknown” outcome. The interval length and the history-depth threshold are security-program parameters.</w:t>
      </w:r>
    </w:p>
    <w:p>
      <w:pPr>
        <w:pStyle w:val="Heading2"/>
      </w:pPr>
      <w:r>
        <w:t xml:space="preserve">7.2 Individual shipper</w:t>
      </w:r>
    </w:p>
    <w:p>
      <w:pPr>
        <w:spacing w:after="120" w:line="276"/>
        <w:jc w:val="left"/>
      </w:pPr>
      <w:r>
        <w:rPr>
          <w:b w:val="false"/>
          <w:bCs w:val="false"/>
          <w:i w:val="false"/>
          <w:iCs w:val="false"/>
        </w:rPr>
        <w:t xml:space="preserve">Decision: the same two gates apply to a person as to a firm — confirmed identity and confirmed legitimate purpose. The definition reads “person or business entity” so individuals are excluded only by failing a gate, never by form alone.</w:t>
      </w:r>
    </w:p>
    <w:p>
      <w:pPr>
        <w:pStyle w:val="Heading2"/>
      </w:pPr>
      <w:r>
        <w:t xml:space="preserve">7.3 E-commerce marketplace seller</w:t>
      </w:r>
    </w:p>
    <w:p>
      <w:pPr>
        <w:spacing w:after="120" w:line="276"/>
        <w:jc w:val="left"/>
      </w:pPr>
      <w:r>
        <w:rPr>
          <w:b w:val="false"/>
          <w:bCs w:val="false"/>
          <w:i w:val="false"/>
          <w:iCs w:val="false"/>
        </w:rPr>
        <w:t xml:space="preserve">Decision: the validated entity is the one that actually tenders the cargo. Test which party controls the tender — the seller, the marketplace, or a fulfillment provider — and apply the gates to that party. A marketplace’s brand does not pass the gates for an unverified seller, and status is non-transferable between them. If the tendering party cannot be resolved, the cargo is unknown.</w:t>
      </w:r>
    </w:p>
    <w:p>
      <w:pPr>
        <w:pStyle w:val="Heading2"/>
      </w:pPr>
      <w:r>
        <w:t xml:space="preserve">7.4 Third-party logistics provider (3PL)</w:t>
      </w:r>
    </w:p>
    <w:p>
      <w:pPr>
        <w:spacing w:after="120" w:line="276"/>
        <w:jc w:val="left"/>
      </w:pPr>
      <w:r>
        <w:rPr>
          <w:b w:val="false"/>
          <w:bCs w:val="false"/>
          <w:i w:val="false"/>
          <w:iCs w:val="false"/>
        </w:rPr>
        <w:t xml:space="preserve">Decision: identify whether the 3PL is itself an indirect air carrier or acts through one. Under § 1548.17 the IAC must determine validity and integrity and sort known from unknown cargo.</w:t>
      </w:r>
      <w:r>
        <w:rPr>
          <w:b w:val="false"/>
          <w:bCs w:val="false"/>
          <w:i w:val="false"/>
          <w:iCs w:val="false"/>
          <w:vertAlign w:val="superscript"/>
        </w:rPr>
        <w:t xml:space="preserve">4</w:t>
      </w:r>
      <w:r>
        <w:rPr>
          <w:b w:val="false"/>
          <w:bCs w:val="false"/>
          <w:i w:val="false"/>
          <w:iCs w:val="false"/>
        </w:rPr>
        <w:t xml:space="preserve"> Apply the gates to the true originating shipper; the 3PL’s own familiarity with a customer does not substitute for verifying that underlying shipper.</w:t>
      </w:r>
    </w:p>
    <w:p>
      <w:pPr>
        <w:pStyle w:val="Heading2"/>
      </w:pPr>
      <w:r>
        <w:t xml:space="preserve">7.5 Consolidated cargo</w:t>
      </w:r>
    </w:p>
    <w:p>
      <w:pPr>
        <w:spacing w:after="120" w:line="276"/>
        <w:jc w:val="left"/>
      </w:pPr>
      <w:r>
        <w:rPr>
          <w:b w:val="false"/>
          <w:bCs w:val="false"/>
          <w:i w:val="false"/>
          <w:iCs w:val="false"/>
        </w:rPr>
        <w:t xml:space="preserve">Decision: consolidation — commonly performed by freight forwarders combining many shippers’ cargo</w:t>
      </w:r>
      <w:r>
        <w:rPr>
          <w:b w:val="false"/>
          <w:bCs w:val="false"/>
          <w:i w:val="false"/>
          <w:iCs w:val="false"/>
          <w:vertAlign w:val="superscript"/>
        </w:rPr>
        <w:t xml:space="preserve">11</w:t>
      </w:r>
      <w:r>
        <w:rPr>
          <w:b w:val="false"/>
          <w:bCs w:val="false"/>
          <w:i w:val="false"/>
          <w:iCs w:val="false"/>
        </w:rPr>
        <w:t xml:space="preserve"> — does not let one “known” label cover the lot. Each underlying shipper must pass the gates on its own. The consolidation’s status is the floor of its components: if any component is unknown, that portion is handled as unknown. Cargo of unknown origin cannot be converted to “known” by bundling.</w:t>
      </w:r>
    </w:p>
    <w:p>
      <w:pPr>
        <w:pStyle w:val="Heading2"/>
      </w:pPr>
      <w:r>
        <w:t xml:space="preserve">7.6 Drop-shipped cargo</w:t>
      </w:r>
    </w:p>
    <w:p>
      <w:pPr>
        <w:spacing w:after="120" w:line="276"/>
        <w:jc w:val="left"/>
      </w:pPr>
      <w:r>
        <w:rPr>
          <w:b w:val="false"/>
          <w:bCs w:val="false"/>
          <w:i w:val="false"/>
          <w:iCs w:val="false"/>
        </w:rPr>
        <w:t xml:space="preserve">Decision: when the party tendering cargo is not the party that produced or held it, test whether the chain from origin to tender is documented and unbroken. The gate is chain completeness: origin identified, custody accounted for at each hand-off, tendering party verified. If any link is missing, the cargo is unknown regardless of the seller’s standing.</w:t>
      </w:r>
    </w:p>
    <w:p>
      <w:pPr>
        <w:pStyle w:val="Heading2"/>
      </w:pPr>
      <w:r>
        <w:t xml:space="preserve">7.7 Cargo tendered through an indirect air carrier</w:t>
      </w:r>
    </w:p>
    <w:p>
      <w:pPr>
        <w:spacing w:after="120" w:line="276"/>
        <w:jc w:val="left"/>
      </w:pPr>
      <w:r>
        <w:rPr>
          <w:b w:val="false"/>
          <w:bCs w:val="false"/>
          <w:i w:val="false"/>
          <w:iCs w:val="false"/>
        </w:rPr>
        <w:t xml:space="preserve">Decision: this is the core § 1548.17 case. The IAC runs the known shipper program, applies the gates, and sorts known from unknown cargo before offering it onward.</w:t>
      </w:r>
      <w:r>
        <w:rPr>
          <w:b w:val="false"/>
          <w:bCs w:val="false"/>
          <w:i w:val="false"/>
          <w:iCs w:val="false"/>
          <w:vertAlign w:val="superscript"/>
        </w:rPr>
        <w:t xml:space="preserve">4</w:t>
      </w:r>
      <w:r>
        <w:rPr>
          <w:b w:val="false"/>
          <w:bCs w:val="false"/>
          <w:i w:val="false"/>
          <w:iCs w:val="false"/>
        </w:rPr>
        <w:t xml:space="preserve"> The IAC is accountable for the determination under its TSA-approved security program.</w:t>
      </w:r>
    </w:p>
    <w:p>
      <w:pPr>
        <w:pStyle w:val="Heading2"/>
      </w:pPr>
      <w:r>
        <w:t xml:space="preserve">7.8 Cargo moving only on all-cargo aircraft</w:t>
      </w:r>
    </w:p>
    <w:p>
      <w:pPr>
        <w:spacing w:after="120" w:line="276"/>
        <w:jc w:val="left"/>
      </w:pPr>
      <w:r>
        <w:rPr>
          <w:b w:val="false"/>
          <w:bCs w:val="false"/>
          <w:i w:val="false"/>
          <w:iCs w:val="false"/>
        </w:rPr>
        <w:t xml:space="preserve">Decision: the 100 percent passenger-aircraft screening mandate is specific to passenger aircraft.</w:t>
      </w:r>
      <w:r>
        <w:rPr>
          <w:b w:val="false"/>
          <w:bCs w:val="false"/>
          <w:i w:val="false"/>
          <w:iCs w:val="false"/>
          <w:vertAlign w:val="superscript"/>
        </w:rPr>
        <w:t xml:space="preserve">8</w:t>
      </w:r>
      <w:r>
        <w:rPr>
          <w:b w:val="false"/>
          <w:bCs w:val="false"/>
          <w:i w:val="false"/>
          <w:iCs w:val="false"/>
        </w:rPr>
        <w:t xml:space="preserve"> All-cargo operations follow the all-cargo framework and their own security-program controls.</w:t>
      </w:r>
      <w:r>
        <w:rPr>
          <w:b w:val="false"/>
          <w:bCs w:val="false"/>
          <w:i w:val="false"/>
          <w:iCs w:val="false"/>
          <w:vertAlign w:val="superscript"/>
        </w:rPr>
        <w:t xml:space="preserve">5</w:t>
      </w:r>
      <w:r>
        <w:rPr>
          <w:b w:val="false"/>
          <w:bCs w:val="false"/>
          <w:i w:val="false"/>
          <w:iCs w:val="false"/>
        </w:rPr>
        <w:t xml:space="preserve"> The known/unknown sort and the Section 2 gates still apply; the screening controls that attach differ from the passenger-aircraft regime and are defined by the applicable security program.</w:t>
      </w:r>
    </w:p>
    <w:p>
      <w:pPr>
        <w:pStyle w:val="Heading2"/>
      </w:pPr>
      <w:r>
        <w:t xml:space="preserve">7.9 Cargo loaded outside the United States</w:t>
      </w:r>
    </w:p>
    <w:p>
      <w:pPr>
        <w:spacing w:after="120" w:line="276"/>
        <w:jc w:val="left"/>
      </w:pPr>
      <w:r>
        <w:rPr>
          <w:b w:val="false"/>
          <w:bCs w:val="false"/>
          <w:i w:val="false"/>
          <w:iCs w:val="false"/>
        </w:rPr>
        <w:t xml:space="preserve">Decision: the known shipper sections address cargo to be loaded in the United States.</w:t>
      </w:r>
      <w:r>
        <w:rPr>
          <w:b w:val="false"/>
          <w:bCs w:val="false"/>
          <w:i w:val="false"/>
          <w:iCs w:val="false"/>
          <w:vertAlign w:val="superscript"/>
        </w:rPr>
        <w:t xml:space="preserve">1</w:t>
      </w:r>
      <w:r>
        <w:rPr>
          <w:b w:val="false"/>
          <w:bCs w:val="false"/>
          <w:i w:val="false"/>
          <w:iCs w:val="false"/>
        </w:rPr>
        <w:t xml:space="preserve"> </w:t>
      </w:r>
      <w:r>
        <w:rPr>
          <w:b w:val="false"/>
          <w:bCs w:val="false"/>
          <w:i w:val="false"/>
          <w:iCs w:val="false"/>
          <w:vertAlign w:val="superscript"/>
        </w:rPr>
        <w:t xml:space="preserve">3</w:t>
      </w:r>
      <w:r>
        <w:rPr>
          <w:b w:val="false"/>
          <w:bCs w:val="false"/>
          <w:i w:val="false"/>
          <w:iCs w:val="false"/>
        </w:rPr>
        <w:t xml:space="preserve"> For cargo loaded abroad, the carrier carries out its security-program requirements,</w:t>
      </w:r>
      <w:r>
        <w:rPr>
          <w:b w:val="false"/>
          <w:bCs w:val="false"/>
          <w:i w:val="false"/>
          <w:iCs w:val="false"/>
          <w:vertAlign w:val="superscript"/>
        </w:rPr>
        <w:t xml:space="preserve">2</w:t>
      </w:r>
      <w:r>
        <w:rPr>
          <w:b w:val="false"/>
          <w:bCs w:val="false"/>
          <w:i w:val="false"/>
          <w:iCs w:val="false"/>
        </w:rPr>
        <w:t xml:space="preserve"> alongside host-nation regimes and inbound-cargo programs. The definition maps most cleanly onto U.S.-loaded cargo; foreign-loaded cargo is handled through the carrier’s program and applicable international arrangements.</w:t>
      </w:r>
    </w:p>
    <w:p>
      <w:pPr>
        <w:pStyle w:val="Heading2"/>
      </w:pPr>
      <w:r>
        <w:t xml:space="preserve">7.10 Shipper with stale or changed business information</w:t>
      </w:r>
    </w:p>
    <w:p>
      <w:pPr>
        <w:spacing w:after="120" w:line="276"/>
        <w:jc w:val="left"/>
      </w:pPr>
      <w:r>
        <w:rPr>
          <w:b w:val="false"/>
          <w:bCs w:val="false"/>
          <w:i w:val="false"/>
          <w:iCs w:val="false"/>
        </w:rPr>
        <w:t xml:space="preserve">Decision: defined events — changed legal name or ownership, new shipping address, or a lapse in the shipper’s own controls — are re-verification triggers that fire independently of the revalidation cycle. On a trigger, status is suspended pending re-verification; the entity is treated as not currently meeting the standard until the identity and purpose gates pass again. The rules support this because TSA may require updated information about a known shipper.</w:t>
      </w:r>
      <w:r>
        <w:rPr>
          <w:b w:val="false"/>
          <w:bCs w:val="false"/>
          <w:i w:val="false"/>
          <w:iCs w:val="false"/>
          <w:vertAlign w:val="superscript"/>
        </w:rPr>
        <w:t xml:space="preserve">1</w:t>
      </w:r>
      <w:r>
        <w:rPr>
          <w:b w:val="false"/>
          <w:bCs w:val="false"/>
          <w:i w:val="false"/>
          <w:iCs w:val="false"/>
        </w:rPr>
        <w:t xml:space="preserve"> The trigger list is fixed in policy; the suspension and re-verification timing are security-program parameters.</w:t>
      </w:r>
    </w:p>
    <w:p>
      <w:r>
        <w:br w:type="page"/>
      </w:r>
    </w:p>
    <w:p>
      <w:pPr>
        <w:pStyle w:val="Heading1"/>
      </w:pPr>
      <w:r>
        <w:t xml:space="preserve">8. Recommended TSA Policy Caption and Operating Principles</w:t>
      </w:r>
    </w:p>
    <w:p>
      <w:pPr>
        <w:spacing w:after="120" w:line="276"/>
        <w:jc w:val="left"/>
      </w:pPr>
      <w:r>
        <w:rPr>
          <w:b w:val="false"/>
          <w:bCs w:val="false"/>
          <w:i/>
          <w:iCs/>
        </w:rPr>
        <w:t xml:space="preserve">Category: Recommended policy language. To avoid duplication, this section does not restate the definition; the controlling text is the primary clause and conditions in Section 2. This section supplies only a short caption for a memorandum heading and the operating principles that travel with the definition.</w:t>
      </w:r>
    </w:p>
    <w:p>
      <w:pPr>
        <w:spacing w:after="60" w:line="276"/>
        <w:jc w:val="left"/>
      </w:pPr>
      <w:r>
        <w:rPr>
          <w:b/>
          <w:bCs/>
          <w:i w:val="false"/>
          <w:iCs w:val="false"/>
        </w:rPr>
        <w:t xml:space="preserve">8.1 Memorandum caption. </w:t>
      </w:r>
    </w:p>
    <w:p>
      <w:pPr>
        <w:pBdr>
          <w:top w:val="single" w:color="BFBFBF" w:sz="1"/>
          <w:left w:val="single" w:color="BFBFBF" w:sz="1"/>
          <w:bottom w:val="single" w:color="BFBFBF" w:sz="1"/>
          <w:right w:val="single" w:color="BFBFBF" w:sz="1"/>
        </w:pBdr>
        <w:shd w:fill="F2F2F2" w:val="clear"/>
        <w:spacing w:after="120" w:before="60"/>
      </w:pPr>
      <w:r>
        <w:t xml:space="preserve">“Known Shipper” means a verified shipper as defined in Section 2 of this paper: an entity whose identity, shipping location, and legitimate shipping purpose have been verified to the applicable TSA-approved security-program standard, eligible to tender cargo where Known Shipper status is required, subject to all screening and chain-of-custody controls, and subject to revalidation, re-verification triggers, and revocation.</w:t>
      </w:r>
    </w:p>
    <w:p>
      <w:pPr>
        <w:spacing w:after="60" w:line="276"/>
        <w:jc w:val="left"/>
      </w:pPr>
      <w:r>
        <w:rPr>
          <w:b/>
          <w:bCs/>
          <w:i w:val="false"/>
          <w:iCs w:val="false"/>
        </w:rPr>
        <w:t xml:space="preserve">8.2 Operating principles (companion language). </w:t>
      </w:r>
    </w:p>
    <w:p>
      <w:pPr>
        <w:pStyle w:val="ListParagraph"/>
        <w:numPr>
          <w:ilvl w:val="0"/>
          <w:numId w:val="2"/>
        </w:numPr>
        <w:spacing w:after="70" w:line="268"/>
      </w:pPr>
      <w:r>
        <w:rPr>
          <w:b w:val="false"/>
          <w:bCs w:val="false"/>
          <w:i w:val="false"/>
          <w:iCs w:val="false"/>
        </w:rPr>
        <w:t xml:space="preserve">Source trust and threat clearance are distinct. Status answers whether the source is verified; screening and inspection answer whether the shipment is safe to load. Both apply.</w:t>
      </w:r>
    </w:p>
    <w:p>
      <w:pPr>
        <w:pStyle w:val="ListParagraph"/>
        <w:numPr>
          <w:ilvl w:val="0"/>
          <w:numId w:val="2"/>
        </w:numPr>
        <w:spacing w:after="70" w:line="268"/>
      </w:pPr>
      <w:r>
        <w:rPr>
          <w:b w:val="false"/>
          <w:bCs w:val="false"/>
          <w:i w:val="false"/>
          <w:iCs w:val="false"/>
        </w:rPr>
        <w:t xml:space="preserve">When in doubt, treat as unknown. If identity, origin, custody, or the shipper-to-cargo link cannot be established, the cargo is handled as unknown shipper cargo.</w:t>
      </w:r>
    </w:p>
    <w:p>
      <w:pPr>
        <w:pStyle w:val="ListParagraph"/>
        <w:numPr>
          <w:ilvl w:val="0"/>
          <w:numId w:val="2"/>
        </w:numPr>
        <w:spacing w:after="70" w:line="268"/>
      </w:pPr>
      <w:r>
        <w:rPr>
          <w:b w:val="false"/>
          <w:bCs w:val="false"/>
          <w:i w:val="false"/>
          <w:iCs w:val="false"/>
        </w:rPr>
        <w:t xml:space="preserve">Earned and kept, not assumed. Status rests on an affirmative determination and is revalidated on a cycle, re-verified on defined triggers, and revoked when the standard fails.</w:t>
      </w:r>
    </w:p>
    <w:p>
      <w:pPr>
        <w:pStyle w:val="ListParagraph"/>
        <w:numPr>
          <w:ilvl w:val="0"/>
          <w:numId w:val="2"/>
        </w:numPr>
        <w:spacing w:after="70" w:line="268"/>
      </w:pPr>
      <w:r>
        <w:rPr>
          <w:b w:val="false"/>
          <w:bCs w:val="false"/>
          <w:i w:val="false"/>
          <w:iCs w:val="false"/>
        </w:rPr>
        <w:t xml:space="preserve">Criteria public, settings protected. The criteria to be measured are stated here; verification thresholds, cycle lengths, and system specifics reside in the security program and may be Sensitive Security Information under 49 CFR Part 1520.</w:t>
      </w:r>
    </w:p>
    <w:p>
      <w:r>
        <w:br w:type="page"/>
      </w:r>
    </w:p>
    <w:p>
      <w:pPr>
        <w:pStyle w:val="Heading1"/>
      </w:pPr>
      <w:r>
        <w:t xml:space="preserve">9. Implementation Considerations</w:t>
      </w:r>
    </w:p>
    <w:p>
      <w:pPr>
        <w:spacing w:after="120" w:line="276"/>
        <w:jc w:val="left"/>
      </w:pPr>
      <w:r>
        <w:rPr>
          <w:b w:val="false"/>
          <w:bCs w:val="false"/>
          <w:i/>
          <w:iCs/>
        </w:rPr>
        <w:t xml:space="preserve">Category: Analytical interpretation and recommended practice.</w:t>
      </w:r>
    </w:p>
    <w:p>
      <w:pPr>
        <w:pStyle w:val="Heading2"/>
      </w:pPr>
      <w:r>
        <w:t xml:space="preserve">9.1 Training</w:t>
      </w:r>
    </w:p>
    <w:p>
      <w:pPr>
        <w:spacing w:after="120" w:line="276"/>
        <w:jc w:val="left"/>
      </w:pPr>
      <w:r>
        <w:rPr>
          <w:b w:val="false"/>
          <w:bCs w:val="false"/>
          <w:i w:val="false"/>
          <w:iCs w:val="false"/>
        </w:rPr>
        <w:t xml:space="preserve">Train acceptance and handling personnel that “known” is a verification status tested against the Section 2 conditions, not customer familiarity, and that it never cancels screening. Use the plain-language definition (Section 3) as the baseline text.</w:t>
      </w:r>
    </w:p>
    <w:p>
      <w:pPr>
        <w:pStyle w:val="Heading2"/>
      </w:pPr>
      <w:r>
        <w:t xml:space="preserve">9.2 Compliance inspections</w:t>
      </w:r>
    </w:p>
    <w:p>
      <w:pPr>
        <w:spacing w:after="120" w:line="276"/>
        <w:jc w:val="left"/>
      </w:pPr>
      <w:r>
        <w:rPr>
          <w:b w:val="false"/>
          <w:bCs w:val="false"/>
          <w:i w:val="false"/>
          <w:iCs w:val="false"/>
        </w:rPr>
        <w:t xml:space="preserve">Inspections should test whether the regulated party recorded the two pass/fail gates (identity, purpose), assigned a monitoring tier from history depth, and in fact separated known from unknown cargo.</w:t>
      </w:r>
      <w:r>
        <w:rPr>
          <w:b w:val="false"/>
          <w:bCs w:val="false"/>
          <w:i w:val="false"/>
          <w:iCs w:val="false"/>
          <w:vertAlign w:val="superscript"/>
        </w:rPr>
        <w:t xml:space="preserve">1</w:t>
      </w:r>
      <w:r>
        <w:rPr>
          <w:b w:val="false"/>
          <w:bCs w:val="false"/>
          <w:i w:val="false"/>
          <w:iCs w:val="false"/>
        </w:rPr>
        <w:t xml:space="preserve"> Prior GAO work found violations in a substantial share of inspected freight forwarders, which is why the determination and sorting steps need active verification rather than assumption.</w:t>
      </w:r>
      <w:r>
        <w:rPr>
          <w:b w:val="false"/>
          <w:bCs w:val="false"/>
          <w:i w:val="false"/>
          <w:iCs w:val="false"/>
          <w:vertAlign w:val="superscript"/>
        </w:rPr>
        <w:t xml:space="preserve">11</w:t>
      </w:r>
      <w:r>
        <w:rPr>
          <w:b w:val="false"/>
          <w:bCs w:val="false"/>
          <w:i w:val="false"/>
          <w:iCs w:val="false"/>
        </w:rPr>
        <w:t xml:space="preserve"> (single-source / unconfirmed as to the specific violation rate.)</w:t>
      </w:r>
    </w:p>
    <w:p>
      <w:pPr>
        <w:pStyle w:val="Heading2"/>
      </w:pPr>
      <w:r>
        <w:t xml:space="preserve">9.3 Industry outreach</w:t>
      </w:r>
    </w:p>
    <w:p>
      <w:pPr>
        <w:spacing w:after="120" w:line="276"/>
        <w:jc w:val="left"/>
      </w:pPr>
      <w:r>
        <w:rPr>
          <w:b w:val="false"/>
          <w:bCs w:val="false"/>
          <w:i w:val="false"/>
          <w:iCs w:val="false"/>
        </w:rPr>
        <w:t xml:space="preserve">Communicate the boundary conditions (Section 6) and the trigger list (Section 7.10) so the term is not marketed as a screening shortcut or a permanent badge.</w:t>
      </w:r>
    </w:p>
    <w:p>
      <w:pPr>
        <w:pStyle w:val="Heading2"/>
      </w:pPr>
      <w:r>
        <w:t xml:space="preserve">9.4 Data-quality requirements and data half-life</w:t>
      </w:r>
    </w:p>
    <w:p>
      <w:pPr>
        <w:spacing w:after="120" w:line="276"/>
        <w:jc w:val="left"/>
      </w:pPr>
      <w:r>
        <w:rPr>
          <w:b w:val="false"/>
          <w:bCs w:val="false"/>
          <w:i w:val="false"/>
          <w:iCs w:val="false"/>
        </w:rPr>
        <w:t xml:space="preserve">Because status depends on verifiable identity and location, the underlying fields — legal name, physical address, responsible parties, purpose — must be accurate, current, and auditable. Treat verification data as having a defined </w:t>
      </w:r>
      <w:r>
        <w:rPr>
          <w:b w:val="false"/>
          <w:bCs w:val="false"/>
          <w:i/>
          <w:iCs/>
        </w:rPr>
        <w:t xml:space="preserve">half-life</w:t>
      </w:r>
      <w:r>
        <w:rPr>
          <w:b w:val="false"/>
          <w:bCs w:val="false"/>
          <w:i w:val="false"/>
          <w:iCs w:val="false"/>
        </w:rPr>
        <w:t xml:space="preserve">: a maximum age after which an unconfirmed field is presumed stale and forces re-verification, independent of the revalidation cycle. The paper fixes the rule (every verified field carries a maximum age; exceeding it suspends reliance on that field); the maximum-age value itself is a security-program parameter, because publishing it would map TSA’s tolerance for unverified data.</w:t>
      </w:r>
    </w:p>
    <w:p>
      <w:pPr>
        <w:pStyle w:val="Heading2"/>
      </w:pPr>
      <w:r>
        <w:t xml:space="preserve">9.5 Periodic revalidation and real-time change monitoring</w:t>
      </w:r>
    </w:p>
    <w:p>
      <w:pPr>
        <w:spacing w:after="120" w:line="276"/>
        <w:jc w:val="left"/>
      </w:pPr>
      <w:r>
        <w:rPr>
          <w:b w:val="false"/>
          <w:bCs w:val="false"/>
          <w:i w:val="false"/>
          <w:iCs w:val="false"/>
        </w:rPr>
        <w:t xml:space="preserve">Pair two mechanisms. The </w:t>
      </w:r>
      <w:r>
        <w:rPr>
          <w:b w:val="false"/>
          <w:bCs w:val="false"/>
          <w:i/>
          <w:iCs/>
        </w:rPr>
        <w:t xml:space="preserve">revalidation cycle</w:t>
      </w:r>
      <w:r>
        <w:rPr>
          <w:b w:val="false"/>
          <w:bCs w:val="false"/>
          <w:i w:val="false"/>
          <w:iCs w:val="false"/>
        </w:rPr>
        <w:t xml:space="preserve"> is the scheduled, full re-verification, drawing on TSA’s authority to require updated information about a known shipper or applicant.</w:t>
      </w:r>
      <w:r>
        <w:rPr>
          <w:b w:val="false"/>
          <w:bCs w:val="false"/>
          <w:i w:val="false"/>
          <w:iCs w:val="false"/>
          <w:vertAlign w:val="superscript"/>
        </w:rPr>
        <w:t xml:space="preserve">1</w:t>
      </w:r>
      <w:r>
        <w:rPr>
          <w:b w:val="false"/>
          <w:bCs w:val="false"/>
          <w:i w:val="false"/>
          <w:iCs w:val="false"/>
        </w:rPr>
        <w:t xml:space="preserve"> Between cycles, </w:t>
      </w:r>
      <w:r>
        <w:rPr>
          <w:b w:val="false"/>
          <w:bCs w:val="false"/>
          <w:i/>
          <w:iCs/>
        </w:rPr>
        <w:t xml:space="preserve">event-driven monitoring</w:t>
      </w:r>
      <w:r>
        <w:rPr>
          <w:b w:val="false"/>
          <w:bCs w:val="false"/>
          <w:i w:val="false"/>
          <w:iCs w:val="false"/>
        </w:rPr>
        <w:t xml:space="preserve"> watches for the defined triggers in Section 7.10 — ownership change, address change, control lapse — using sources the regulated party can practically observe: the entity’s own change notifications (which the program should require), carrier and IAC records of address or routing changes, and acceptance-point checks at tender. A trigger forces re-verification before the next cycle. This is the realistic substitute for true real-time monitoring, which no carrier can perform continuously; the program defines which sources are mandatory and how fast a trigger must be actioned.</w:t>
      </w:r>
    </w:p>
    <w:p>
      <w:pPr>
        <w:pStyle w:val="Heading2"/>
      </w:pPr>
      <w:r>
        <w:t xml:space="preserve">9.6 Chain-of-custody interruption: the moment “known” becomes “unknown”</w:t>
      </w:r>
    </w:p>
    <w:p>
      <w:pPr>
        <w:spacing w:after="120" w:line="276"/>
        <w:jc w:val="left"/>
      </w:pPr>
      <w:r>
        <w:rPr>
          <w:b w:val="false"/>
          <w:bCs w:val="false"/>
          <w:i w:val="false"/>
          <w:iCs w:val="false"/>
        </w:rPr>
        <w:t xml:space="preserve">Define the failure point explicitly. Cargo from a Known Shipper retains “known” handling only while custody is continuously accounted for from tender forward. A </w:t>
      </w:r>
      <w:r>
        <w:rPr>
          <w:b w:val="false"/>
          <w:bCs w:val="false"/>
          <w:i/>
          <w:iCs/>
        </w:rPr>
        <w:t xml:space="preserve">custody interruption</w:t>
      </w:r>
      <w:r>
        <w:rPr>
          <w:b w:val="false"/>
          <w:bCs w:val="false"/>
          <w:i w:val="false"/>
          <w:iCs w:val="false"/>
        </w:rPr>
        <w:t xml:space="preserve"> — an unaccounted-for gap, an unauthorized access event, or a break in the documented hand-off chain — returns the cargo to unknown handling at the point of interruption, regardless of the shipper’s status, until it is re-secured and re-screened as the security program requires. The rule (any unaccounted custody gap reverts the cargo to unknown) is stated here; the tolerances that define an “unaccounted gap” are security-program parameters.</w:t>
      </w:r>
    </w:p>
    <w:p>
      <w:pPr>
        <w:pStyle w:val="Heading2"/>
      </w:pPr>
      <w:r>
        <w:t xml:space="preserve">9.7 Handling of unknown or insufficiently verified shippers</w:t>
      </w:r>
    </w:p>
    <w:p>
      <w:pPr>
        <w:spacing w:after="120" w:line="276"/>
        <w:jc w:val="left"/>
      </w:pPr>
      <w:r>
        <w:rPr>
          <w:b w:val="false"/>
          <w:bCs w:val="false"/>
          <w:i w:val="false"/>
          <w:iCs w:val="false"/>
        </w:rPr>
        <w:t xml:space="preserve">Default to unknown handling whenever a gate is unmet or a trigger is open. Unknown-shipper cargo is handled under the applicable security-program controls and kept separate from known shipper cargo.</w:t>
      </w:r>
    </w:p>
    <w:p>
      <w:pPr>
        <w:pStyle w:val="Heading2"/>
      </w:pPr>
      <w:r>
        <w:t xml:space="preserve">9.8 Risk-based escalation</w:t>
      </w:r>
    </w:p>
    <w:p>
      <w:pPr>
        <w:spacing w:after="120" w:line="276"/>
        <w:jc w:val="left"/>
      </w:pPr>
      <w:r>
        <w:rPr>
          <w:b w:val="false"/>
          <w:bCs w:val="false"/>
          <w:i w:val="false"/>
          <w:iCs w:val="false"/>
        </w:rPr>
        <w:t xml:space="preserve">Use the known/unknown sort and the monitoring tier as inputs to a layered, risk-based approach — not as the sole gate. Escalate scrutiny on anomalies in identity, origin, custody, or the shipper-to-cargo link, on top of mandatory screening.</w:t>
      </w:r>
    </w:p>
    <w:p>
      <w:r>
        <w:br w:type="page"/>
      </w:r>
    </w:p>
    <w:p>
      <w:pPr>
        <w:pStyle w:val="Heading1"/>
      </w:pPr>
      <w:r>
        <w:t xml:space="preserve">10. Analytic Confidence and Limits</w:t>
      </w:r>
    </w:p>
    <w:p>
      <w:pPr>
        <w:spacing w:after="120" w:line="276"/>
        <w:jc w:val="left"/>
      </w:pPr>
      <w:r>
        <w:rPr>
          <w:b w:val="false"/>
          <w:bCs w:val="false"/>
          <w:i/>
          <w:iCs/>
        </w:rPr>
        <w:t xml:space="preserve">Category: Analytical judgment.</w:t>
      </w:r>
    </w:p>
    <w:p>
      <w:pPr>
        <w:spacing w:after="120" w:line="276"/>
        <w:jc w:val="left"/>
      </w:pPr>
      <w:r>
        <w:rPr>
          <w:b/>
          <w:bCs/>
          <w:i w:val="false"/>
          <w:iCs w:val="false"/>
        </w:rPr>
        <w:t xml:space="preserve">Confidence in the recommended definition: high. </w:t>
      </w:r>
      <w:r>
        <w:rPr>
          <w:b w:val="false"/>
          <w:bCs w:val="false"/>
          <w:i w:val="false"/>
          <w:iCs w:val="false"/>
        </w:rPr>
        <w:t xml:space="preserve">The core elements — validity and integrity, separation of known from unknown cargo, and the standing screening requirement — are drawn directly from three parallel regulatory sections and the acceptance-and-screening rule, and reinforced by the 2007 screening statute.</w:t>
      </w:r>
      <w:r>
        <w:rPr>
          <w:b w:val="false"/>
          <w:bCs w:val="false"/>
          <w:i w:val="false"/>
          <w:iCs w:val="false"/>
          <w:vertAlign w:val="superscript"/>
        </w:rPr>
        <w:t xml:space="preserve">1</w:t>
      </w:r>
      <w:r>
        <w:rPr>
          <w:b w:val="false"/>
          <w:bCs w:val="false"/>
          <w:i w:val="false"/>
          <w:iCs w:val="false"/>
        </w:rPr>
        <w:t xml:space="preserve"> </w:t>
      </w:r>
      <w:r>
        <w:rPr>
          <w:b w:val="false"/>
          <w:bCs w:val="false"/>
          <w:i w:val="false"/>
          <w:iCs w:val="false"/>
          <w:vertAlign w:val="superscript"/>
        </w:rPr>
        <w:t xml:space="preserve">2</w:t>
      </w:r>
      <w:r>
        <w:rPr>
          <w:b w:val="false"/>
          <w:bCs w:val="false"/>
          <w:i w:val="false"/>
          <w:iCs w:val="false"/>
        </w:rPr>
        <w:t xml:space="preserve"> </w:t>
      </w:r>
      <w:r>
        <w:rPr>
          <w:b w:val="false"/>
          <w:bCs w:val="false"/>
          <w:i w:val="false"/>
          <w:iCs w:val="false"/>
          <w:vertAlign w:val="superscript"/>
        </w:rPr>
        <w:t xml:space="preserve">3</w:t>
      </w:r>
      <w:r>
        <w:rPr>
          <w:b w:val="false"/>
          <w:bCs w:val="false"/>
          <w:i w:val="false"/>
          <w:iCs w:val="false"/>
        </w:rPr>
        <w:t xml:space="preserve"> </w:t>
      </w:r>
      <w:r>
        <w:rPr>
          <w:b w:val="false"/>
          <w:bCs w:val="false"/>
          <w:i w:val="false"/>
          <w:iCs w:val="false"/>
          <w:vertAlign w:val="superscript"/>
        </w:rPr>
        <w:t xml:space="preserve">4</w:t>
      </w:r>
      <w:r>
        <w:rPr>
          <w:b w:val="false"/>
          <w:bCs w:val="false"/>
          <w:i w:val="false"/>
          <w:iCs w:val="false"/>
        </w:rPr>
        <w:t xml:space="preserve"> </w:t>
      </w:r>
      <w:r>
        <w:rPr>
          <w:b w:val="false"/>
          <w:bCs w:val="false"/>
          <w:i w:val="false"/>
          <w:iCs w:val="false"/>
          <w:vertAlign w:val="superscript"/>
        </w:rPr>
        <w:t xml:space="preserve">8</w:t>
      </w:r>
      <w:r>
        <w:rPr>
          <w:b w:val="false"/>
          <w:bCs w:val="false"/>
          <w:i w:val="false"/>
          <w:iCs w:val="false"/>
        </w:rPr>
        <w:t xml:space="preserve"> These are corroborated across multiple independent primary and official sources, supporting high confidence that the definition is faithful to public law and policy.</w:t>
      </w:r>
    </w:p>
    <w:p>
      <w:pPr>
        <w:spacing w:after="120" w:line="276"/>
        <w:jc w:val="left"/>
      </w:pPr>
      <w:r>
        <w:rPr>
          <w:b/>
          <w:bCs/>
          <w:i w:val="false"/>
          <w:iCs w:val="false"/>
        </w:rPr>
        <w:t xml:space="preserve">Confidence in the decision criteria: high for structure, deferred for values. </w:t>
      </w:r>
      <w:r>
        <w:rPr>
          <w:b w:val="false"/>
          <w:bCs w:val="false"/>
          <w:i w:val="false"/>
          <w:iCs w:val="false"/>
        </w:rPr>
        <w:t xml:space="preserve">The observable factors and decision gates in Sections 7 and 9 follow logically from the regulatory requirements and are testable. The specific numeric settings — revalidation interval, history-depth tier thresholds, data half-life, trigger-response time, and custody-gap tolerance — are deliberately left as security-program parameters and are not asserted here.</w:t>
      </w:r>
    </w:p>
    <w:p>
      <w:pPr>
        <w:spacing w:after="120" w:line="276"/>
        <w:jc w:val="left"/>
      </w:pPr>
      <w:r>
        <w:rPr>
          <w:b/>
          <w:bCs/>
          <w:i w:val="false"/>
          <w:iCs w:val="false"/>
        </w:rPr>
        <w:t xml:space="preserve">What cannot be assessed from public sources. </w:t>
      </w:r>
      <w:r>
        <w:rPr>
          <w:b w:val="false"/>
          <w:bCs w:val="false"/>
          <w:i w:val="false"/>
          <w:iCs w:val="false"/>
        </w:rPr>
        <w:t xml:space="preserve">The criteria a regulated party uses to determine validity and integrity, the contents and thresholds of TSA-approved security programs, the internals of any known shipper management system, vetting data elements, and operational acceptance procedures are not publicly releasable and may constitute Sensitive Security Information under 49 CFR Part 1520.</w:t>
      </w:r>
      <w:r>
        <w:rPr>
          <w:b w:val="false"/>
          <w:bCs w:val="false"/>
          <w:i w:val="false"/>
          <w:iCs w:val="false"/>
          <w:vertAlign w:val="superscript"/>
        </w:rPr>
        <w:t xml:space="preserve">13</w:t>
      </w:r>
      <w:r>
        <w:rPr>
          <w:b w:val="false"/>
          <w:bCs w:val="false"/>
          <w:i w:val="false"/>
          <w:iCs w:val="false"/>
        </w:rPr>
        <w:t xml:space="preserve"> This paper states the standard and the decision structure by reference and assigns all numeric calibration to the security program. Where a factual detail could not be corroborated by a second independent public source, it is labeled single-source / unconfirmed at the point of use.</w:t>
      </w:r>
    </w:p>
    <w:p>
      <w:pPr>
        <w:spacing w:after="120" w:line="276"/>
        <w:jc w:val="left"/>
      </w:pPr>
      <w:r>
        <w:rPr>
          <w:b/>
          <w:bCs/>
          <w:i w:val="false"/>
          <w:iCs w:val="false"/>
        </w:rPr>
        <w:t xml:space="preserve">Scope limit. </w:t>
      </w:r>
      <w:r>
        <w:rPr>
          <w:b w:val="false"/>
          <w:bCs w:val="false"/>
          <w:i w:val="false"/>
          <w:iCs w:val="false"/>
        </w:rPr>
        <w:t xml:space="preserve">This is an analytical and recommendatory product. The definition in Section 2 is recommended policy language; it is not current regulatory text and would require TSA action to adopt.</w:t>
      </w:r>
    </w:p>
    <w:p>
      <w:r>
        <w:br w:type="page"/>
      </w:r>
    </w:p>
    <w:p>
      <w:pPr>
        <w:pStyle w:val="Heading1"/>
      </w:pPr>
      <w:r>
        <w:t xml:space="preserve">Source Reference Citations (Endnotes)</w:t>
      </w:r>
    </w:p>
    <w:p>
      <w:pPr>
        <w:spacing w:after="120" w:line="276"/>
        <w:jc w:val="left"/>
      </w:pPr>
      <w:r>
        <w:rPr>
          <w:b w:val="false"/>
          <w:bCs w:val="false"/>
          <w:i/>
          <w:iCs/>
        </w:rPr>
        <w:t xml:space="preserve">Factual claims are tied by superscript number to the citations below. Single-source claims are labeled single-source / unconfirmed at the point of use.</w:t>
      </w:r>
    </w:p>
    <w:p>
      <w:pPr>
        <w:spacing w:after="100" w:line="264"/>
      </w:pPr>
      <w:r>
        <w:rPr>
          <w:b/>
          <w:bCs/>
        </w:rPr>
        <w:t xml:space="preserve">1. </w:t>
      </w:r>
      <w:r>
        <w:t xml:space="preserve">49 CFR § 1544.239, Known shipper program. Electronic Code of Federal Regulations (current edition), U.S. Government Publishing Office. https://www.ecfr.gov/current/title-49/subtitle-B/chapter-XII/subchapter-C/part-1544/subpart-C/section-1544.239.</w:t>
      </w:r>
    </w:p>
    <w:p>
      <w:pPr>
        <w:spacing w:after="100" w:line="264"/>
      </w:pPr>
      <w:r>
        <w:rPr>
          <w:b/>
          <w:bCs/>
        </w:rPr>
        <w:t xml:space="preserve">2. </w:t>
      </w:r>
      <w:r>
        <w:t xml:space="preserve">49 CFR § 1544.205, Acceptance and screening of cargo. Electronic Code of Federal Regulations (current edition), U.S. Government Publishing Office. https://www.ecfr.gov/current/title-49/subtitle-B/chapter-XII/subchapter-C/part-1544/subpart-C/section-1544.205.</w:t>
      </w:r>
    </w:p>
    <w:p>
      <w:pPr>
        <w:spacing w:after="100" w:line="264"/>
      </w:pPr>
      <w:r>
        <w:rPr>
          <w:b/>
          <w:bCs/>
        </w:rPr>
        <w:t xml:space="preserve">3. </w:t>
      </w:r>
      <w:r>
        <w:t xml:space="preserve">49 CFR § 1546.215, Known shipper program. Electronic Code of Federal Regulations (current edition), U.S. Government Publishing Office. https://www.ecfr.gov/current/title-49/subtitle-B/chapter-XII/subchapter-C/part-1546/section-1546.215.</w:t>
      </w:r>
    </w:p>
    <w:p>
      <w:pPr>
        <w:spacing w:after="100" w:line="264"/>
      </w:pPr>
      <w:r>
        <w:rPr>
          <w:b/>
          <w:bCs/>
        </w:rPr>
        <w:t xml:space="preserve">4. </w:t>
      </w:r>
      <w:r>
        <w:t xml:space="preserve">49 CFR § 1548.17, Known shipper program. Electronic Code of Federal Regulations (current edition), U.S. Government Publishing Office. https://www.ecfr.gov/current/title-49/subtitle-B/chapter-XII/subchapter-C/part-1548/section-1548.17.</w:t>
      </w:r>
    </w:p>
    <w:p>
      <w:pPr>
        <w:spacing w:after="100" w:line="264"/>
      </w:pPr>
      <w:r>
        <w:rPr>
          <w:b/>
          <w:bCs/>
        </w:rPr>
        <w:t xml:space="preserve">5. </w:t>
      </w:r>
      <w:r>
        <w:t xml:space="preserve">Transportation Security Administration, DHS, “Air Cargo Security Requirements,” Final Rule, 71 Fed. Reg. 30478 (May 26, 2006), Docket No. TSA-2004-19515, RIN 1652-AA23. https://www.federalregister.gov/documents/2006/05/26/06-4800/air-cargo-security-requirements.</w:t>
      </w:r>
    </w:p>
    <w:p>
      <w:pPr>
        <w:spacing w:after="100" w:line="264"/>
      </w:pPr>
      <w:r>
        <w:rPr>
          <w:b/>
          <w:bCs/>
        </w:rPr>
        <w:t xml:space="preserve">6. </w:t>
      </w:r>
      <w:r>
        <w:t xml:space="preserve">U.S. Government Accountability Office, “Department of Homeland Security, Transportation Security Administration: Air Cargo Security Requirements,” GAO-06-806R (May 2006). https://www.gao.gov/products/gao-06-806r.</w:t>
      </w:r>
    </w:p>
    <w:p>
      <w:pPr>
        <w:spacing w:after="100" w:line="264"/>
      </w:pPr>
      <w:r>
        <w:rPr>
          <w:b/>
          <w:bCs/>
        </w:rPr>
        <w:t xml:space="preserve">7. </w:t>
      </w:r>
      <w:r>
        <w:t xml:space="preserve">49 CFR Part 1548, Indirect Air Carrier Security; source note 67 Fed. Reg. 8382 (Feb. 22, 2002), as amended at 71 Fed. Reg. 33254 (June 8, 2006). Electronic Code of Federal Regulations. https://www.ecfr.gov/current/title-49/subtitle-B/chapter-XII/subchapter-C/part-1548.</w:t>
      </w:r>
    </w:p>
    <w:p>
      <w:pPr>
        <w:spacing w:after="100" w:line="264"/>
      </w:pPr>
      <w:r>
        <w:rPr>
          <w:b/>
          <w:bCs/>
        </w:rPr>
        <w:t xml:space="preserve">8. </w:t>
      </w:r>
      <w:r>
        <w:t xml:space="preserve">Implementing Recommendations of the 9/11 Commission Act of 2007, Pub. L. No. 110-53, § 1602, 121 Stat. 266, 478 (Aug. 3, 2007), codified at 49 U.S.C. § 44901(g) (system to screen 100 percent of cargo on passenger aircraft, phased through August 2010). https://uscode.house.gov/view.xhtml?req=granuleid:USC-2010-title49-chapter449-subchapter1&amp;edition=2010.</w:t>
      </w:r>
    </w:p>
    <w:p>
      <w:pPr>
        <w:spacing w:after="100" w:line="264"/>
      </w:pPr>
      <w:r>
        <w:rPr>
          <w:b/>
          <w:bCs/>
        </w:rPr>
        <w:t xml:space="preserve">9. </w:t>
      </w:r>
      <w:r>
        <w:t xml:space="preserve">U.S. Government Accountability Office, “Aviation Security: TSA Has Made Progress but Faces Challenges in Meeting the Statutory Mandate for Screening Air Cargo on Passenger Aircraft,” GAO-10-446 (June 28, 2010). https://www.gao.gov/products/gao-10-446.</w:t>
      </w:r>
    </w:p>
    <w:p>
      <w:pPr>
        <w:spacing w:after="100" w:line="264"/>
      </w:pPr>
      <w:r>
        <w:rPr>
          <w:b/>
          <w:bCs/>
        </w:rPr>
        <w:t xml:space="preserve">10. </w:t>
      </w:r>
      <w:r>
        <w:t xml:space="preserve">U.S. Government Accountability Office, “Department of Homeland Security, Transportation Security Administration: Air Cargo Screening,” GAO-09-1043r (2009) (Certified Cargo Screening Program; 100 percent screening requirement effective Aug. 3, 2010). https://www.gao.gov/products/gao-09-1043r.</w:t>
      </w:r>
    </w:p>
    <w:p>
      <w:pPr>
        <w:spacing w:after="100" w:line="264"/>
      </w:pPr>
      <w:r>
        <w:rPr>
          <w:b/>
          <w:bCs/>
        </w:rPr>
        <w:t xml:space="preserve">11. </w:t>
      </w:r>
      <w:r>
        <w:t xml:space="preserve">U.S. Government Accountability Office, “Aviation Security: Transportation Security Administration May Face Resource and Other Challenges in Developing a System to Screen All Cargo Transported on Passenger Aircraft,” GAO-08-959T (July 15, 2008) (freight forwarders / indirect air carriers consolidate cargo; TSA compliance inspections). https://www.govinfo.gov/content/pkg/GAOREPORTS-GAO-08-959T/html/GAOREPORTS-GAO-08-959T.htm.</w:t>
      </w:r>
    </w:p>
    <w:p>
      <w:pPr>
        <w:spacing w:after="100" w:line="264"/>
      </w:pPr>
      <w:r>
        <w:rPr>
          <w:b/>
          <w:bCs/>
        </w:rPr>
        <w:t xml:space="preserve">12. </w:t>
      </w:r>
      <w:r>
        <w:t xml:space="preserve">Aviation and Transportation Security Act, Pub. L. No. 107-71 (Nov. 19, 2001) (established TSA; required screening of property, including cargo, on passenger aircraft); discussed in 71 Fed. Reg. 30478 (May 26, 2006).</w:t>
      </w:r>
    </w:p>
    <w:p>
      <w:pPr>
        <w:spacing w:after="100" w:line="264"/>
      </w:pPr>
      <w:r>
        <w:rPr>
          <w:b/>
          <w:bCs/>
        </w:rPr>
        <w:t xml:space="preserve">13. </w:t>
      </w:r>
      <w:r>
        <w:t xml:space="preserve">49 CFR Part 1520, Protection of Sensitive Security Information. Electronic Code of Federal Regulations (current edition). https://www.ecfr.gov/current/title-49/subtitle-B/chapter-XII/subchapter-B/part-1520.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Prepared from publicly releasable primary sources only</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center"/>
    </w:pPr>
    <w:r>
      <w:rPr>
        <w:color w:val="595959"/>
        <w:sz w:val="16"/>
        <w:szCs w:val="16"/>
      </w:rPr>
      <w:t xml:space="preserve">OPEN SOURCE ASSESSMENT  •  Proposed TSA-Perspective Definition of “Known Shipper”  •  Not Sensitive Security Information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BFBF" w:sz="4" w:space="4"/>
      </w:pBd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2026-06-14T11:05:42.860Z</dcterms:created>
  <dcterms:modified xsi:type="dcterms:W3CDTF">2026-06-14T11:05:42.860Z</dcterms:modified>
</cp:coreProperties>
</file>

<file path=docProps/custom.xml><?xml version="1.0" encoding="utf-8"?>
<Properties xmlns="http://schemas.openxmlformats.org/officeDocument/2006/custom-properties" xmlns:vt="http://schemas.openxmlformats.org/officeDocument/2006/docPropsVTypes"/>
</file>