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066F8" w14:textId="77777777" w:rsidR="576062CF" w:rsidRDefault="576062CF" w:rsidP="00FD478C"/>
    <w:p w14:paraId="39FB1CA6" w14:textId="77777777" w:rsidR="576062CF" w:rsidRDefault="576062CF" w:rsidP="00FD478C"/>
    <w:p w14:paraId="7186DD00" w14:textId="77777777" w:rsidR="576062CF" w:rsidRDefault="576062CF" w:rsidP="00FD478C"/>
    <w:p w14:paraId="5DD93AE4" w14:textId="77777777" w:rsidR="576062CF" w:rsidRDefault="576062CF" w:rsidP="00FD478C"/>
    <w:p w14:paraId="71B51A43" w14:textId="76C5B361" w:rsidR="576062CF" w:rsidRPr="00F034C5" w:rsidRDefault="00F034C5" w:rsidP="00FD478C">
      <w:pPr>
        <w:pStyle w:val="Title"/>
        <w:rPr>
          <w:lang w:val="es-ES"/>
        </w:rPr>
      </w:pPr>
      <w:r w:rsidRPr="003E7EE6">
        <w:rPr>
          <w:color w:val="2F5496" w:themeColor="accent1" w:themeShade="BF"/>
          <w:lang w:val="es-ES"/>
        </w:rPr>
        <w:t>CONSTRUCCIÓN DE UN INDICE DE PROGRESO SOCIAL EUROPEO: SPI-EU 2024</w:t>
      </w:r>
      <w:r w:rsidR="576062CF" w:rsidRPr="00F034C5">
        <w:rPr>
          <w:lang w:val="es-ES"/>
        </w:rPr>
        <w:t xml:space="preserve"> </w:t>
      </w:r>
    </w:p>
    <w:p w14:paraId="4BBD6996" w14:textId="6CE478C9" w:rsidR="576062CF" w:rsidRPr="000C7F70" w:rsidRDefault="00FD478C" w:rsidP="00FD478C">
      <w:pPr>
        <w:pStyle w:val="Subtitle"/>
        <w:rPr>
          <w:lang w:val="es-ES"/>
        </w:rPr>
      </w:pPr>
      <w:r w:rsidRPr="000C7F70">
        <w:rPr>
          <w:lang w:val="es-ES"/>
        </w:rPr>
        <w:t xml:space="preserve"> </w:t>
      </w:r>
    </w:p>
    <w:p w14:paraId="3C88730A" w14:textId="4EC617F1" w:rsidR="00FD478C" w:rsidRPr="003E7EE6" w:rsidRDefault="00F034C5" w:rsidP="00FD478C">
      <w:pPr>
        <w:pStyle w:val="Subtitle"/>
        <w:rPr>
          <w:color w:val="2F5496" w:themeColor="accent1" w:themeShade="BF"/>
        </w:rPr>
      </w:pPr>
      <w:r w:rsidRPr="003E7EE6">
        <w:rPr>
          <w:color w:val="2F5496" w:themeColor="accent1" w:themeShade="BF"/>
        </w:rPr>
        <w:t>Pablo Montalvo Sanz</w:t>
      </w:r>
      <w:r w:rsidR="00FD478C" w:rsidRPr="003E7EE6">
        <w:rPr>
          <w:color w:val="2F5496" w:themeColor="accent1" w:themeShade="BF"/>
        </w:rPr>
        <w:t xml:space="preserve"> </w:t>
      </w:r>
    </w:p>
    <w:p w14:paraId="562FAC66" w14:textId="005D8A5B" w:rsidR="00F034C5" w:rsidRPr="003E7EE6" w:rsidRDefault="00F034C5" w:rsidP="00F034C5">
      <w:pPr>
        <w:pStyle w:val="Subtitle"/>
        <w:rPr>
          <w:color w:val="2F5496" w:themeColor="accent1" w:themeShade="BF"/>
        </w:rPr>
      </w:pPr>
      <w:r w:rsidRPr="003E7EE6">
        <w:rPr>
          <w:color w:val="2F5496" w:themeColor="accent1" w:themeShade="BF"/>
        </w:rPr>
        <w:t>Master Data Science, Big Data &amp; Business Analytics 2023-2024</w:t>
      </w:r>
    </w:p>
    <w:p w14:paraId="72281421" w14:textId="1F053F3F" w:rsidR="00F034C5" w:rsidRPr="003E7EE6" w:rsidRDefault="00F034C5" w:rsidP="00F034C5">
      <w:pPr>
        <w:pStyle w:val="Subtitle"/>
        <w:rPr>
          <w:color w:val="2F5496" w:themeColor="accent1" w:themeShade="BF"/>
          <w:lang w:val="es-ES"/>
        </w:rPr>
      </w:pPr>
      <w:r w:rsidRPr="003E7EE6">
        <w:rPr>
          <w:color w:val="2F5496" w:themeColor="accent1" w:themeShade="BF"/>
          <w:lang w:val="es-ES"/>
        </w:rPr>
        <w:t>Universidad Complutense de Madrid</w:t>
      </w:r>
    </w:p>
    <w:p w14:paraId="59B20E6A" w14:textId="2ABB3474" w:rsidR="00FD478C" w:rsidRPr="007F48DB" w:rsidRDefault="009300C8" w:rsidP="00FD478C">
      <w:pPr>
        <w:pStyle w:val="Subtitle"/>
        <w:rPr>
          <w:color w:val="2F5496" w:themeColor="accent1" w:themeShade="BF"/>
          <w:lang w:val="es-ES"/>
        </w:rPr>
      </w:pPr>
      <w:r w:rsidRPr="007F48DB">
        <w:rPr>
          <w:color w:val="2F5496" w:themeColor="accent1" w:themeShade="BF"/>
          <w:lang w:val="es-ES"/>
        </w:rPr>
        <w:t>https://github.com/pmntlv/SPI-EU-2024.git</w:t>
      </w:r>
      <w:r w:rsidR="00FD478C" w:rsidRPr="007F48DB">
        <w:rPr>
          <w:color w:val="2F5496" w:themeColor="accent1" w:themeShade="BF"/>
          <w:lang w:val="es-ES"/>
        </w:rPr>
        <w:t xml:space="preserve"> </w:t>
      </w:r>
    </w:p>
    <w:p w14:paraId="1EDFD2CC" w14:textId="2EFA564C" w:rsidR="00FD478C" w:rsidRPr="00910507" w:rsidRDefault="00FD478C" w:rsidP="00FD478C">
      <w:pPr>
        <w:pStyle w:val="Subtitle"/>
        <w:rPr>
          <w:lang w:val="es-ES"/>
        </w:rPr>
      </w:pPr>
      <w:r w:rsidRPr="00910507">
        <w:rPr>
          <w:lang w:val="es-ES"/>
        </w:rPr>
        <w:t xml:space="preserve"> </w:t>
      </w:r>
    </w:p>
    <w:p w14:paraId="0BA6B13B" w14:textId="77777777" w:rsidR="576062CF" w:rsidRPr="00910507" w:rsidRDefault="576062CF" w:rsidP="00DF3215">
      <w:pPr>
        <w:rPr>
          <w:lang w:val="es-ES"/>
        </w:rPr>
      </w:pPr>
    </w:p>
    <w:p w14:paraId="14E9E51A" w14:textId="77777777" w:rsidR="717E282B" w:rsidRPr="00910507" w:rsidRDefault="717E282B" w:rsidP="00DF3215">
      <w:pPr>
        <w:rPr>
          <w:lang w:val="es-ES"/>
        </w:rPr>
      </w:pPr>
    </w:p>
    <w:p w14:paraId="6C06C08D" w14:textId="77777777" w:rsidR="717E282B" w:rsidRPr="00910507" w:rsidRDefault="717E282B" w:rsidP="00DF3215">
      <w:pPr>
        <w:rPr>
          <w:lang w:val="es-ES"/>
        </w:rPr>
      </w:pPr>
    </w:p>
    <w:p w14:paraId="5A15E492" w14:textId="77777777" w:rsidR="717E282B" w:rsidRPr="00910507" w:rsidRDefault="717E282B" w:rsidP="00DF3215">
      <w:pPr>
        <w:rPr>
          <w:lang w:val="es-ES"/>
        </w:rPr>
      </w:pPr>
    </w:p>
    <w:p w14:paraId="14EE9EEA" w14:textId="77777777" w:rsidR="717E282B" w:rsidRPr="00910507" w:rsidRDefault="717E282B" w:rsidP="00DF3215">
      <w:pPr>
        <w:rPr>
          <w:lang w:val="es-ES"/>
        </w:rPr>
      </w:pPr>
    </w:p>
    <w:p w14:paraId="215343BD" w14:textId="77777777" w:rsidR="709762D6" w:rsidRPr="00910507" w:rsidRDefault="709762D6" w:rsidP="00DF3215">
      <w:pPr>
        <w:rPr>
          <w:lang w:val="es-ES"/>
        </w:rPr>
      </w:pPr>
    </w:p>
    <w:p w14:paraId="125A5D24" w14:textId="77777777" w:rsidR="709762D6" w:rsidRPr="00910507" w:rsidRDefault="709762D6" w:rsidP="00DF3215">
      <w:pPr>
        <w:rPr>
          <w:lang w:val="es-ES"/>
        </w:rPr>
      </w:pPr>
    </w:p>
    <w:p w14:paraId="2FB3D963" w14:textId="77777777" w:rsidR="717E282B" w:rsidRPr="00910507" w:rsidRDefault="717E282B" w:rsidP="00DF3215">
      <w:pPr>
        <w:rPr>
          <w:lang w:val="es-ES"/>
        </w:rPr>
      </w:pPr>
    </w:p>
    <w:p w14:paraId="21A7845B" w14:textId="77777777" w:rsidR="5643BF48" w:rsidRPr="00910507" w:rsidRDefault="5643BF48" w:rsidP="00DF3215">
      <w:pPr>
        <w:rPr>
          <w:lang w:val="es-ES"/>
        </w:rPr>
      </w:pPr>
    </w:p>
    <w:p w14:paraId="328D6549" w14:textId="77777777" w:rsidR="733B038C" w:rsidRPr="00910507" w:rsidRDefault="733B038C" w:rsidP="00DF3215">
      <w:pPr>
        <w:rPr>
          <w:lang w:val="es-ES"/>
        </w:rPr>
      </w:pPr>
    </w:p>
    <w:p w14:paraId="75736D45" w14:textId="77777777" w:rsidR="717E282B" w:rsidRPr="00910507" w:rsidRDefault="717E282B" w:rsidP="00DF3215">
      <w:pPr>
        <w:rPr>
          <w:lang w:val="es-ES"/>
        </w:rPr>
      </w:pPr>
    </w:p>
    <w:p w14:paraId="49CEEDD2" w14:textId="77777777" w:rsidR="007F13DE" w:rsidRDefault="007F13DE" w:rsidP="576062CF">
      <w:pPr>
        <w:rPr>
          <w:lang w:val="es-ES"/>
        </w:rPr>
      </w:pPr>
    </w:p>
    <w:p w14:paraId="1AEAF59A" w14:textId="77777777" w:rsidR="007F13DE" w:rsidRDefault="007F13DE">
      <w:pPr>
        <w:spacing w:after="160" w:line="259" w:lineRule="auto"/>
        <w:ind w:firstLine="0"/>
        <w:rPr>
          <w:lang w:val="es-ES"/>
        </w:rPr>
      </w:pPr>
      <w:r>
        <w:rPr>
          <w:lang w:val="es-ES"/>
        </w:rPr>
        <w:br w:type="page"/>
      </w:r>
    </w:p>
    <w:sdt>
      <w:sdtPr>
        <w:rPr>
          <w:rFonts w:asciiTheme="minorHAnsi" w:eastAsiaTheme="minorHAnsi" w:hAnsiTheme="minorHAnsi" w:cstheme="minorBidi"/>
          <w:color w:val="auto"/>
          <w:sz w:val="22"/>
          <w:szCs w:val="22"/>
        </w:rPr>
        <w:id w:val="1932858682"/>
        <w:docPartObj>
          <w:docPartGallery w:val="Table of Contents"/>
          <w:docPartUnique/>
        </w:docPartObj>
      </w:sdtPr>
      <w:sdtEndPr>
        <w:rPr>
          <w:b/>
          <w:bCs/>
          <w:noProof/>
        </w:rPr>
      </w:sdtEndPr>
      <w:sdtContent>
        <w:p w14:paraId="017EA49F" w14:textId="1F7B8AE0" w:rsidR="007F13DE" w:rsidRPr="0038776F" w:rsidRDefault="007F13DE">
          <w:pPr>
            <w:pStyle w:val="TOCHeading"/>
            <w:rPr>
              <w:b/>
              <w:sz w:val="20"/>
              <w:szCs w:val="20"/>
            </w:rPr>
          </w:pPr>
          <w:r w:rsidRPr="0038776F">
            <w:rPr>
              <w:rFonts w:asciiTheme="minorHAnsi" w:eastAsiaTheme="minorHAnsi" w:hAnsiTheme="minorHAnsi" w:cstheme="minorBidi"/>
              <w:b/>
              <w:color w:val="2E74B5" w:themeColor="accent5" w:themeShade="BF"/>
              <w:sz w:val="20"/>
              <w:szCs w:val="20"/>
              <w:lang w:val="es-ES"/>
            </w:rPr>
            <w:t>Tabla de contenidos</w:t>
          </w:r>
        </w:p>
        <w:p w14:paraId="440904AF" w14:textId="09E658DA" w:rsidR="007F13DE" w:rsidRPr="007F13DE" w:rsidRDefault="007F13DE" w:rsidP="007F13DE">
          <w:pPr>
            <w:pStyle w:val="TOC1"/>
            <w:tabs>
              <w:tab w:val="right" w:leader="dot" w:pos="9350"/>
            </w:tabs>
            <w:spacing w:line="240" w:lineRule="auto"/>
            <w:rPr>
              <w:rFonts w:cstheme="minorBidi"/>
              <w:noProof/>
              <w:kern w:val="2"/>
              <w:sz w:val="20"/>
              <w:szCs w:val="20"/>
              <w14:ligatures w14:val="standardContextual"/>
            </w:rPr>
          </w:pPr>
          <w:r w:rsidRPr="007F13DE">
            <w:rPr>
              <w:sz w:val="20"/>
              <w:szCs w:val="20"/>
            </w:rPr>
            <w:fldChar w:fldCharType="begin"/>
          </w:r>
          <w:r w:rsidRPr="007F13DE">
            <w:rPr>
              <w:sz w:val="20"/>
              <w:szCs w:val="20"/>
            </w:rPr>
            <w:instrText xml:space="preserve"> TOC \o "1-3" \h \z \u </w:instrText>
          </w:r>
          <w:r w:rsidRPr="007F13DE">
            <w:rPr>
              <w:sz w:val="20"/>
              <w:szCs w:val="20"/>
            </w:rPr>
            <w:fldChar w:fldCharType="separate"/>
          </w:r>
          <w:hyperlink w:anchor="_Toc177028173" w:history="1">
            <w:r w:rsidRPr="007F13DE">
              <w:rPr>
                <w:rStyle w:val="Hyperlink"/>
                <w:noProof/>
                <w:sz w:val="20"/>
                <w:szCs w:val="20"/>
                <w:lang w:val="es-ES"/>
              </w:rPr>
              <w:t>Resumen</w:t>
            </w:r>
            <w:r w:rsidRPr="007F13DE">
              <w:rPr>
                <w:noProof/>
                <w:webHidden/>
                <w:sz w:val="20"/>
                <w:szCs w:val="20"/>
              </w:rPr>
              <w:tab/>
            </w:r>
            <w:r w:rsidR="0038776F">
              <w:rPr>
                <w:noProof/>
                <w:webHidden/>
                <w:sz w:val="20"/>
                <w:szCs w:val="20"/>
              </w:rPr>
              <w:t>4</w:t>
            </w:r>
          </w:hyperlink>
        </w:p>
        <w:p w14:paraId="2905834B" w14:textId="3226E4A4"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174" w:history="1">
            <w:r w:rsidR="007F13DE" w:rsidRPr="007F13DE">
              <w:rPr>
                <w:rStyle w:val="Hyperlink"/>
                <w:noProof/>
                <w:sz w:val="20"/>
                <w:szCs w:val="20"/>
                <w:lang w:val="es-ES"/>
              </w:rPr>
              <w:t>Introducción</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_Toc177028174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4</w:t>
            </w:r>
            <w:r w:rsidR="007F13DE" w:rsidRPr="007F13DE">
              <w:rPr>
                <w:noProof/>
                <w:webHidden/>
                <w:sz w:val="20"/>
                <w:szCs w:val="20"/>
              </w:rPr>
              <w:fldChar w:fldCharType="end"/>
            </w:r>
          </w:hyperlink>
        </w:p>
        <w:p w14:paraId="538AA64B" w14:textId="38DD3640"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175" w:history="1">
            <w:r w:rsidR="007F13DE" w:rsidRPr="007F13DE">
              <w:rPr>
                <w:rStyle w:val="Hyperlink"/>
                <w:noProof/>
                <w:sz w:val="20"/>
                <w:szCs w:val="20"/>
                <w:lang w:val="es-ES"/>
              </w:rPr>
              <w:t>Indicadores de Desarrollo Social</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_Toc177028175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5</w:t>
            </w:r>
            <w:r w:rsidR="007F13DE" w:rsidRPr="007F13DE">
              <w:rPr>
                <w:noProof/>
                <w:webHidden/>
                <w:sz w:val="20"/>
                <w:szCs w:val="20"/>
              </w:rPr>
              <w:fldChar w:fldCharType="end"/>
            </w:r>
          </w:hyperlink>
        </w:p>
        <w:p w14:paraId="091A611E" w14:textId="070C3CB9"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176" w:history="1">
            <w:r w:rsidR="007F13DE" w:rsidRPr="007F13DE">
              <w:rPr>
                <w:rStyle w:val="Hyperlink"/>
                <w:noProof/>
                <w:sz w:val="20"/>
                <w:szCs w:val="20"/>
                <w:lang w:val="es-ES"/>
              </w:rPr>
              <w:t>Fase I. Lectura y análisis descriptivo de dataset</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_Toc177028176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6</w:t>
            </w:r>
            <w:r w:rsidR="007F13DE" w:rsidRPr="007F13DE">
              <w:rPr>
                <w:noProof/>
                <w:webHidden/>
                <w:sz w:val="20"/>
                <w:szCs w:val="20"/>
              </w:rPr>
              <w:fldChar w:fldCharType="end"/>
            </w:r>
          </w:hyperlink>
        </w:p>
        <w:p w14:paraId="540C7584" w14:textId="4C21B621" w:rsidR="007F13DE" w:rsidRPr="007F13DE" w:rsidRDefault="00000000" w:rsidP="0038776F">
          <w:pPr>
            <w:pStyle w:val="TOC2"/>
            <w:rPr>
              <w:rFonts w:eastAsiaTheme="minorEastAsia"/>
              <w:noProof/>
              <w:kern w:val="2"/>
              <w14:ligatures w14:val="standardContextual"/>
            </w:rPr>
          </w:pPr>
          <w:hyperlink w:anchor="_Toc177028177" w:history="1">
            <w:r w:rsidR="007F13DE" w:rsidRPr="007F13DE">
              <w:rPr>
                <w:rStyle w:val="Hyperlink"/>
                <w:noProof/>
                <w:sz w:val="20"/>
                <w:szCs w:val="20"/>
                <w:lang w:val="es-ES"/>
              </w:rPr>
              <w:t>I.1. PIB per cápita:</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_Toc177028177 \h </w:instrText>
            </w:r>
            <w:r w:rsidR="007F13DE" w:rsidRPr="007F13DE">
              <w:rPr>
                <w:noProof/>
                <w:webHidden/>
              </w:rPr>
            </w:r>
            <w:r w:rsidR="007F13DE" w:rsidRPr="007F13DE">
              <w:rPr>
                <w:noProof/>
                <w:webHidden/>
              </w:rPr>
              <w:fldChar w:fldCharType="separate"/>
            </w:r>
            <w:r w:rsidR="0038776F">
              <w:rPr>
                <w:noProof/>
                <w:webHidden/>
              </w:rPr>
              <w:t>6</w:t>
            </w:r>
            <w:r w:rsidR="007F13DE" w:rsidRPr="007F13DE">
              <w:rPr>
                <w:noProof/>
                <w:webHidden/>
              </w:rPr>
              <w:fldChar w:fldCharType="end"/>
            </w:r>
          </w:hyperlink>
        </w:p>
        <w:p w14:paraId="7D053CF0" w14:textId="06B8516B" w:rsidR="007F13DE" w:rsidRPr="007F13DE" w:rsidRDefault="00000000" w:rsidP="0038776F">
          <w:pPr>
            <w:pStyle w:val="TOC2"/>
            <w:rPr>
              <w:rFonts w:eastAsiaTheme="minorEastAsia"/>
              <w:noProof/>
              <w:kern w:val="2"/>
              <w14:ligatures w14:val="standardContextual"/>
            </w:rPr>
          </w:pPr>
          <w:hyperlink w:anchor="_Toc177028178" w:history="1">
            <w:r w:rsidR="007F13DE" w:rsidRPr="007F13DE">
              <w:rPr>
                <w:rStyle w:val="Hyperlink"/>
                <w:noProof/>
                <w:sz w:val="20"/>
                <w:szCs w:val="20"/>
                <w:lang w:val="es-ES"/>
              </w:rPr>
              <w:t>I.2. Datos perdidos: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_Toc177028178 \h </w:instrText>
            </w:r>
            <w:r w:rsidR="007F13DE" w:rsidRPr="007F13DE">
              <w:rPr>
                <w:noProof/>
                <w:webHidden/>
              </w:rPr>
            </w:r>
            <w:r w:rsidR="007F13DE" w:rsidRPr="007F13DE">
              <w:rPr>
                <w:noProof/>
                <w:webHidden/>
              </w:rPr>
              <w:fldChar w:fldCharType="separate"/>
            </w:r>
            <w:r w:rsidR="0038776F">
              <w:rPr>
                <w:noProof/>
                <w:webHidden/>
              </w:rPr>
              <w:t>6</w:t>
            </w:r>
            <w:r w:rsidR="007F13DE" w:rsidRPr="007F13DE">
              <w:rPr>
                <w:noProof/>
                <w:webHidden/>
              </w:rPr>
              <w:fldChar w:fldCharType="end"/>
            </w:r>
          </w:hyperlink>
        </w:p>
        <w:p w14:paraId="4CFFCA48" w14:textId="022ACAAE" w:rsidR="007F13DE" w:rsidRPr="007F13DE" w:rsidRDefault="00000000" w:rsidP="0038776F">
          <w:pPr>
            <w:pStyle w:val="TOC2"/>
            <w:rPr>
              <w:rFonts w:eastAsiaTheme="minorEastAsia"/>
              <w:noProof/>
              <w:kern w:val="2"/>
              <w14:ligatures w14:val="standardContextual"/>
            </w:rPr>
          </w:pPr>
          <w:hyperlink w:anchor="_Toc177028179" w:history="1">
            <w:r w:rsidR="007F13DE" w:rsidRPr="007F13DE">
              <w:rPr>
                <w:rStyle w:val="Hyperlink"/>
                <w:noProof/>
                <w:sz w:val="20"/>
                <w:szCs w:val="20"/>
                <w:lang w:val="es-ES"/>
              </w:rPr>
              <w:t>I.3. Estadísticas descriptivas: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_Toc177028179 \h </w:instrText>
            </w:r>
            <w:r w:rsidR="007F13DE" w:rsidRPr="007F13DE">
              <w:rPr>
                <w:noProof/>
                <w:webHidden/>
              </w:rPr>
            </w:r>
            <w:r w:rsidR="007F13DE" w:rsidRPr="007F13DE">
              <w:rPr>
                <w:noProof/>
                <w:webHidden/>
              </w:rPr>
              <w:fldChar w:fldCharType="separate"/>
            </w:r>
            <w:r w:rsidR="0038776F">
              <w:rPr>
                <w:noProof/>
                <w:webHidden/>
              </w:rPr>
              <w:t>6</w:t>
            </w:r>
            <w:r w:rsidR="007F13DE" w:rsidRPr="007F13DE">
              <w:rPr>
                <w:noProof/>
                <w:webHidden/>
              </w:rPr>
              <w:fldChar w:fldCharType="end"/>
            </w:r>
          </w:hyperlink>
        </w:p>
        <w:p w14:paraId="0C00192E" w14:textId="3AAC35FE" w:rsidR="007F13DE" w:rsidRPr="007F13DE" w:rsidRDefault="00000000" w:rsidP="0038776F">
          <w:pPr>
            <w:pStyle w:val="TOC2"/>
            <w:rPr>
              <w:rFonts w:eastAsiaTheme="minorEastAsia"/>
              <w:noProof/>
              <w:kern w:val="2"/>
              <w14:ligatures w14:val="standardContextual"/>
            </w:rPr>
          </w:pPr>
          <w:hyperlink w:anchor="_Toc177028180" w:history="1">
            <w:r w:rsidR="007F13DE" w:rsidRPr="007F13DE">
              <w:rPr>
                <w:rStyle w:val="Hyperlink"/>
                <w:noProof/>
                <w:sz w:val="20"/>
                <w:szCs w:val="20"/>
                <w:lang w:val="es-ES"/>
              </w:rPr>
              <w:t>I.4. Outliers: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_Toc177028180 \h </w:instrText>
            </w:r>
            <w:r w:rsidR="007F13DE" w:rsidRPr="007F13DE">
              <w:rPr>
                <w:noProof/>
                <w:webHidden/>
              </w:rPr>
            </w:r>
            <w:r w:rsidR="007F13DE" w:rsidRPr="007F13DE">
              <w:rPr>
                <w:noProof/>
                <w:webHidden/>
              </w:rPr>
              <w:fldChar w:fldCharType="separate"/>
            </w:r>
            <w:r w:rsidR="0038776F">
              <w:rPr>
                <w:noProof/>
                <w:webHidden/>
              </w:rPr>
              <w:t>7</w:t>
            </w:r>
            <w:r w:rsidR="007F13DE" w:rsidRPr="007F13DE">
              <w:rPr>
                <w:noProof/>
                <w:webHidden/>
              </w:rPr>
              <w:fldChar w:fldCharType="end"/>
            </w:r>
          </w:hyperlink>
        </w:p>
        <w:p w14:paraId="7AD2B833" w14:textId="4838C503" w:rsidR="007F13DE" w:rsidRPr="007F13DE" w:rsidRDefault="00000000" w:rsidP="0038776F">
          <w:pPr>
            <w:pStyle w:val="TOC2"/>
            <w:rPr>
              <w:rFonts w:eastAsiaTheme="minorEastAsia"/>
              <w:noProof/>
              <w:kern w:val="2"/>
              <w14:ligatures w14:val="standardContextual"/>
            </w:rPr>
          </w:pPr>
          <w:hyperlink w:anchor="_Toc177028181" w:history="1">
            <w:r w:rsidR="007F13DE" w:rsidRPr="007F13DE">
              <w:rPr>
                <w:rStyle w:val="Hyperlink"/>
                <w:noProof/>
                <w:sz w:val="20"/>
                <w:szCs w:val="20"/>
                <w:lang w:val="es-ES"/>
              </w:rPr>
              <w:t>I.5. Distribución de los indicadores: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_Toc177028181 \h </w:instrText>
            </w:r>
            <w:r w:rsidR="007F13DE" w:rsidRPr="007F13DE">
              <w:rPr>
                <w:noProof/>
                <w:webHidden/>
              </w:rPr>
            </w:r>
            <w:r w:rsidR="007F13DE" w:rsidRPr="007F13DE">
              <w:rPr>
                <w:noProof/>
                <w:webHidden/>
              </w:rPr>
              <w:fldChar w:fldCharType="separate"/>
            </w:r>
            <w:r w:rsidR="0038776F">
              <w:rPr>
                <w:noProof/>
                <w:webHidden/>
              </w:rPr>
              <w:t>7</w:t>
            </w:r>
            <w:r w:rsidR="007F13DE" w:rsidRPr="007F13DE">
              <w:rPr>
                <w:noProof/>
                <w:webHidden/>
              </w:rPr>
              <w:fldChar w:fldCharType="end"/>
            </w:r>
          </w:hyperlink>
        </w:p>
        <w:p w14:paraId="00F1691A" w14:textId="01CF3F72" w:rsidR="007F13DE" w:rsidRPr="007F13DE" w:rsidRDefault="00000000" w:rsidP="0038776F">
          <w:pPr>
            <w:pStyle w:val="TOC2"/>
            <w:rPr>
              <w:rFonts w:eastAsiaTheme="minorEastAsia"/>
              <w:noProof/>
              <w:kern w:val="2"/>
              <w14:ligatures w14:val="standardContextual"/>
            </w:rPr>
          </w:pPr>
          <w:hyperlink w:anchor="_Toc177028182" w:history="1">
            <w:r w:rsidR="007F13DE" w:rsidRPr="007F13DE">
              <w:rPr>
                <w:rStyle w:val="Hyperlink"/>
                <w:noProof/>
                <w:sz w:val="20"/>
                <w:szCs w:val="20"/>
                <w:lang w:val="es-ES"/>
              </w:rPr>
              <w:t>I.6. Correlación entre indicadores: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_Toc177028182 \h </w:instrText>
            </w:r>
            <w:r w:rsidR="007F13DE" w:rsidRPr="007F13DE">
              <w:rPr>
                <w:noProof/>
                <w:webHidden/>
              </w:rPr>
            </w:r>
            <w:r w:rsidR="007F13DE" w:rsidRPr="007F13DE">
              <w:rPr>
                <w:noProof/>
                <w:webHidden/>
              </w:rPr>
              <w:fldChar w:fldCharType="separate"/>
            </w:r>
            <w:r w:rsidR="0038776F">
              <w:rPr>
                <w:noProof/>
                <w:webHidden/>
              </w:rPr>
              <w:t>7</w:t>
            </w:r>
            <w:r w:rsidR="007F13DE" w:rsidRPr="007F13DE">
              <w:rPr>
                <w:noProof/>
                <w:webHidden/>
              </w:rPr>
              <w:fldChar w:fldCharType="end"/>
            </w:r>
          </w:hyperlink>
        </w:p>
        <w:p w14:paraId="4859C590" w14:textId="506D4A2C"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183" w:history="1">
            <w:r w:rsidR="007F13DE" w:rsidRPr="007F13DE">
              <w:rPr>
                <w:rStyle w:val="Hyperlink"/>
                <w:noProof/>
                <w:sz w:val="20"/>
                <w:szCs w:val="20"/>
                <w:lang w:val="es-ES"/>
              </w:rPr>
              <w:t>Fase II. Limpieza y normalización</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_Toc177028183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8</w:t>
            </w:r>
            <w:r w:rsidR="007F13DE" w:rsidRPr="007F13DE">
              <w:rPr>
                <w:noProof/>
                <w:webHidden/>
                <w:sz w:val="20"/>
                <w:szCs w:val="20"/>
              </w:rPr>
              <w:fldChar w:fldCharType="end"/>
            </w:r>
          </w:hyperlink>
        </w:p>
        <w:p w14:paraId="36FD0B38" w14:textId="608FCE82" w:rsidR="007F13DE" w:rsidRPr="007F13DE" w:rsidRDefault="00000000" w:rsidP="0038776F">
          <w:pPr>
            <w:pStyle w:val="TOC2"/>
            <w:rPr>
              <w:rFonts w:eastAsiaTheme="minorEastAsia"/>
              <w:noProof/>
              <w:kern w:val="2"/>
              <w14:ligatures w14:val="standardContextual"/>
            </w:rPr>
          </w:pPr>
          <w:hyperlink w:anchor="_Toc177028184" w:history="1">
            <w:r w:rsidR="007F13DE" w:rsidRPr="007F13DE">
              <w:rPr>
                <w:rStyle w:val="Hyperlink"/>
                <w:noProof/>
                <w:sz w:val="20"/>
                <w:szCs w:val="20"/>
                <w:lang w:val="es-ES"/>
              </w:rPr>
              <w:t>II.1. Imputación de datos perdidos: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_Toc177028184 \h </w:instrText>
            </w:r>
            <w:r w:rsidR="007F13DE" w:rsidRPr="007F13DE">
              <w:rPr>
                <w:noProof/>
                <w:webHidden/>
              </w:rPr>
            </w:r>
            <w:r w:rsidR="007F13DE" w:rsidRPr="007F13DE">
              <w:rPr>
                <w:noProof/>
                <w:webHidden/>
              </w:rPr>
              <w:fldChar w:fldCharType="separate"/>
            </w:r>
            <w:r w:rsidR="0038776F">
              <w:rPr>
                <w:noProof/>
                <w:webHidden/>
              </w:rPr>
              <w:t>8</w:t>
            </w:r>
            <w:r w:rsidR="007F13DE" w:rsidRPr="007F13DE">
              <w:rPr>
                <w:noProof/>
                <w:webHidden/>
              </w:rPr>
              <w:fldChar w:fldCharType="end"/>
            </w:r>
          </w:hyperlink>
        </w:p>
        <w:p w14:paraId="24A4237C" w14:textId="7222C90F" w:rsidR="007F13DE" w:rsidRPr="007F13DE" w:rsidRDefault="00000000" w:rsidP="0038776F">
          <w:pPr>
            <w:pStyle w:val="TOC2"/>
            <w:rPr>
              <w:rFonts w:eastAsiaTheme="minorEastAsia"/>
              <w:noProof/>
              <w:kern w:val="2"/>
              <w14:ligatures w14:val="standardContextual"/>
            </w:rPr>
          </w:pPr>
          <w:hyperlink w:anchor="_Toc177028185" w:history="1">
            <w:r w:rsidR="007F13DE" w:rsidRPr="007F13DE">
              <w:rPr>
                <w:rStyle w:val="Hyperlink"/>
                <w:noProof/>
                <w:sz w:val="20"/>
                <w:szCs w:val="20"/>
                <w:lang w:val="es-ES"/>
              </w:rPr>
              <w:t>II.2. Consistencia del dataset:</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_Toc177028185 \h </w:instrText>
            </w:r>
            <w:r w:rsidR="007F13DE" w:rsidRPr="007F13DE">
              <w:rPr>
                <w:noProof/>
                <w:webHidden/>
              </w:rPr>
            </w:r>
            <w:r w:rsidR="007F13DE" w:rsidRPr="007F13DE">
              <w:rPr>
                <w:noProof/>
                <w:webHidden/>
              </w:rPr>
              <w:fldChar w:fldCharType="separate"/>
            </w:r>
            <w:r w:rsidR="0038776F">
              <w:rPr>
                <w:noProof/>
                <w:webHidden/>
              </w:rPr>
              <w:t>8</w:t>
            </w:r>
            <w:r w:rsidR="007F13DE" w:rsidRPr="007F13DE">
              <w:rPr>
                <w:noProof/>
                <w:webHidden/>
              </w:rPr>
              <w:fldChar w:fldCharType="end"/>
            </w:r>
          </w:hyperlink>
        </w:p>
        <w:p w14:paraId="47F2121B" w14:textId="732C4A1A" w:rsidR="007F13DE" w:rsidRPr="007F13DE" w:rsidRDefault="00000000" w:rsidP="0038776F">
          <w:pPr>
            <w:pStyle w:val="TOC2"/>
            <w:rPr>
              <w:rFonts w:eastAsiaTheme="minorEastAsia"/>
              <w:noProof/>
              <w:kern w:val="2"/>
              <w14:ligatures w14:val="standardContextual"/>
            </w:rPr>
          </w:pPr>
          <w:hyperlink w:anchor="_Toc177028186" w:history="1">
            <w:r w:rsidR="007F13DE" w:rsidRPr="007F13DE">
              <w:rPr>
                <w:rStyle w:val="Hyperlink"/>
                <w:noProof/>
                <w:sz w:val="20"/>
                <w:szCs w:val="20"/>
                <w:lang w:val="es-ES"/>
              </w:rPr>
              <w:t>II.3. Normalización:</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_Toc177028186 \h </w:instrText>
            </w:r>
            <w:r w:rsidR="007F13DE" w:rsidRPr="007F13DE">
              <w:rPr>
                <w:noProof/>
                <w:webHidden/>
              </w:rPr>
            </w:r>
            <w:r w:rsidR="007F13DE" w:rsidRPr="007F13DE">
              <w:rPr>
                <w:noProof/>
                <w:webHidden/>
              </w:rPr>
              <w:fldChar w:fldCharType="separate"/>
            </w:r>
            <w:r w:rsidR="0038776F">
              <w:rPr>
                <w:noProof/>
                <w:webHidden/>
              </w:rPr>
              <w:t>9</w:t>
            </w:r>
            <w:r w:rsidR="007F13DE" w:rsidRPr="007F13DE">
              <w:rPr>
                <w:noProof/>
                <w:webHidden/>
              </w:rPr>
              <w:fldChar w:fldCharType="end"/>
            </w:r>
          </w:hyperlink>
        </w:p>
        <w:p w14:paraId="2CAD6948" w14:textId="4867205C"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187" w:history="1">
            <w:r w:rsidR="007F13DE" w:rsidRPr="007F13DE">
              <w:rPr>
                <w:rStyle w:val="Hyperlink"/>
                <w:noProof/>
                <w:sz w:val="20"/>
                <w:szCs w:val="20"/>
                <w:lang w:val="es-ES"/>
              </w:rPr>
              <w:t>Fase III. Agregación por componentes</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_Toc177028187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10</w:t>
            </w:r>
            <w:r w:rsidR="007F13DE" w:rsidRPr="007F13DE">
              <w:rPr>
                <w:noProof/>
                <w:webHidden/>
                <w:sz w:val="20"/>
                <w:szCs w:val="20"/>
              </w:rPr>
              <w:fldChar w:fldCharType="end"/>
            </w:r>
          </w:hyperlink>
        </w:p>
        <w:p w14:paraId="13ACAFF9" w14:textId="43C4D08E" w:rsidR="007F13DE" w:rsidRPr="007F13DE" w:rsidRDefault="00000000" w:rsidP="0038776F">
          <w:pPr>
            <w:pStyle w:val="TOC2"/>
            <w:rPr>
              <w:rFonts w:eastAsiaTheme="minorEastAsia"/>
              <w:noProof/>
              <w:kern w:val="2"/>
              <w14:ligatures w14:val="standardContextual"/>
            </w:rPr>
          </w:pPr>
          <w:hyperlink w:anchor="_Toc177028188" w:history="1">
            <w:r w:rsidR="007F13DE" w:rsidRPr="007F13DE">
              <w:rPr>
                <w:rStyle w:val="Hyperlink"/>
                <w:noProof/>
                <w:sz w:val="20"/>
                <w:szCs w:val="20"/>
              </w:rPr>
              <w:t>III.1. Principales Consideraciones: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_Toc177028188 \h </w:instrText>
            </w:r>
            <w:r w:rsidR="007F13DE" w:rsidRPr="007F13DE">
              <w:rPr>
                <w:noProof/>
                <w:webHidden/>
              </w:rPr>
            </w:r>
            <w:r w:rsidR="007F13DE" w:rsidRPr="007F13DE">
              <w:rPr>
                <w:noProof/>
                <w:webHidden/>
              </w:rPr>
              <w:fldChar w:fldCharType="separate"/>
            </w:r>
            <w:r w:rsidR="0038776F">
              <w:rPr>
                <w:noProof/>
                <w:webHidden/>
              </w:rPr>
              <w:t>10</w:t>
            </w:r>
            <w:r w:rsidR="007F13DE" w:rsidRPr="007F13DE">
              <w:rPr>
                <w:noProof/>
                <w:webHidden/>
              </w:rPr>
              <w:fldChar w:fldCharType="end"/>
            </w:r>
          </w:hyperlink>
        </w:p>
        <w:p w14:paraId="62E79B80" w14:textId="3A32D7C3" w:rsidR="007F13DE" w:rsidRPr="007F13DE" w:rsidRDefault="00000000" w:rsidP="0038776F">
          <w:pPr>
            <w:pStyle w:val="TOC2"/>
            <w:rPr>
              <w:rFonts w:eastAsiaTheme="minorEastAsia"/>
              <w:noProof/>
              <w:kern w:val="2"/>
              <w14:ligatures w14:val="standardContextual"/>
            </w:rPr>
          </w:pPr>
          <w:hyperlink w:anchor="_Toc177028189" w:history="1">
            <w:r w:rsidR="007F13DE" w:rsidRPr="007F13DE">
              <w:rPr>
                <w:rStyle w:val="Hyperlink"/>
                <w:noProof/>
                <w:sz w:val="20"/>
                <w:szCs w:val="20"/>
                <w:lang w:val="es-ES"/>
              </w:rPr>
              <w:t>III.2. Cálculo de la Media Generalizada:</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_Toc177028189 \h </w:instrText>
            </w:r>
            <w:r w:rsidR="007F13DE" w:rsidRPr="007F13DE">
              <w:rPr>
                <w:noProof/>
                <w:webHidden/>
              </w:rPr>
            </w:r>
            <w:r w:rsidR="007F13DE" w:rsidRPr="007F13DE">
              <w:rPr>
                <w:noProof/>
                <w:webHidden/>
              </w:rPr>
              <w:fldChar w:fldCharType="separate"/>
            </w:r>
            <w:r w:rsidR="0038776F">
              <w:rPr>
                <w:noProof/>
                <w:webHidden/>
              </w:rPr>
              <w:t>10</w:t>
            </w:r>
            <w:r w:rsidR="007F13DE" w:rsidRPr="007F13DE">
              <w:rPr>
                <w:noProof/>
                <w:webHidden/>
              </w:rPr>
              <w:fldChar w:fldCharType="end"/>
            </w:r>
          </w:hyperlink>
        </w:p>
        <w:p w14:paraId="6A45789B" w14:textId="5B204520" w:rsidR="007F13DE" w:rsidRPr="007F13DE" w:rsidRDefault="00000000" w:rsidP="0038776F">
          <w:pPr>
            <w:pStyle w:val="TOC2"/>
            <w:rPr>
              <w:rFonts w:eastAsiaTheme="minorEastAsia"/>
              <w:noProof/>
              <w:kern w:val="2"/>
              <w14:ligatures w14:val="standardContextual"/>
            </w:rPr>
          </w:pPr>
          <w:hyperlink w:anchor="_Toc177028190" w:history="1">
            <w:r w:rsidR="007F13DE" w:rsidRPr="007F13DE">
              <w:rPr>
                <w:rStyle w:val="Hyperlink"/>
                <w:noProof/>
                <w:sz w:val="20"/>
                <w:szCs w:val="20"/>
                <w:lang w:val="es-ES"/>
              </w:rPr>
              <w:t>III.3. Análisis de Componentes Principales: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_Toc177028190 \h </w:instrText>
            </w:r>
            <w:r w:rsidR="007F13DE" w:rsidRPr="007F13DE">
              <w:rPr>
                <w:noProof/>
                <w:webHidden/>
              </w:rPr>
            </w:r>
            <w:r w:rsidR="007F13DE" w:rsidRPr="007F13DE">
              <w:rPr>
                <w:noProof/>
                <w:webHidden/>
              </w:rPr>
              <w:fldChar w:fldCharType="separate"/>
            </w:r>
            <w:r w:rsidR="0038776F">
              <w:rPr>
                <w:noProof/>
                <w:webHidden/>
              </w:rPr>
              <w:t>11</w:t>
            </w:r>
            <w:r w:rsidR="007F13DE" w:rsidRPr="007F13DE">
              <w:rPr>
                <w:noProof/>
                <w:webHidden/>
              </w:rPr>
              <w:fldChar w:fldCharType="end"/>
            </w:r>
          </w:hyperlink>
        </w:p>
        <w:p w14:paraId="0630BCDC" w14:textId="695284A4" w:rsidR="007F13DE" w:rsidRPr="007F13DE" w:rsidRDefault="00000000" w:rsidP="0038776F">
          <w:pPr>
            <w:pStyle w:val="TOC2"/>
            <w:rPr>
              <w:rFonts w:eastAsiaTheme="minorEastAsia"/>
              <w:noProof/>
              <w:kern w:val="2"/>
              <w14:ligatures w14:val="standardContextual"/>
            </w:rPr>
          </w:pPr>
          <w:hyperlink w:anchor="_Toc177028191" w:history="1">
            <w:r w:rsidR="007F13DE" w:rsidRPr="007F13DE">
              <w:rPr>
                <w:rStyle w:val="Hyperlink"/>
                <w:noProof/>
                <w:sz w:val="20"/>
                <w:szCs w:val="20"/>
                <w:lang w:val="es-ES"/>
              </w:rPr>
              <w:t>III.4. Análisis de sensibilidad:</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_Toc177028191 \h </w:instrText>
            </w:r>
            <w:r w:rsidR="007F13DE" w:rsidRPr="007F13DE">
              <w:rPr>
                <w:noProof/>
                <w:webHidden/>
              </w:rPr>
            </w:r>
            <w:r w:rsidR="007F13DE" w:rsidRPr="007F13DE">
              <w:rPr>
                <w:noProof/>
                <w:webHidden/>
              </w:rPr>
              <w:fldChar w:fldCharType="separate"/>
            </w:r>
            <w:r w:rsidR="0038776F">
              <w:rPr>
                <w:noProof/>
                <w:webHidden/>
              </w:rPr>
              <w:t>11</w:t>
            </w:r>
            <w:r w:rsidR="007F13DE" w:rsidRPr="007F13DE">
              <w:rPr>
                <w:noProof/>
                <w:webHidden/>
              </w:rPr>
              <w:fldChar w:fldCharType="end"/>
            </w:r>
          </w:hyperlink>
        </w:p>
        <w:p w14:paraId="16CA02A4" w14:textId="239371F8" w:rsidR="007F13DE" w:rsidRPr="007F13DE" w:rsidRDefault="00000000" w:rsidP="0038776F">
          <w:pPr>
            <w:pStyle w:val="TOC2"/>
            <w:rPr>
              <w:rFonts w:eastAsiaTheme="minorEastAsia"/>
              <w:noProof/>
              <w:kern w:val="2"/>
              <w14:ligatures w14:val="standardContextual"/>
            </w:rPr>
          </w:pPr>
          <w:hyperlink w:anchor="_Toc177028192" w:history="1">
            <w:r w:rsidR="007F13DE" w:rsidRPr="007F13DE">
              <w:rPr>
                <w:rStyle w:val="Hyperlink"/>
                <w:noProof/>
                <w:sz w:val="20"/>
                <w:szCs w:val="20"/>
                <w:lang w:val="es-ES"/>
              </w:rPr>
              <w:t>III.5. Componentes por regiones: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_Toc177028192 \h </w:instrText>
            </w:r>
            <w:r w:rsidR="007F13DE" w:rsidRPr="007F13DE">
              <w:rPr>
                <w:noProof/>
                <w:webHidden/>
              </w:rPr>
            </w:r>
            <w:r w:rsidR="007F13DE" w:rsidRPr="007F13DE">
              <w:rPr>
                <w:noProof/>
                <w:webHidden/>
              </w:rPr>
              <w:fldChar w:fldCharType="separate"/>
            </w:r>
            <w:r w:rsidR="0038776F">
              <w:rPr>
                <w:noProof/>
                <w:webHidden/>
              </w:rPr>
              <w:t>12</w:t>
            </w:r>
            <w:r w:rsidR="007F13DE" w:rsidRPr="007F13DE">
              <w:rPr>
                <w:noProof/>
                <w:webHidden/>
              </w:rPr>
              <w:fldChar w:fldCharType="end"/>
            </w:r>
          </w:hyperlink>
        </w:p>
        <w:p w14:paraId="5ED40253" w14:textId="7E2A1315" w:rsidR="007F13DE" w:rsidRPr="007F13DE" w:rsidRDefault="00000000" w:rsidP="0038776F">
          <w:pPr>
            <w:pStyle w:val="TOC2"/>
            <w:rPr>
              <w:rFonts w:eastAsiaTheme="minorEastAsia"/>
              <w:noProof/>
              <w:kern w:val="2"/>
              <w14:ligatures w14:val="standardContextual"/>
            </w:rPr>
          </w:pPr>
          <w:hyperlink w:anchor="_Toc177028193" w:history="1">
            <w:r w:rsidR="007F13DE" w:rsidRPr="007F13DE">
              <w:rPr>
                <w:rStyle w:val="Hyperlink"/>
                <w:noProof/>
                <w:sz w:val="20"/>
                <w:szCs w:val="20"/>
                <w:lang w:val="es-ES"/>
              </w:rPr>
              <w:t>III.6. Componentes y PIB per cápita:</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_Toc177028193 \h </w:instrText>
            </w:r>
            <w:r w:rsidR="007F13DE" w:rsidRPr="007F13DE">
              <w:rPr>
                <w:noProof/>
                <w:webHidden/>
              </w:rPr>
            </w:r>
            <w:r w:rsidR="007F13DE" w:rsidRPr="007F13DE">
              <w:rPr>
                <w:noProof/>
                <w:webHidden/>
              </w:rPr>
              <w:fldChar w:fldCharType="separate"/>
            </w:r>
            <w:r w:rsidR="0038776F">
              <w:rPr>
                <w:noProof/>
                <w:webHidden/>
              </w:rPr>
              <w:t>12</w:t>
            </w:r>
            <w:r w:rsidR="007F13DE" w:rsidRPr="007F13DE">
              <w:rPr>
                <w:noProof/>
                <w:webHidden/>
              </w:rPr>
              <w:fldChar w:fldCharType="end"/>
            </w:r>
          </w:hyperlink>
        </w:p>
        <w:p w14:paraId="066A2590" w14:textId="21EE5540"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194" w:history="1">
            <w:r w:rsidR="007F13DE" w:rsidRPr="007F13DE">
              <w:rPr>
                <w:rStyle w:val="Hyperlink"/>
                <w:noProof/>
                <w:sz w:val="20"/>
                <w:szCs w:val="20"/>
                <w:lang w:val="es-ES"/>
              </w:rPr>
              <w:t>Fase IV. Agregación por dimensiones</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_Toc177028194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12</w:t>
            </w:r>
            <w:r w:rsidR="007F13DE" w:rsidRPr="007F13DE">
              <w:rPr>
                <w:noProof/>
                <w:webHidden/>
                <w:sz w:val="20"/>
                <w:szCs w:val="20"/>
              </w:rPr>
              <w:fldChar w:fldCharType="end"/>
            </w:r>
          </w:hyperlink>
        </w:p>
        <w:p w14:paraId="312FBF02" w14:textId="44D1B3BC" w:rsidR="007F13DE" w:rsidRPr="007F13DE" w:rsidRDefault="00000000" w:rsidP="0038776F">
          <w:pPr>
            <w:pStyle w:val="TOC2"/>
            <w:rPr>
              <w:rFonts w:eastAsiaTheme="minorEastAsia"/>
              <w:noProof/>
              <w:kern w:val="2"/>
              <w14:ligatures w14:val="standardContextual"/>
            </w:rPr>
          </w:pPr>
          <w:hyperlink w:anchor="_Toc177028195" w:history="1">
            <w:r w:rsidR="007F13DE" w:rsidRPr="007F13DE">
              <w:rPr>
                <w:rStyle w:val="Hyperlink"/>
                <w:noProof/>
                <w:sz w:val="20"/>
                <w:szCs w:val="20"/>
                <w:lang w:val="es-ES"/>
              </w:rPr>
              <w:t>IV.1. Agregación:</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_Toc177028195 \h </w:instrText>
            </w:r>
            <w:r w:rsidR="007F13DE" w:rsidRPr="007F13DE">
              <w:rPr>
                <w:noProof/>
                <w:webHidden/>
              </w:rPr>
            </w:r>
            <w:r w:rsidR="007F13DE" w:rsidRPr="007F13DE">
              <w:rPr>
                <w:noProof/>
                <w:webHidden/>
              </w:rPr>
              <w:fldChar w:fldCharType="separate"/>
            </w:r>
            <w:r w:rsidR="0038776F">
              <w:rPr>
                <w:noProof/>
                <w:webHidden/>
              </w:rPr>
              <w:t>12</w:t>
            </w:r>
            <w:r w:rsidR="007F13DE" w:rsidRPr="007F13DE">
              <w:rPr>
                <w:noProof/>
                <w:webHidden/>
              </w:rPr>
              <w:fldChar w:fldCharType="end"/>
            </w:r>
          </w:hyperlink>
        </w:p>
        <w:p w14:paraId="0FBF8453" w14:textId="7605F0C1" w:rsidR="007F13DE" w:rsidRPr="007F13DE" w:rsidRDefault="00000000" w:rsidP="0038776F">
          <w:pPr>
            <w:pStyle w:val="TOC2"/>
            <w:rPr>
              <w:rFonts w:eastAsiaTheme="minorEastAsia"/>
              <w:noProof/>
              <w:kern w:val="2"/>
              <w14:ligatures w14:val="standardContextual"/>
            </w:rPr>
          </w:pPr>
          <w:hyperlink w:anchor="_Toc177028196" w:history="1">
            <w:r w:rsidR="007F13DE" w:rsidRPr="007F13DE">
              <w:rPr>
                <w:rStyle w:val="Hyperlink"/>
                <w:noProof/>
                <w:sz w:val="20"/>
                <w:szCs w:val="20"/>
                <w:lang w:val="es-ES"/>
              </w:rPr>
              <w:t>IV.2. Análisis: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_Toc177028196 \h </w:instrText>
            </w:r>
            <w:r w:rsidR="007F13DE" w:rsidRPr="007F13DE">
              <w:rPr>
                <w:noProof/>
                <w:webHidden/>
              </w:rPr>
            </w:r>
            <w:r w:rsidR="007F13DE" w:rsidRPr="007F13DE">
              <w:rPr>
                <w:noProof/>
                <w:webHidden/>
              </w:rPr>
              <w:fldChar w:fldCharType="separate"/>
            </w:r>
            <w:r w:rsidR="0038776F">
              <w:rPr>
                <w:noProof/>
                <w:webHidden/>
              </w:rPr>
              <w:t>12</w:t>
            </w:r>
            <w:r w:rsidR="007F13DE" w:rsidRPr="007F13DE">
              <w:rPr>
                <w:noProof/>
                <w:webHidden/>
              </w:rPr>
              <w:fldChar w:fldCharType="end"/>
            </w:r>
          </w:hyperlink>
        </w:p>
        <w:p w14:paraId="41441A67" w14:textId="4FD8F9BA" w:rsidR="007F13DE" w:rsidRPr="007F13DE" w:rsidRDefault="00000000" w:rsidP="0038776F">
          <w:pPr>
            <w:pStyle w:val="TOC2"/>
            <w:rPr>
              <w:rFonts w:eastAsiaTheme="minorEastAsia"/>
              <w:noProof/>
              <w:kern w:val="2"/>
              <w14:ligatures w14:val="standardContextual"/>
            </w:rPr>
          </w:pPr>
          <w:hyperlink w:anchor="_Toc177028197" w:history="1">
            <w:r w:rsidR="007F13DE" w:rsidRPr="007F13DE">
              <w:rPr>
                <w:rStyle w:val="Hyperlink"/>
                <w:noProof/>
                <w:sz w:val="20"/>
                <w:szCs w:val="20"/>
                <w:lang w:val="es-ES"/>
              </w:rPr>
              <w:t>IV.3. Dimensiones y PIB per cápita:</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_Toc177028197 \h </w:instrText>
            </w:r>
            <w:r w:rsidR="007F13DE" w:rsidRPr="007F13DE">
              <w:rPr>
                <w:noProof/>
                <w:webHidden/>
              </w:rPr>
            </w:r>
            <w:r w:rsidR="007F13DE" w:rsidRPr="007F13DE">
              <w:rPr>
                <w:noProof/>
                <w:webHidden/>
              </w:rPr>
              <w:fldChar w:fldCharType="separate"/>
            </w:r>
            <w:r w:rsidR="0038776F">
              <w:rPr>
                <w:noProof/>
                <w:webHidden/>
              </w:rPr>
              <w:t>13</w:t>
            </w:r>
            <w:r w:rsidR="007F13DE" w:rsidRPr="007F13DE">
              <w:rPr>
                <w:noProof/>
                <w:webHidden/>
              </w:rPr>
              <w:fldChar w:fldCharType="end"/>
            </w:r>
          </w:hyperlink>
        </w:p>
        <w:p w14:paraId="6CB5A85F" w14:textId="2BC7ECBE"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198" w:history="1">
            <w:r w:rsidR="007F13DE" w:rsidRPr="007F13DE">
              <w:rPr>
                <w:rStyle w:val="Hyperlink"/>
                <w:noProof/>
                <w:sz w:val="20"/>
                <w:szCs w:val="20"/>
                <w:lang w:val="es-ES"/>
              </w:rPr>
              <w:t>Fase V. Agregación SPI-EU</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_Toc177028198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13</w:t>
            </w:r>
            <w:r w:rsidR="007F13DE" w:rsidRPr="007F13DE">
              <w:rPr>
                <w:noProof/>
                <w:webHidden/>
                <w:sz w:val="20"/>
                <w:szCs w:val="20"/>
              </w:rPr>
              <w:fldChar w:fldCharType="end"/>
            </w:r>
          </w:hyperlink>
        </w:p>
        <w:p w14:paraId="1009453E" w14:textId="251E8DA9" w:rsidR="007F13DE" w:rsidRPr="007F13DE" w:rsidRDefault="00000000" w:rsidP="0038776F">
          <w:pPr>
            <w:pStyle w:val="TOC2"/>
            <w:rPr>
              <w:rFonts w:eastAsiaTheme="minorEastAsia"/>
              <w:noProof/>
              <w:kern w:val="2"/>
              <w14:ligatures w14:val="standardContextual"/>
            </w:rPr>
          </w:pPr>
          <w:hyperlink w:anchor="_Toc177028199" w:history="1">
            <w:r w:rsidR="007F13DE" w:rsidRPr="007F13DE">
              <w:rPr>
                <w:rStyle w:val="Hyperlink"/>
                <w:noProof/>
                <w:sz w:val="20"/>
                <w:szCs w:val="20"/>
                <w:lang w:val="es-ES"/>
              </w:rPr>
              <w:t>V.1. Análisis: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_Toc177028199 \h </w:instrText>
            </w:r>
            <w:r w:rsidR="007F13DE" w:rsidRPr="007F13DE">
              <w:rPr>
                <w:noProof/>
                <w:webHidden/>
              </w:rPr>
            </w:r>
            <w:r w:rsidR="007F13DE" w:rsidRPr="007F13DE">
              <w:rPr>
                <w:noProof/>
                <w:webHidden/>
              </w:rPr>
              <w:fldChar w:fldCharType="separate"/>
            </w:r>
            <w:r w:rsidR="0038776F">
              <w:rPr>
                <w:noProof/>
                <w:webHidden/>
              </w:rPr>
              <w:t>13</w:t>
            </w:r>
            <w:r w:rsidR="007F13DE" w:rsidRPr="007F13DE">
              <w:rPr>
                <w:noProof/>
                <w:webHidden/>
              </w:rPr>
              <w:fldChar w:fldCharType="end"/>
            </w:r>
          </w:hyperlink>
        </w:p>
        <w:p w14:paraId="4EB21165" w14:textId="0886FFAC" w:rsidR="007F13DE" w:rsidRPr="007F13DE" w:rsidRDefault="00000000" w:rsidP="0038776F">
          <w:pPr>
            <w:pStyle w:val="TOC2"/>
            <w:rPr>
              <w:rFonts w:eastAsiaTheme="minorEastAsia"/>
              <w:noProof/>
              <w:kern w:val="2"/>
              <w14:ligatures w14:val="standardContextual"/>
            </w:rPr>
          </w:pPr>
          <w:hyperlink w:anchor="_Toc177028200" w:history="1">
            <w:r w:rsidR="007F13DE" w:rsidRPr="007F13DE">
              <w:rPr>
                <w:rStyle w:val="Hyperlink"/>
                <w:noProof/>
                <w:sz w:val="20"/>
                <w:szCs w:val="20"/>
                <w:lang w:val="es-ES"/>
              </w:rPr>
              <w:t>V.2. SPI-EU por países: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_Toc177028200 \h </w:instrText>
            </w:r>
            <w:r w:rsidR="007F13DE" w:rsidRPr="007F13DE">
              <w:rPr>
                <w:noProof/>
                <w:webHidden/>
              </w:rPr>
            </w:r>
            <w:r w:rsidR="007F13DE" w:rsidRPr="007F13DE">
              <w:rPr>
                <w:noProof/>
                <w:webHidden/>
              </w:rPr>
              <w:fldChar w:fldCharType="separate"/>
            </w:r>
            <w:r w:rsidR="0038776F">
              <w:rPr>
                <w:noProof/>
                <w:webHidden/>
              </w:rPr>
              <w:t>13</w:t>
            </w:r>
            <w:r w:rsidR="007F13DE" w:rsidRPr="007F13DE">
              <w:rPr>
                <w:noProof/>
                <w:webHidden/>
              </w:rPr>
              <w:fldChar w:fldCharType="end"/>
            </w:r>
          </w:hyperlink>
        </w:p>
        <w:p w14:paraId="20524089" w14:textId="4A51C753" w:rsidR="007F13DE" w:rsidRPr="007F13DE" w:rsidRDefault="00000000" w:rsidP="0038776F">
          <w:pPr>
            <w:pStyle w:val="TOC2"/>
            <w:rPr>
              <w:rFonts w:eastAsiaTheme="minorEastAsia"/>
              <w:noProof/>
              <w:kern w:val="2"/>
              <w14:ligatures w14:val="standardContextual"/>
            </w:rPr>
          </w:pPr>
          <w:hyperlink w:anchor="_Toc177028201" w:history="1">
            <w:r w:rsidR="007F13DE" w:rsidRPr="007F13DE">
              <w:rPr>
                <w:rStyle w:val="Hyperlink"/>
                <w:noProof/>
                <w:sz w:val="20"/>
                <w:szCs w:val="20"/>
                <w:lang w:val="es-ES"/>
              </w:rPr>
              <w:t>V.3. SPI-EU por regiones: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_Toc177028201 \h </w:instrText>
            </w:r>
            <w:r w:rsidR="007F13DE" w:rsidRPr="007F13DE">
              <w:rPr>
                <w:noProof/>
                <w:webHidden/>
              </w:rPr>
            </w:r>
            <w:r w:rsidR="007F13DE" w:rsidRPr="007F13DE">
              <w:rPr>
                <w:noProof/>
                <w:webHidden/>
              </w:rPr>
              <w:fldChar w:fldCharType="separate"/>
            </w:r>
            <w:r w:rsidR="0038776F">
              <w:rPr>
                <w:noProof/>
                <w:webHidden/>
              </w:rPr>
              <w:t>14</w:t>
            </w:r>
            <w:r w:rsidR="007F13DE" w:rsidRPr="007F13DE">
              <w:rPr>
                <w:noProof/>
                <w:webHidden/>
              </w:rPr>
              <w:fldChar w:fldCharType="end"/>
            </w:r>
          </w:hyperlink>
        </w:p>
        <w:p w14:paraId="0E829061" w14:textId="68753924" w:rsidR="007F13DE" w:rsidRPr="007F13DE" w:rsidRDefault="00000000" w:rsidP="0038776F">
          <w:pPr>
            <w:pStyle w:val="TOC2"/>
            <w:rPr>
              <w:rFonts w:eastAsiaTheme="minorEastAsia"/>
              <w:noProof/>
              <w:kern w:val="2"/>
              <w14:ligatures w14:val="standardContextual"/>
            </w:rPr>
          </w:pPr>
          <w:hyperlink w:anchor="_Toc177028202" w:history="1">
            <w:r w:rsidR="007F13DE" w:rsidRPr="007F13DE">
              <w:rPr>
                <w:rStyle w:val="Hyperlink"/>
                <w:noProof/>
                <w:sz w:val="20"/>
                <w:szCs w:val="20"/>
                <w:lang w:val="es-ES"/>
              </w:rPr>
              <w:t>V.4. GDP per cápita:</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_Toc177028202 \h </w:instrText>
            </w:r>
            <w:r w:rsidR="007F13DE" w:rsidRPr="007F13DE">
              <w:rPr>
                <w:noProof/>
                <w:webHidden/>
              </w:rPr>
            </w:r>
            <w:r w:rsidR="007F13DE" w:rsidRPr="007F13DE">
              <w:rPr>
                <w:noProof/>
                <w:webHidden/>
              </w:rPr>
              <w:fldChar w:fldCharType="separate"/>
            </w:r>
            <w:r w:rsidR="0038776F">
              <w:rPr>
                <w:noProof/>
                <w:webHidden/>
              </w:rPr>
              <w:t>14</w:t>
            </w:r>
            <w:r w:rsidR="007F13DE" w:rsidRPr="007F13DE">
              <w:rPr>
                <w:noProof/>
                <w:webHidden/>
              </w:rPr>
              <w:fldChar w:fldCharType="end"/>
            </w:r>
          </w:hyperlink>
        </w:p>
        <w:p w14:paraId="41E98D17" w14:textId="3E2B98A3"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203" w:history="1">
            <w:r w:rsidR="007F13DE" w:rsidRPr="007F13DE">
              <w:rPr>
                <w:rStyle w:val="Hyperlink"/>
                <w:noProof/>
                <w:sz w:val="20"/>
                <w:szCs w:val="20"/>
                <w:lang w:val="es-ES"/>
              </w:rPr>
              <w:t>Fase VI. Clustering</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_Toc177028203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15</w:t>
            </w:r>
            <w:r w:rsidR="007F13DE" w:rsidRPr="007F13DE">
              <w:rPr>
                <w:noProof/>
                <w:webHidden/>
                <w:sz w:val="20"/>
                <w:szCs w:val="20"/>
              </w:rPr>
              <w:fldChar w:fldCharType="end"/>
            </w:r>
          </w:hyperlink>
        </w:p>
        <w:p w14:paraId="37D67982" w14:textId="64FB2BC2" w:rsidR="007F13DE" w:rsidRPr="007F13DE" w:rsidRDefault="00000000" w:rsidP="0038776F">
          <w:pPr>
            <w:pStyle w:val="TOC2"/>
            <w:rPr>
              <w:rFonts w:eastAsiaTheme="minorEastAsia"/>
              <w:noProof/>
              <w:kern w:val="2"/>
              <w14:ligatures w14:val="standardContextual"/>
            </w:rPr>
          </w:pPr>
          <w:hyperlink w:anchor="_Toc177028204" w:history="1">
            <w:r w:rsidR="007F13DE" w:rsidRPr="007F13DE">
              <w:rPr>
                <w:rStyle w:val="Hyperlink"/>
                <w:noProof/>
                <w:sz w:val="20"/>
                <w:szCs w:val="20"/>
                <w:lang w:val="es-ES"/>
              </w:rPr>
              <w:t>VI.1. Ranking mejor y peor desempeño:</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_Toc177028204 \h </w:instrText>
            </w:r>
            <w:r w:rsidR="007F13DE" w:rsidRPr="007F13DE">
              <w:rPr>
                <w:noProof/>
                <w:webHidden/>
              </w:rPr>
            </w:r>
            <w:r w:rsidR="007F13DE" w:rsidRPr="007F13DE">
              <w:rPr>
                <w:noProof/>
                <w:webHidden/>
              </w:rPr>
              <w:fldChar w:fldCharType="separate"/>
            </w:r>
            <w:r w:rsidR="0038776F">
              <w:rPr>
                <w:noProof/>
                <w:webHidden/>
              </w:rPr>
              <w:t>15</w:t>
            </w:r>
            <w:r w:rsidR="007F13DE" w:rsidRPr="007F13DE">
              <w:rPr>
                <w:noProof/>
                <w:webHidden/>
              </w:rPr>
              <w:fldChar w:fldCharType="end"/>
            </w:r>
          </w:hyperlink>
        </w:p>
        <w:p w14:paraId="3A003503" w14:textId="048AF7D6" w:rsidR="007F13DE" w:rsidRPr="007F13DE" w:rsidRDefault="00000000" w:rsidP="0038776F">
          <w:pPr>
            <w:pStyle w:val="TOC2"/>
            <w:rPr>
              <w:rFonts w:eastAsiaTheme="minorEastAsia"/>
              <w:noProof/>
              <w:kern w:val="2"/>
              <w14:ligatures w14:val="standardContextual"/>
            </w:rPr>
          </w:pPr>
          <w:hyperlink w:anchor="_Toc177028205" w:history="1">
            <w:r w:rsidR="007F13DE" w:rsidRPr="007F13DE">
              <w:rPr>
                <w:rStyle w:val="Hyperlink"/>
                <w:noProof/>
                <w:sz w:val="20"/>
                <w:szCs w:val="20"/>
                <w:lang w:val="es-ES"/>
              </w:rPr>
              <w:t>VI.2. Comparación SPI y PIB per Cápita</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_Toc177028205 \h </w:instrText>
            </w:r>
            <w:r w:rsidR="007F13DE" w:rsidRPr="007F13DE">
              <w:rPr>
                <w:noProof/>
                <w:webHidden/>
              </w:rPr>
            </w:r>
            <w:r w:rsidR="007F13DE" w:rsidRPr="007F13DE">
              <w:rPr>
                <w:noProof/>
                <w:webHidden/>
              </w:rPr>
              <w:fldChar w:fldCharType="separate"/>
            </w:r>
            <w:r w:rsidR="0038776F">
              <w:rPr>
                <w:noProof/>
                <w:webHidden/>
              </w:rPr>
              <w:t>15</w:t>
            </w:r>
            <w:r w:rsidR="007F13DE" w:rsidRPr="007F13DE">
              <w:rPr>
                <w:noProof/>
                <w:webHidden/>
              </w:rPr>
              <w:fldChar w:fldCharType="end"/>
            </w:r>
          </w:hyperlink>
        </w:p>
        <w:p w14:paraId="34FE8430" w14:textId="11A63AAD" w:rsidR="007F13DE" w:rsidRPr="007F13DE" w:rsidRDefault="00000000" w:rsidP="0038776F">
          <w:pPr>
            <w:pStyle w:val="TOC2"/>
            <w:rPr>
              <w:rFonts w:eastAsiaTheme="minorEastAsia"/>
              <w:noProof/>
              <w:kern w:val="2"/>
              <w14:ligatures w14:val="standardContextual"/>
            </w:rPr>
          </w:pPr>
          <w:hyperlink w:anchor="_Toc177028206" w:history="1">
            <w:r w:rsidR="007F13DE" w:rsidRPr="007F13DE">
              <w:rPr>
                <w:rStyle w:val="Hyperlink"/>
                <w:noProof/>
                <w:sz w:val="20"/>
                <w:szCs w:val="20"/>
                <w:lang w:val="es-ES"/>
              </w:rPr>
              <w:t>VI.3. Clasificación por SPI y PIB per cápita:</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_Toc177028206 \h </w:instrText>
            </w:r>
            <w:r w:rsidR="007F13DE" w:rsidRPr="007F13DE">
              <w:rPr>
                <w:noProof/>
                <w:webHidden/>
              </w:rPr>
            </w:r>
            <w:r w:rsidR="007F13DE" w:rsidRPr="007F13DE">
              <w:rPr>
                <w:noProof/>
                <w:webHidden/>
              </w:rPr>
              <w:fldChar w:fldCharType="separate"/>
            </w:r>
            <w:r w:rsidR="0038776F">
              <w:rPr>
                <w:noProof/>
                <w:webHidden/>
              </w:rPr>
              <w:t>16</w:t>
            </w:r>
            <w:r w:rsidR="007F13DE" w:rsidRPr="007F13DE">
              <w:rPr>
                <w:noProof/>
                <w:webHidden/>
              </w:rPr>
              <w:fldChar w:fldCharType="end"/>
            </w:r>
          </w:hyperlink>
        </w:p>
        <w:p w14:paraId="232205F2" w14:textId="0D623566" w:rsidR="007F13DE" w:rsidRPr="007F13DE" w:rsidRDefault="00000000" w:rsidP="0038776F">
          <w:pPr>
            <w:pStyle w:val="TOC2"/>
            <w:rPr>
              <w:rFonts w:eastAsiaTheme="minorEastAsia"/>
              <w:noProof/>
              <w:kern w:val="2"/>
              <w14:ligatures w14:val="standardContextual"/>
            </w:rPr>
          </w:pPr>
          <w:hyperlink w:anchor="_Toc177028207" w:history="1">
            <w:r w:rsidR="007F13DE" w:rsidRPr="007F13DE">
              <w:rPr>
                <w:rStyle w:val="Hyperlink"/>
                <w:noProof/>
                <w:sz w:val="20"/>
                <w:szCs w:val="20"/>
              </w:rPr>
              <w:t>VI.4. K-Means Clustering:</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_Toc177028207 \h </w:instrText>
            </w:r>
            <w:r w:rsidR="007F13DE" w:rsidRPr="007F13DE">
              <w:rPr>
                <w:noProof/>
                <w:webHidden/>
              </w:rPr>
            </w:r>
            <w:r w:rsidR="007F13DE" w:rsidRPr="007F13DE">
              <w:rPr>
                <w:noProof/>
                <w:webHidden/>
              </w:rPr>
              <w:fldChar w:fldCharType="separate"/>
            </w:r>
            <w:r w:rsidR="0038776F">
              <w:rPr>
                <w:noProof/>
                <w:webHidden/>
              </w:rPr>
              <w:t>17</w:t>
            </w:r>
            <w:r w:rsidR="007F13DE" w:rsidRPr="007F13DE">
              <w:rPr>
                <w:noProof/>
                <w:webHidden/>
              </w:rPr>
              <w:fldChar w:fldCharType="end"/>
            </w:r>
          </w:hyperlink>
        </w:p>
        <w:p w14:paraId="6B4AECF4" w14:textId="7CF8DEBA" w:rsidR="007F13DE" w:rsidRPr="007F13DE" w:rsidRDefault="00000000" w:rsidP="007F13DE">
          <w:pPr>
            <w:pStyle w:val="TOC3"/>
            <w:tabs>
              <w:tab w:val="right" w:leader="dot" w:pos="9350"/>
            </w:tabs>
            <w:spacing w:line="240" w:lineRule="auto"/>
            <w:rPr>
              <w:rFonts w:eastAsiaTheme="minorEastAsia"/>
              <w:noProof/>
              <w:kern w:val="2"/>
              <w:sz w:val="20"/>
              <w:szCs w:val="20"/>
              <w14:ligatures w14:val="standardContextual"/>
            </w:rPr>
          </w:pPr>
          <w:hyperlink w:anchor="_Toc177028208" w:history="1">
            <w:r w:rsidR="007F13DE" w:rsidRPr="007F13DE">
              <w:rPr>
                <w:rStyle w:val="Hyperlink"/>
                <w:noProof/>
                <w:sz w:val="20"/>
                <w:szCs w:val="20"/>
                <w:lang w:val="es-ES"/>
              </w:rPr>
              <w:t>Clasificación de 4 grupos:</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_Toc177028208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17</w:t>
            </w:r>
            <w:r w:rsidR="007F13DE" w:rsidRPr="007F13DE">
              <w:rPr>
                <w:noProof/>
                <w:webHidden/>
                <w:sz w:val="20"/>
                <w:szCs w:val="20"/>
              </w:rPr>
              <w:fldChar w:fldCharType="end"/>
            </w:r>
          </w:hyperlink>
        </w:p>
        <w:p w14:paraId="347136E4" w14:textId="0C59BE17" w:rsidR="007F13DE" w:rsidRPr="007F13DE" w:rsidRDefault="00000000" w:rsidP="007F13DE">
          <w:pPr>
            <w:pStyle w:val="TOC3"/>
            <w:tabs>
              <w:tab w:val="right" w:leader="dot" w:pos="9350"/>
            </w:tabs>
            <w:spacing w:line="240" w:lineRule="auto"/>
            <w:rPr>
              <w:rFonts w:eastAsiaTheme="minorEastAsia"/>
              <w:noProof/>
              <w:kern w:val="2"/>
              <w:sz w:val="20"/>
              <w:szCs w:val="20"/>
              <w14:ligatures w14:val="standardContextual"/>
            </w:rPr>
          </w:pPr>
          <w:hyperlink w:anchor="_Toc177028209" w:history="1">
            <w:r w:rsidR="007F13DE" w:rsidRPr="007F13DE">
              <w:rPr>
                <w:rStyle w:val="Hyperlink"/>
                <w:noProof/>
                <w:sz w:val="20"/>
                <w:szCs w:val="20"/>
                <w:lang w:val="es-ES"/>
              </w:rPr>
              <w:t>Clasificación de 5 grupos:</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_Toc177028209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17</w:t>
            </w:r>
            <w:r w:rsidR="007F13DE" w:rsidRPr="007F13DE">
              <w:rPr>
                <w:noProof/>
                <w:webHidden/>
                <w:sz w:val="20"/>
                <w:szCs w:val="20"/>
              </w:rPr>
              <w:fldChar w:fldCharType="end"/>
            </w:r>
          </w:hyperlink>
        </w:p>
        <w:p w14:paraId="7653922E" w14:textId="46076EE8" w:rsidR="007F13DE" w:rsidRPr="007F13DE" w:rsidRDefault="00000000" w:rsidP="0038776F">
          <w:pPr>
            <w:pStyle w:val="TOC2"/>
            <w:rPr>
              <w:rFonts w:eastAsiaTheme="minorEastAsia"/>
              <w:noProof/>
              <w:kern w:val="2"/>
              <w14:ligatures w14:val="standardContextual"/>
            </w:rPr>
          </w:pPr>
          <w:hyperlink w:anchor="_Toc177028210" w:history="1">
            <w:r w:rsidR="007F13DE" w:rsidRPr="007F13DE">
              <w:rPr>
                <w:rStyle w:val="Hyperlink"/>
                <w:noProof/>
                <w:sz w:val="20"/>
                <w:szCs w:val="20"/>
                <w:lang w:val="es-ES"/>
              </w:rPr>
              <w:t>VI.5. Clasificación por dimensiones:</w:t>
            </w:r>
            <w:r w:rsidR="007F13DE" w:rsidRPr="007F13DE">
              <w:rPr>
                <w:noProof/>
                <w:webHidden/>
              </w:rPr>
              <w:tab/>
            </w:r>
            <w:r w:rsidR="007F13DE" w:rsidRPr="007F13DE">
              <w:rPr>
                <w:noProof/>
                <w:webHidden/>
              </w:rPr>
              <w:fldChar w:fldCharType="begin"/>
            </w:r>
            <w:r w:rsidR="007F13DE" w:rsidRPr="007F13DE">
              <w:rPr>
                <w:noProof/>
                <w:webHidden/>
              </w:rPr>
              <w:instrText xml:space="preserve"> PAGEREF _Toc177028210 \h </w:instrText>
            </w:r>
            <w:r w:rsidR="007F13DE" w:rsidRPr="007F13DE">
              <w:rPr>
                <w:noProof/>
                <w:webHidden/>
              </w:rPr>
            </w:r>
            <w:r w:rsidR="007F13DE" w:rsidRPr="007F13DE">
              <w:rPr>
                <w:noProof/>
                <w:webHidden/>
              </w:rPr>
              <w:fldChar w:fldCharType="separate"/>
            </w:r>
            <w:r w:rsidR="0038776F">
              <w:rPr>
                <w:noProof/>
                <w:webHidden/>
              </w:rPr>
              <w:t>18</w:t>
            </w:r>
            <w:r w:rsidR="007F13DE" w:rsidRPr="007F13DE">
              <w:rPr>
                <w:noProof/>
                <w:webHidden/>
              </w:rPr>
              <w:fldChar w:fldCharType="end"/>
            </w:r>
          </w:hyperlink>
        </w:p>
        <w:p w14:paraId="7F1BE83E" w14:textId="14AF9407"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211" w:history="1">
            <w:r w:rsidR="007F13DE" w:rsidRPr="007F13DE">
              <w:rPr>
                <w:rStyle w:val="Hyperlink"/>
                <w:noProof/>
                <w:sz w:val="20"/>
                <w:szCs w:val="20"/>
                <w:lang w:val="es-ES"/>
              </w:rPr>
              <w:t>Líneas de investigación futura</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_Toc177028211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18</w:t>
            </w:r>
            <w:r w:rsidR="007F13DE" w:rsidRPr="007F13DE">
              <w:rPr>
                <w:noProof/>
                <w:webHidden/>
                <w:sz w:val="20"/>
                <w:szCs w:val="20"/>
              </w:rPr>
              <w:fldChar w:fldCharType="end"/>
            </w:r>
          </w:hyperlink>
        </w:p>
        <w:p w14:paraId="6CA98456" w14:textId="42AE90DE"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212" w:history="1">
            <w:r w:rsidR="007F13DE" w:rsidRPr="007F13DE">
              <w:rPr>
                <w:rStyle w:val="Hyperlink"/>
                <w:noProof/>
                <w:sz w:val="20"/>
                <w:szCs w:val="20"/>
                <w:lang w:val="es-ES"/>
              </w:rPr>
              <w:t>Conclusiones</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_Toc177028212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18</w:t>
            </w:r>
            <w:r w:rsidR="007F13DE" w:rsidRPr="007F13DE">
              <w:rPr>
                <w:noProof/>
                <w:webHidden/>
                <w:sz w:val="20"/>
                <w:szCs w:val="20"/>
              </w:rPr>
              <w:fldChar w:fldCharType="end"/>
            </w:r>
          </w:hyperlink>
        </w:p>
        <w:p w14:paraId="3E46D426" w14:textId="013D25DC"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213" w:history="1">
            <w:r w:rsidR="007F13DE" w:rsidRPr="007F13DE">
              <w:rPr>
                <w:rStyle w:val="Hyperlink"/>
                <w:noProof/>
                <w:sz w:val="20"/>
                <w:szCs w:val="20"/>
                <w:lang w:val="es-ES"/>
              </w:rPr>
              <w:t>Cuadro de Mando y Visualizaciones</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_Toc177028213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19</w:t>
            </w:r>
            <w:r w:rsidR="007F13DE" w:rsidRPr="007F13DE">
              <w:rPr>
                <w:noProof/>
                <w:webHidden/>
                <w:sz w:val="20"/>
                <w:szCs w:val="20"/>
              </w:rPr>
              <w:fldChar w:fldCharType="end"/>
            </w:r>
          </w:hyperlink>
        </w:p>
        <w:p w14:paraId="3E4587DA" w14:textId="78BED9DD" w:rsidR="007F13DE" w:rsidRPr="007F13DE" w:rsidRDefault="00000000" w:rsidP="007F13DE">
          <w:pPr>
            <w:pStyle w:val="TOC1"/>
            <w:tabs>
              <w:tab w:val="right" w:leader="dot" w:pos="9350"/>
            </w:tabs>
            <w:spacing w:line="240" w:lineRule="auto"/>
            <w:rPr>
              <w:rFonts w:cstheme="minorBidi"/>
              <w:noProof/>
              <w:kern w:val="2"/>
              <w:sz w:val="20"/>
              <w:szCs w:val="20"/>
              <w14:ligatures w14:val="standardContextual"/>
            </w:rPr>
          </w:pPr>
          <w:hyperlink w:anchor="_Toc177028214" w:history="1">
            <w:r w:rsidR="007F13DE" w:rsidRPr="007F13DE">
              <w:rPr>
                <w:rStyle w:val="Hyperlink"/>
                <w:noProof/>
                <w:sz w:val="20"/>
                <w:szCs w:val="20"/>
              </w:rPr>
              <w:t>Referencias</w:t>
            </w:r>
            <w:r w:rsidR="007F13DE" w:rsidRPr="007F13DE">
              <w:rPr>
                <w:noProof/>
                <w:webHidden/>
                <w:sz w:val="20"/>
                <w:szCs w:val="20"/>
              </w:rPr>
              <w:tab/>
            </w:r>
            <w:r w:rsidR="007F13DE" w:rsidRPr="007F13DE">
              <w:rPr>
                <w:noProof/>
                <w:webHidden/>
                <w:sz w:val="20"/>
                <w:szCs w:val="20"/>
              </w:rPr>
              <w:fldChar w:fldCharType="begin"/>
            </w:r>
            <w:r w:rsidR="007F13DE" w:rsidRPr="007F13DE">
              <w:rPr>
                <w:noProof/>
                <w:webHidden/>
                <w:sz w:val="20"/>
                <w:szCs w:val="20"/>
              </w:rPr>
              <w:instrText xml:space="preserve"> PAGEREF _Toc177028214 \h </w:instrText>
            </w:r>
            <w:r w:rsidR="007F13DE" w:rsidRPr="007F13DE">
              <w:rPr>
                <w:noProof/>
                <w:webHidden/>
                <w:sz w:val="20"/>
                <w:szCs w:val="20"/>
              </w:rPr>
            </w:r>
            <w:r w:rsidR="007F13DE" w:rsidRPr="007F13DE">
              <w:rPr>
                <w:noProof/>
                <w:webHidden/>
                <w:sz w:val="20"/>
                <w:szCs w:val="20"/>
              </w:rPr>
              <w:fldChar w:fldCharType="separate"/>
            </w:r>
            <w:r w:rsidR="0038776F">
              <w:rPr>
                <w:noProof/>
                <w:webHidden/>
                <w:sz w:val="20"/>
                <w:szCs w:val="20"/>
              </w:rPr>
              <w:t>19</w:t>
            </w:r>
            <w:r w:rsidR="007F13DE" w:rsidRPr="007F13DE">
              <w:rPr>
                <w:noProof/>
                <w:webHidden/>
                <w:sz w:val="20"/>
                <w:szCs w:val="20"/>
              </w:rPr>
              <w:fldChar w:fldCharType="end"/>
            </w:r>
          </w:hyperlink>
        </w:p>
        <w:p w14:paraId="727E2114" w14:textId="32F8711D" w:rsidR="007F13DE" w:rsidRDefault="007F13DE" w:rsidP="007F13DE">
          <w:pPr>
            <w:spacing w:line="240" w:lineRule="auto"/>
          </w:pPr>
          <w:r w:rsidRPr="007F13DE">
            <w:rPr>
              <w:b/>
              <w:bCs/>
              <w:noProof/>
              <w:sz w:val="20"/>
              <w:szCs w:val="20"/>
            </w:rPr>
            <w:fldChar w:fldCharType="end"/>
          </w:r>
        </w:p>
      </w:sdtContent>
    </w:sdt>
    <w:p w14:paraId="6A9D5E04" w14:textId="228672B3" w:rsidR="00EE7132" w:rsidRDefault="576062CF" w:rsidP="576062CF">
      <w:pPr>
        <w:rPr>
          <w:lang w:val="es-ES"/>
        </w:rPr>
      </w:pPr>
      <w:r w:rsidRPr="00910507">
        <w:rPr>
          <w:lang w:val="es-ES"/>
        </w:rPr>
        <w:br w:type="page"/>
      </w:r>
    </w:p>
    <w:p w14:paraId="6B382DAB" w14:textId="77777777" w:rsidR="00366D9E" w:rsidRPr="00E34484" w:rsidRDefault="0039422D" w:rsidP="00E34484">
      <w:pPr>
        <w:pStyle w:val="Heading1"/>
        <w:jc w:val="left"/>
        <w:rPr>
          <w:color w:val="4472C4" w:themeColor="accent1"/>
          <w:lang w:val="es-ES"/>
        </w:rPr>
      </w:pPr>
      <w:bookmarkStart w:id="0" w:name="_Toc177028011"/>
      <w:bookmarkStart w:id="1" w:name="_Toc177028173"/>
      <w:r w:rsidRPr="00E34484">
        <w:rPr>
          <w:color w:val="4472C4" w:themeColor="accent1"/>
          <w:lang w:val="es-ES"/>
        </w:rPr>
        <w:lastRenderedPageBreak/>
        <w:t>Resumen</w:t>
      </w:r>
      <w:bookmarkEnd w:id="0"/>
      <w:bookmarkEnd w:id="1"/>
    </w:p>
    <w:p w14:paraId="322CB338" w14:textId="4A5648EB" w:rsidR="00904DBE" w:rsidRPr="001C071A" w:rsidRDefault="00904DBE" w:rsidP="00366D9E">
      <w:pPr>
        <w:pStyle w:val="CaptionCallout"/>
        <w:spacing w:line="240" w:lineRule="auto"/>
        <w:rPr>
          <w:color w:val="2E74B5" w:themeColor="accent5" w:themeShade="BF"/>
          <w:sz w:val="24"/>
          <w:szCs w:val="24"/>
          <w:lang w:val="es-ES"/>
        </w:rPr>
      </w:pPr>
      <w:r w:rsidRPr="001C071A">
        <w:rPr>
          <w:color w:val="2E74B5" w:themeColor="accent5" w:themeShade="BF"/>
          <w:sz w:val="24"/>
          <w:szCs w:val="24"/>
          <w:lang w:val="es-ES"/>
        </w:rPr>
        <w:t xml:space="preserve"> </w:t>
      </w:r>
    </w:p>
    <w:p w14:paraId="7C0ABDDE" w14:textId="3CCDEB2F" w:rsidR="009F6DA2" w:rsidRDefault="009F6DA2" w:rsidP="006735B6">
      <w:pPr>
        <w:pStyle w:val="NoIndent"/>
        <w:spacing w:line="240" w:lineRule="auto"/>
        <w:rPr>
          <w:sz w:val="20"/>
          <w:szCs w:val="20"/>
          <w:lang w:val="es-ES"/>
        </w:rPr>
      </w:pPr>
      <w:r w:rsidRPr="0039422D">
        <w:rPr>
          <w:sz w:val="20"/>
          <w:szCs w:val="20"/>
          <w:lang w:val="es-ES"/>
        </w:rPr>
        <w:t>El SPI-E</w:t>
      </w:r>
      <w:r w:rsidR="006735B6">
        <w:rPr>
          <w:sz w:val="20"/>
          <w:szCs w:val="20"/>
          <w:lang w:val="es-ES"/>
        </w:rPr>
        <w:t>U</w:t>
      </w:r>
      <w:r w:rsidRPr="0039422D">
        <w:rPr>
          <w:sz w:val="20"/>
          <w:szCs w:val="20"/>
          <w:lang w:val="es-ES"/>
        </w:rPr>
        <w:t xml:space="preserve">, o Índice de Progreso Social de la Unión Europea (Social </w:t>
      </w:r>
      <w:proofErr w:type="spellStart"/>
      <w:r w:rsidRPr="0039422D">
        <w:rPr>
          <w:sz w:val="20"/>
          <w:szCs w:val="20"/>
          <w:lang w:val="es-ES"/>
        </w:rPr>
        <w:t>Progress</w:t>
      </w:r>
      <w:proofErr w:type="spellEnd"/>
      <w:r w:rsidRPr="0039422D">
        <w:rPr>
          <w:sz w:val="20"/>
          <w:szCs w:val="20"/>
          <w:lang w:val="es-ES"/>
        </w:rPr>
        <w:t xml:space="preserve"> </w:t>
      </w:r>
      <w:proofErr w:type="spellStart"/>
      <w:r w:rsidRPr="0039422D">
        <w:rPr>
          <w:sz w:val="20"/>
          <w:szCs w:val="20"/>
          <w:lang w:val="es-ES"/>
        </w:rPr>
        <w:t>Index</w:t>
      </w:r>
      <w:proofErr w:type="spellEnd"/>
      <w:r w:rsidRPr="0039422D">
        <w:rPr>
          <w:sz w:val="20"/>
          <w:szCs w:val="20"/>
          <w:lang w:val="es-ES"/>
        </w:rPr>
        <w:t xml:space="preserve"> - E</w:t>
      </w:r>
      <w:r w:rsidR="006735B6">
        <w:rPr>
          <w:sz w:val="20"/>
          <w:szCs w:val="20"/>
          <w:lang w:val="es-ES"/>
        </w:rPr>
        <w:t>U</w:t>
      </w:r>
      <w:r w:rsidRPr="0039422D">
        <w:rPr>
          <w:rStyle w:val="FootnoteReference"/>
          <w:rFonts w:cstheme="minorHAnsi"/>
          <w:sz w:val="20"/>
          <w:szCs w:val="20"/>
          <w:lang w:val="es-ES"/>
        </w:rPr>
        <w:footnoteReference w:id="2"/>
      </w:r>
      <w:r w:rsidRPr="0039422D">
        <w:rPr>
          <w:sz w:val="20"/>
          <w:szCs w:val="20"/>
          <w:lang w:val="es-ES"/>
        </w:rPr>
        <w:t>), es una herramienta que mide el desarrollo social y bienestar en la Unión Europea</w:t>
      </w:r>
      <w:r w:rsidR="00910507">
        <w:rPr>
          <w:sz w:val="20"/>
          <w:szCs w:val="20"/>
          <w:lang w:val="es-ES"/>
        </w:rPr>
        <w:t xml:space="preserve"> </w:t>
      </w:r>
      <w:r w:rsidRPr="0039422D">
        <w:rPr>
          <w:sz w:val="20"/>
          <w:szCs w:val="20"/>
          <w:lang w:val="es-ES"/>
        </w:rPr>
        <w:t>a nivel de regiones (NUTS 2</w:t>
      </w:r>
      <w:r w:rsidRPr="0039422D">
        <w:rPr>
          <w:rStyle w:val="FootnoteReference"/>
          <w:rFonts w:cstheme="minorHAnsi"/>
          <w:sz w:val="20"/>
          <w:szCs w:val="20"/>
          <w:lang w:val="es-ES"/>
        </w:rPr>
        <w:footnoteReference w:id="3"/>
      </w:r>
      <w:r w:rsidRPr="0039422D">
        <w:rPr>
          <w:sz w:val="20"/>
          <w:szCs w:val="20"/>
          <w:lang w:val="es-ES"/>
        </w:rPr>
        <w:t xml:space="preserve">). </w:t>
      </w:r>
      <w:r w:rsidR="00910507" w:rsidRPr="00910507">
        <w:rPr>
          <w:sz w:val="20"/>
          <w:szCs w:val="20"/>
          <w:lang w:val="es-ES"/>
        </w:rPr>
        <w:t>Este índice evalúa el progreso social en términos de calidad de vida, acceso a derechos y oportunidades, y sostenibilidad, proporcionando una visión más completa del desarrollo social en comparación con métricas económicas tradicionales, como el Producto Interior Bruto (PIB).</w:t>
      </w:r>
    </w:p>
    <w:p w14:paraId="1337E7F2" w14:textId="77777777" w:rsidR="00910507" w:rsidRPr="00910507" w:rsidRDefault="00910507" w:rsidP="006735B6">
      <w:pPr>
        <w:pStyle w:val="NoIndent"/>
        <w:spacing w:line="240" w:lineRule="auto"/>
        <w:rPr>
          <w:sz w:val="20"/>
          <w:szCs w:val="20"/>
          <w:lang w:val="es-ES"/>
        </w:rPr>
      </w:pPr>
    </w:p>
    <w:p w14:paraId="5726A34F" w14:textId="1B401427" w:rsidR="0039422D" w:rsidRPr="0039422D" w:rsidRDefault="00910507" w:rsidP="006735B6">
      <w:pPr>
        <w:pStyle w:val="NoIndent"/>
        <w:spacing w:line="240" w:lineRule="auto"/>
        <w:rPr>
          <w:sz w:val="20"/>
          <w:szCs w:val="20"/>
          <w:lang w:val="es-ES"/>
        </w:rPr>
      </w:pPr>
      <w:r w:rsidRPr="00910507">
        <w:rPr>
          <w:sz w:val="20"/>
          <w:szCs w:val="20"/>
          <w:lang w:val="es-ES"/>
        </w:rPr>
        <w:t>El objetivo de este trabajo es la construcción de un índice sintético compuesto, inspirado en el SPI-EU y desarrollado mediante código en Python</w:t>
      </w:r>
      <w:r w:rsidR="0039422D" w:rsidRPr="0039422D">
        <w:rPr>
          <w:sz w:val="20"/>
          <w:szCs w:val="20"/>
          <w:lang w:val="es-ES"/>
        </w:rPr>
        <w:t xml:space="preserve">. </w:t>
      </w:r>
      <w:r w:rsidRPr="00910507">
        <w:rPr>
          <w:sz w:val="20"/>
          <w:szCs w:val="20"/>
          <w:lang w:val="es-ES"/>
        </w:rPr>
        <w:t>Se emplea un enfoque de análisis multivariante que incluye la normalización de los datos, el Análisis de Componentes Principales (PCA) y la agregación de resultados en distintos niveles</w:t>
      </w:r>
      <w:r w:rsidR="009F2579" w:rsidRPr="0039422D">
        <w:rPr>
          <w:sz w:val="20"/>
          <w:szCs w:val="20"/>
          <w:lang w:val="es-ES"/>
        </w:rPr>
        <w:t>. Los datos utilizados provienen de fuentes oficiales europeas</w:t>
      </w:r>
      <w:r w:rsidR="0039422D" w:rsidRPr="0039422D">
        <w:rPr>
          <w:rStyle w:val="FootnoteReference"/>
          <w:rFonts w:cstheme="minorHAnsi"/>
          <w:sz w:val="20"/>
          <w:szCs w:val="20"/>
          <w:lang w:val="es-ES"/>
        </w:rPr>
        <w:footnoteReference w:id="4"/>
      </w:r>
      <w:r>
        <w:rPr>
          <w:sz w:val="20"/>
          <w:szCs w:val="20"/>
          <w:lang w:val="es-ES"/>
        </w:rPr>
        <w:t>,</w:t>
      </w:r>
      <w:r w:rsidR="0039422D" w:rsidRPr="0039422D">
        <w:rPr>
          <w:sz w:val="20"/>
          <w:szCs w:val="20"/>
          <w:lang w:val="es-ES"/>
        </w:rPr>
        <w:t xml:space="preserve"> lo que permite realizar comparaciones interregionales y ofrece una herramienta útil para la evaluación del progreso social en la Unión Europea.</w:t>
      </w:r>
    </w:p>
    <w:p w14:paraId="314A83C0" w14:textId="77777777" w:rsidR="0039422D" w:rsidRPr="0039422D" w:rsidRDefault="0039422D" w:rsidP="00366D9E">
      <w:pPr>
        <w:pStyle w:val="NoIndent"/>
        <w:spacing w:line="240" w:lineRule="auto"/>
        <w:rPr>
          <w:sz w:val="20"/>
          <w:szCs w:val="20"/>
          <w:lang w:val="es-ES"/>
        </w:rPr>
      </w:pPr>
    </w:p>
    <w:p w14:paraId="55655758" w14:textId="77777777" w:rsidR="00DF1EFA" w:rsidRDefault="00DF1EFA" w:rsidP="00366D9E">
      <w:pPr>
        <w:pStyle w:val="CaptionCallout"/>
        <w:spacing w:line="240" w:lineRule="auto"/>
        <w:rPr>
          <w:color w:val="2E74B5" w:themeColor="accent5" w:themeShade="BF"/>
          <w:sz w:val="24"/>
          <w:szCs w:val="24"/>
          <w:lang w:val="es-ES"/>
        </w:rPr>
      </w:pPr>
    </w:p>
    <w:p w14:paraId="20FFA0A3" w14:textId="60631D3B" w:rsidR="0039422D" w:rsidRPr="00E34484" w:rsidRDefault="0039422D" w:rsidP="00E34484">
      <w:pPr>
        <w:pStyle w:val="Heading1"/>
        <w:jc w:val="left"/>
        <w:rPr>
          <w:color w:val="4472C4" w:themeColor="accent1"/>
          <w:lang w:val="es-ES"/>
        </w:rPr>
      </w:pPr>
      <w:bookmarkStart w:id="2" w:name="_Toc177028012"/>
      <w:bookmarkStart w:id="3" w:name="_Toc177028174"/>
      <w:r w:rsidRPr="00E34484">
        <w:rPr>
          <w:color w:val="4472C4" w:themeColor="accent1"/>
          <w:lang w:val="es-ES"/>
        </w:rPr>
        <w:t>Introducción</w:t>
      </w:r>
      <w:bookmarkEnd w:id="2"/>
      <w:bookmarkEnd w:id="3"/>
    </w:p>
    <w:p w14:paraId="6E24A31C" w14:textId="77777777" w:rsidR="00366D9E" w:rsidRPr="001C071A" w:rsidRDefault="00366D9E" w:rsidP="00366D9E">
      <w:pPr>
        <w:pStyle w:val="CaptionCallout"/>
        <w:spacing w:line="240" w:lineRule="auto"/>
        <w:rPr>
          <w:color w:val="2E74B5" w:themeColor="accent5" w:themeShade="BF"/>
          <w:sz w:val="24"/>
          <w:szCs w:val="24"/>
          <w:lang w:val="es-ES"/>
        </w:rPr>
      </w:pPr>
    </w:p>
    <w:p w14:paraId="4901C09C" w14:textId="2D002922" w:rsidR="00910507" w:rsidRDefault="00910507" w:rsidP="00910507">
      <w:pPr>
        <w:pStyle w:val="NoIndent"/>
        <w:spacing w:line="240" w:lineRule="auto"/>
        <w:rPr>
          <w:sz w:val="20"/>
          <w:szCs w:val="20"/>
          <w:lang w:val="es-ES"/>
        </w:rPr>
      </w:pPr>
      <w:r w:rsidRPr="00910507">
        <w:rPr>
          <w:sz w:val="20"/>
          <w:szCs w:val="20"/>
          <w:lang w:val="es-ES"/>
        </w:rPr>
        <w:t xml:space="preserve">Este trabajo se divide en seis fases, para cada una de las cuales se ha creado un </w:t>
      </w:r>
      <w:proofErr w:type="spellStart"/>
      <w:r w:rsidRPr="00910507">
        <w:rPr>
          <w:sz w:val="20"/>
          <w:szCs w:val="20"/>
          <w:lang w:val="es-ES"/>
        </w:rPr>
        <w:t>Jupyter</w:t>
      </w:r>
      <w:proofErr w:type="spellEnd"/>
      <w:r w:rsidRPr="00910507">
        <w:rPr>
          <w:sz w:val="20"/>
          <w:szCs w:val="20"/>
          <w:lang w:val="es-ES"/>
        </w:rPr>
        <w:t xml:space="preserve"> Notebook que contiene el código Python necesario, generando un archivo CSV como resultado. En cada fase, el notebook correspondiente lee el CSV resultante de la fase anterior y guarda un nuevo CSV, que será leído en la fase siguiente, con excepción de la primera y la última fase.</w:t>
      </w:r>
    </w:p>
    <w:p w14:paraId="1B40F562" w14:textId="77777777" w:rsidR="00910507" w:rsidRPr="00910507" w:rsidRDefault="00910507" w:rsidP="00910507">
      <w:pPr>
        <w:pStyle w:val="NoIndent"/>
        <w:spacing w:line="240" w:lineRule="auto"/>
        <w:rPr>
          <w:sz w:val="20"/>
          <w:szCs w:val="20"/>
          <w:lang w:val="es-ES"/>
        </w:rPr>
      </w:pPr>
    </w:p>
    <w:p w14:paraId="63470FCA" w14:textId="77777777" w:rsidR="00910507" w:rsidRDefault="00910507" w:rsidP="00910507">
      <w:pPr>
        <w:pStyle w:val="NoIndent"/>
        <w:spacing w:line="240" w:lineRule="auto"/>
        <w:rPr>
          <w:sz w:val="20"/>
          <w:szCs w:val="20"/>
          <w:lang w:val="es-ES"/>
        </w:rPr>
      </w:pPr>
      <w:r w:rsidRPr="00910507">
        <w:rPr>
          <w:sz w:val="20"/>
          <w:szCs w:val="20"/>
          <w:lang w:val="es-ES"/>
        </w:rPr>
        <w:t xml:space="preserve">Los cuadernos de </w:t>
      </w:r>
      <w:proofErr w:type="spellStart"/>
      <w:r w:rsidRPr="00910507">
        <w:rPr>
          <w:sz w:val="20"/>
          <w:szCs w:val="20"/>
          <w:lang w:val="es-ES"/>
        </w:rPr>
        <w:t>Jupyter</w:t>
      </w:r>
      <w:proofErr w:type="spellEnd"/>
      <w:r w:rsidRPr="00910507">
        <w:rPr>
          <w:sz w:val="20"/>
          <w:szCs w:val="20"/>
          <w:lang w:val="es-ES"/>
        </w:rPr>
        <w:t xml:space="preserve"> se presentan como anexos en formato IPYNB y HTML, junto con los </w:t>
      </w:r>
      <w:proofErr w:type="spellStart"/>
      <w:r w:rsidRPr="00910507">
        <w:rPr>
          <w:sz w:val="20"/>
          <w:szCs w:val="20"/>
          <w:lang w:val="es-ES"/>
        </w:rPr>
        <w:t>datasets</w:t>
      </w:r>
      <w:proofErr w:type="spellEnd"/>
      <w:r w:rsidRPr="00910507">
        <w:rPr>
          <w:sz w:val="20"/>
          <w:szCs w:val="20"/>
          <w:lang w:val="es-ES"/>
        </w:rPr>
        <w:t xml:space="preserve"> y archivos CSV correspondientes.</w:t>
      </w:r>
    </w:p>
    <w:p w14:paraId="244C2B96" w14:textId="77777777" w:rsidR="00910507" w:rsidRPr="00910507" w:rsidRDefault="00910507" w:rsidP="00910507">
      <w:pPr>
        <w:pStyle w:val="NoIndent"/>
        <w:spacing w:line="240" w:lineRule="auto"/>
        <w:rPr>
          <w:sz w:val="20"/>
          <w:szCs w:val="20"/>
          <w:lang w:val="es-ES"/>
        </w:rPr>
      </w:pPr>
    </w:p>
    <w:p w14:paraId="75D62EC4" w14:textId="77777777" w:rsidR="009300C8" w:rsidRDefault="00910507" w:rsidP="00910507">
      <w:pPr>
        <w:pStyle w:val="NoIndent"/>
        <w:spacing w:line="240" w:lineRule="auto"/>
        <w:rPr>
          <w:sz w:val="20"/>
          <w:szCs w:val="20"/>
          <w:lang w:val="es-ES"/>
        </w:rPr>
      </w:pPr>
      <w:r w:rsidRPr="00910507">
        <w:rPr>
          <w:sz w:val="20"/>
          <w:szCs w:val="20"/>
          <w:lang w:val="es-ES"/>
        </w:rPr>
        <w:t>Debido al gran número de visualizaciones y cuadros generados durante el proceso de elaboración del índice, y considerando la limitación en la extensión de este trabajo, se ha decidido no incluir gráficos ni tablas en el cuerpo principal del informe. A lo largo del mismo, se hacen referencias a "figuras" que se encuentran en los anexos (gráficos, tablas, mapas, etc.).</w:t>
      </w:r>
      <w:r w:rsidR="009300C8">
        <w:rPr>
          <w:sz w:val="20"/>
          <w:szCs w:val="20"/>
          <w:lang w:val="es-ES"/>
        </w:rPr>
        <w:t xml:space="preserve"> </w:t>
      </w:r>
    </w:p>
    <w:p w14:paraId="3A424DF6" w14:textId="77777777" w:rsidR="009300C8" w:rsidRDefault="009300C8" w:rsidP="00910507">
      <w:pPr>
        <w:pStyle w:val="NoIndent"/>
        <w:spacing w:line="240" w:lineRule="auto"/>
        <w:rPr>
          <w:sz w:val="20"/>
          <w:szCs w:val="20"/>
          <w:lang w:val="es-ES"/>
        </w:rPr>
      </w:pPr>
    </w:p>
    <w:p w14:paraId="10E7E545" w14:textId="77777777" w:rsidR="009300C8" w:rsidRDefault="009300C8" w:rsidP="00910507">
      <w:pPr>
        <w:pStyle w:val="NoIndent"/>
        <w:spacing w:line="240" w:lineRule="auto"/>
        <w:rPr>
          <w:sz w:val="20"/>
          <w:szCs w:val="20"/>
          <w:lang w:val="es-ES"/>
        </w:rPr>
      </w:pPr>
      <w:r>
        <w:rPr>
          <w:sz w:val="20"/>
          <w:szCs w:val="20"/>
          <w:lang w:val="es-ES"/>
        </w:rPr>
        <w:t xml:space="preserve">Toda la documentación y anexos se encuentran en el repositorio de </w:t>
      </w:r>
      <w:proofErr w:type="spellStart"/>
      <w:r>
        <w:rPr>
          <w:sz w:val="20"/>
          <w:szCs w:val="20"/>
          <w:lang w:val="es-ES"/>
        </w:rPr>
        <w:t>Github</w:t>
      </w:r>
      <w:proofErr w:type="spellEnd"/>
      <w:r>
        <w:rPr>
          <w:sz w:val="20"/>
          <w:szCs w:val="20"/>
          <w:lang w:val="es-ES"/>
        </w:rPr>
        <w:t xml:space="preserve">: </w:t>
      </w:r>
    </w:p>
    <w:p w14:paraId="3835A089" w14:textId="00246FF6" w:rsidR="00910507" w:rsidRPr="00910507" w:rsidRDefault="009300C8" w:rsidP="00910507">
      <w:pPr>
        <w:pStyle w:val="NoIndent"/>
        <w:spacing w:line="240" w:lineRule="auto"/>
        <w:rPr>
          <w:sz w:val="20"/>
          <w:szCs w:val="20"/>
          <w:lang w:val="es-ES"/>
        </w:rPr>
      </w:pPr>
      <w:r w:rsidRPr="009300C8">
        <w:rPr>
          <w:i/>
          <w:iCs/>
          <w:color w:val="2E74B5" w:themeColor="accent5" w:themeShade="BF"/>
          <w:sz w:val="20"/>
          <w:szCs w:val="20"/>
          <w:lang w:val="es-ES"/>
        </w:rPr>
        <w:t>https://github.com/pmntlv/SPI-EU-2024.git</w:t>
      </w:r>
    </w:p>
    <w:p w14:paraId="6DC05991" w14:textId="77777777" w:rsidR="00910507" w:rsidRDefault="00910507" w:rsidP="00366D9E">
      <w:pPr>
        <w:pStyle w:val="NoIndent"/>
        <w:spacing w:line="240" w:lineRule="auto"/>
        <w:rPr>
          <w:sz w:val="20"/>
          <w:szCs w:val="20"/>
          <w:lang w:val="es-ES"/>
        </w:rPr>
      </w:pPr>
    </w:p>
    <w:p w14:paraId="32654506" w14:textId="77777777" w:rsidR="00910507" w:rsidRDefault="00910507" w:rsidP="00366D9E">
      <w:pPr>
        <w:pStyle w:val="NoIndent"/>
        <w:spacing w:line="240" w:lineRule="auto"/>
        <w:rPr>
          <w:sz w:val="20"/>
          <w:szCs w:val="20"/>
          <w:lang w:val="es-ES"/>
        </w:rPr>
      </w:pPr>
    </w:p>
    <w:p w14:paraId="51D8063D" w14:textId="77777777" w:rsidR="00910507" w:rsidRDefault="00910507" w:rsidP="00366D9E">
      <w:pPr>
        <w:pStyle w:val="NoIndent"/>
        <w:spacing w:line="240" w:lineRule="auto"/>
        <w:rPr>
          <w:sz w:val="20"/>
          <w:szCs w:val="20"/>
          <w:lang w:val="es-ES"/>
        </w:rPr>
      </w:pPr>
    </w:p>
    <w:p w14:paraId="45BF0F81" w14:textId="77777777" w:rsidR="00910507" w:rsidRDefault="00910507" w:rsidP="00366D9E">
      <w:pPr>
        <w:pStyle w:val="NoIndent"/>
        <w:spacing w:line="240" w:lineRule="auto"/>
        <w:rPr>
          <w:sz w:val="20"/>
          <w:szCs w:val="20"/>
          <w:lang w:val="es-ES"/>
        </w:rPr>
      </w:pPr>
    </w:p>
    <w:p w14:paraId="3D0D5BB8" w14:textId="77777777" w:rsidR="00910507" w:rsidRDefault="00910507" w:rsidP="00366D9E">
      <w:pPr>
        <w:pStyle w:val="NoIndent"/>
        <w:spacing w:line="240" w:lineRule="auto"/>
        <w:rPr>
          <w:sz w:val="20"/>
          <w:szCs w:val="20"/>
          <w:lang w:val="es-ES"/>
        </w:rPr>
      </w:pPr>
    </w:p>
    <w:p w14:paraId="2B5B654C" w14:textId="77777777" w:rsidR="00910507" w:rsidRDefault="00910507" w:rsidP="00366D9E">
      <w:pPr>
        <w:pStyle w:val="NoIndent"/>
        <w:spacing w:line="240" w:lineRule="auto"/>
        <w:rPr>
          <w:sz w:val="20"/>
          <w:szCs w:val="20"/>
          <w:lang w:val="es-ES"/>
        </w:rPr>
      </w:pPr>
    </w:p>
    <w:p w14:paraId="67851099" w14:textId="77777777" w:rsidR="00910507" w:rsidRDefault="00910507" w:rsidP="00366D9E">
      <w:pPr>
        <w:pStyle w:val="NoIndent"/>
        <w:spacing w:line="240" w:lineRule="auto"/>
        <w:rPr>
          <w:sz w:val="20"/>
          <w:szCs w:val="20"/>
          <w:lang w:val="es-ES"/>
        </w:rPr>
      </w:pPr>
    </w:p>
    <w:p w14:paraId="3FFD61B6" w14:textId="77777777" w:rsidR="00910507" w:rsidRDefault="00910507" w:rsidP="00366D9E">
      <w:pPr>
        <w:pStyle w:val="NoIndent"/>
        <w:spacing w:line="240" w:lineRule="auto"/>
        <w:rPr>
          <w:sz w:val="20"/>
          <w:szCs w:val="20"/>
          <w:lang w:val="es-ES"/>
        </w:rPr>
      </w:pPr>
    </w:p>
    <w:p w14:paraId="18E78BF5" w14:textId="77777777" w:rsidR="00910507" w:rsidRDefault="00910507" w:rsidP="00366D9E">
      <w:pPr>
        <w:pStyle w:val="NoIndent"/>
        <w:spacing w:line="240" w:lineRule="auto"/>
        <w:rPr>
          <w:sz w:val="20"/>
          <w:szCs w:val="20"/>
          <w:lang w:val="es-ES"/>
        </w:rPr>
      </w:pPr>
    </w:p>
    <w:p w14:paraId="081CCFA2" w14:textId="77777777" w:rsidR="00910507" w:rsidRDefault="00910507" w:rsidP="00366D9E">
      <w:pPr>
        <w:pStyle w:val="NoIndent"/>
        <w:spacing w:line="240" w:lineRule="auto"/>
        <w:rPr>
          <w:sz w:val="20"/>
          <w:szCs w:val="20"/>
          <w:lang w:val="es-ES"/>
        </w:rPr>
      </w:pPr>
    </w:p>
    <w:p w14:paraId="08BF8512" w14:textId="77777777" w:rsidR="00910507" w:rsidRDefault="00910507" w:rsidP="00366D9E">
      <w:pPr>
        <w:pStyle w:val="NoIndent"/>
        <w:spacing w:line="240" w:lineRule="auto"/>
        <w:rPr>
          <w:sz w:val="20"/>
          <w:szCs w:val="20"/>
          <w:lang w:val="es-ES"/>
        </w:rPr>
      </w:pPr>
    </w:p>
    <w:p w14:paraId="38905829" w14:textId="77777777" w:rsidR="00910507" w:rsidRDefault="00910507" w:rsidP="00366D9E">
      <w:pPr>
        <w:pStyle w:val="NoIndent"/>
        <w:spacing w:line="240" w:lineRule="auto"/>
        <w:rPr>
          <w:sz w:val="20"/>
          <w:szCs w:val="20"/>
          <w:lang w:val="es-ES"/>
        </w:rPr>
      </w:pPr>
    </w:p>
    <w:p w14:paraId="02F170C6" w14:textId="77777777" w:rsidR="00910507" w:rsidRDefault="00910507" w:rsidP="00366D9E">
      <w:pPr>
        <w:pStyle w:val="NoIndent"/>
        <w:spacing w:line="240" w:lineRule="auto"/>
        <w:rPr>
          <w:sz w:val="20"/>
          <w:szCs w:val="20"/>
          <w:lang w:val="es-ES"/>
        </w:rPr>
      </w:pPr>
    </w:p>
    <w:p w14:paraId="3162255C" w14:textId="2B0B9CF4" w:rsidR="0039422D" w:rsidRPr="00E34484" w:rsidRDefault="002B4DE0" w:rsidP="00E34484">
      <w:pPr>
        <w:pStyle w:val="Heading1"/>
        <w:jc w:val="left"/>
        <w:rPr>
          <w:color w:val="4472C4" w:themeColor="accent1"/>
          <w:lang w:val="es-ES"/>
        </w:rPr>
      </w:pPr>
      <w:bookmarkStart w:id="4" w:name="_Toc177028013"/>
      <w:bookmarkStart w:id="5" w:name="_Toc177028175"/>
      <w:r w:rsidRPr="00E34484">
        <w:rPr>
          <w:color w:val="4472C4" w:themeColor="accent1"/>
          <w:lang w:val="es-ES"/>
        </w:rPr>
        <w:lastRenderedPageBreak/>
        <w:t>Indicadores de Desarrollo Social</w:t>
      </w:r>
      <w:bookmarkEnd w:id="4"/>
      <w:bookmarkEnd w:id="5"/>
    </w:p>
    <w:p w14:paraId="1D3E2F1C" w14:textId="77777777" w:rsidR="00366D9E" w:rsidRPr="001C071A" w:rsidRDefault="00366D9E" w:rsidP="00366D9E">
      <w:pPr>
        <w:pStyle w:val="CaptionCallout"/>
        <w:spacing w:line="240" w:lineRule="auto"/>
        <w:rPr>
          <w:color w:val="2E74B5" w:themeColor="accent5" w:themeShade="BF"/>
          <w:sz w:val="24"/>
          <w:szCs w:val="24"/>
          <w:lang w:val="es-ES"/>
        </w:rPr>
      </w:pPr>
    </w:p>
    <w:p w14:paraId="75530AF3" w14:textId="4AEE8EB4" w:rsidR="002B4DE0" w:rsidRPr="00910507" w:rsidRDefault="00910507" w:rsidP="00366D9E">
      <w:pPr>
        <w:pStyle w:val="NoIndent"/>
        <w:spacing w:line="240" w:lineRule="auto"/>
        <w:rPr>
          <w:sz w:val="20"/>
          <w:szCs w:val="20"/>
          <w:lang w:val="es-ES"/>
        </w:rPr>
      </w:pPr>
      <w:r w:rsidRPr="00910507">
        <w:rPr>
          <w:sz w:val="20"/>
          <w:szCs w:val="20"/>
          <w:lang w:val="es-ES"/>
        </w:rPr>
        <w:t>La Comisión Europea define 53 indicadores sociales de distinta naturaleza y medición, que se agrupan en 12 componentes según su naturaleza. A su vez, estos componentes se organizan en tres dimensiones:</w:t>
      </w:r>
    </w:p>
    <w:p w14:paraId="73B807EB" w14:textId="77777777" w:rsidR="002B4DE0" w:rsidRDefault="002B4DE0" w:rsidP="00366D9E">
      <w:pPr>
        <w:pStyle w:val="NoIndent"/>
        <w:spacing w:line="240" w:lineRule="auto"/>
        <w:rPr>
          <w:sz w:val="20"/>
          <w:szCs w:val="20"/>
          <w:lang w:val="es-ES"/>
        </w:rPr>
      </w:pPr>
    </w:p>
    <w:tbl>
      <w:tblPr>
        <w:tblW w:w="9356" w:type="dxa"/>
        <w:tblLayout w:type="fixed"/>
        <w:tblLook w:val="0600" w:firstRow="0" w:lastRow="0" w:firstColumn="0" w:lastColumn="0" w:noHBand="1" w:noVBand="1"/>
        <w:tblDescription w:val="Table"/>
      </w:tblPr>
      <w:tblGrid>
        <w:gridCol w:w="1985"/>
        <w:gridCol w:w="2268"/>
        <w:gridCol w:w="5103"/>
      </w:tblGrid>
      <w:tr w:rsidR="002B4DE0" w:rsidRPr="009D0F44" w14:paraId="19A6B05B" w14:textId="77777777" w:rsidTr="00B72CF4">
        <w:tc>
          <w:tcPr>
            <w:tcW w:w="1985" w:type="dxa"/>
            <w:tcBorders>
              <w:top w:val="single" w:sz="12" w:space="0" w:color="auto"/>
              <w:bottom w:val="single" w:sz="18" w:space="0" w:color="auto"/>
            </w:tcBorders>
          </w:tcPr>
          <w:p w14:paraId="09B53D2D" w14:textId="77777777" w:rsidR="002B4DE0" w:rsidRPr="009D0F44" w:rsidRDefault="002B4DE0" w:rsidP="00366D9E">
            <w:pPr>
              <w:pStyle w:val="NoIndent"/>
              <w:spacing w:line="240" w:lineRule="auto"/>
              <w:rPr>
                <w:rFonts w:cstheme="minorHAnsi"/>
                <w:b/>
                <w:bCs/>
                <w:sz w:val="16"/>
                <w:szCs w:val="16"/>
              </w:rPr>
            </w:pPr>
            <w:r w:rsidRPr="009D0F44">
              <w:rPr>
                <w:rFonts w:cstheme="minorHAnsi"/>
                <w:b/>
                <w:bCs/>
                <w:sz w:val="16"/>
                <w:szCs w:val="16"/>
              </w:rPr>
              <w:t>Dimension</w:t>
            </w:r>
          </w:p>
        </w:tc>
        <w:tc>
          <w:tcPr>
            <w:tcW w:w="2268" w:type="dxa"/>
            <w:tcBorders>
              <w:top w:val="single" w:sz="12" w:space="0" w:color="auto"/>
              <w:bottom w:val="single" w:sz="18" w:space="0" w:color="auto"/>
            </w:tcBorders>
          </w:tcPr>
          <w:p w14:paraId="08F89788" w14:textId="77777777" w:rsidR="002B4DE0" w:rsidRPr="009D0F44" w:rsidRDefault="002B4DE0" w:rsidP="00366D9E">
            <w:pPr>
              <w:pStyle w:val="NoIndent"/>
              <w:spacing w:line="240" w:lineRule="auto"/>
              <w:rPr>
                <w:rFonts w:cstheme="minorHAnsi"/>
                <w:b/>
                <w:bCs/>
                <w:sz w:val="16"/>
                <w:szCs w:val="16"/>
              </w:rPr>
            </w:pPr>
            <w:r w:rsidRPr="009D0F44">
              <w:rPr>
                <w:rFonts w:cstheme="minorHAnsi"/>
                <w:b/>
                <w:bCs/>
                <w:sz w:val="16"/>
                <w:szCs w:val="16"/>
              </w:rPr>
              <w:t>Component</w:t>
            </w:r>
          </w:p>
        </w:tc>
        <w:tc>
          <w:tcPr>
            <w:tcW w:w="5103" w:type="dxa"/>
            <w:tcBorders>
              <w:top w:val="single" w:sz="12" w:space="0" w:color="auto"/>
              <w:bottom w:val="single" w:sz="18" w:space="0" w:color="auto"/>
            </w:tcBorders>
          </w:tcPr>
          <w:p w14:paraId="43D9E804" w14:textId="77777777" w:rsidR="002B4DE0" w:rsidRPr="009D0F44" w:rsidRDefault="002B4DE0" w:rsidP="00366D9E">
            <w:pPr>
              <w:pStyle w:val="NoIndent"/>
              <w:spacing w:line="240" w:lineRule="auto"/>
              <w:rPr>
                <w:rFonts w:cstheme="minorHAnsi"/>
                <w:b/>
                <w:bCs/>
                <w:sz w:val="16"/>
                <w:szCs w:val="16"/>
              </w:rPr>
            </w:pPr>
            <w:r w:rsidRPr="009D0F44">
              <w:rPr>
                <w:rFonts w:cstheme="minorHAnsi"/>
                <w:b/>
                <w:bCs/>
                <w:sz w:val="16"/>
                <w:szCs w:val="16"/>
              </w:rPr>
              <w:t>Indicator</w:t>
            </w:r>
          </w:p>
        </w:tc>
      </w:tr>
      <w:tr w:rsidR="002B4DE0" w:rsidRPr="009D0F44" w14:paraId="75F3900D" w14:textId="77777777" w:rsidTr="00B72CF4">
        <w:tc>
          <w:tcPr>
            <w:tcW w:w="1985" w:type="dxa"/>
            <w:tcBorders>
              <w:top w:val="single" w:sz="18" w:space="0" w:color="auto"/>
            </w:tcBorders>
          </w:tcPr>
          <w:p w14:paraId="2AC850CD"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Basic needs</w:t>
            </w:r>
          </w:p>
        </w:tc>
        <w:tc>
          <w:tcPr>
            <w:tcW w:w="2268" w:type="dxa"/>
            <w:tcBorders>
              <w:top w:val="single" w:sz="18" w:space="0" w:color="auto"/>
            </w:tcBorders>
          </w:tcPr>
          <w:p w14:paraId="61D095B9"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Nutrition and medical care</w:t>
            </w:r>
          </w:p>
        </w:tc>
        <w:tc>
          <w:tcPr>
            <w:tcW w:w="5103" w:type="dxa"/>
            <w:tcBorders>
              <w:top w:val="single" w:sz="18" w:space="0" w:color="auto"/>
            </w:tcBorders>
          </w:tcPr>
          <w:p w14:paraId="1A0CBE7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Infant Mortality</w:t>
            </w:r>
          </w:p>
        </w:tc>
      </w:tr>
      <w:tr w:rsidR="002B4DE0" w:rsidRPr="009D0F44" w14:paraId="0B05C81D" w14:textId="77777777" w:rsidTr="00B72CF4">
        <w:tc>
          <w:tcPr>
            <w:tcW w:w="1985" w:type="dxa"/>
          </w:tcPr>
          <w:p w14:paraId="1BEA451A" w14:textId="77777777" w:rsidR="002B4DE0" w:rsidRPr="009D0F44" w:rsidRDefault="002B4DE0" w:rsidP="00366D9E">
            <w:pPr>
              <w:pStyle w:val="NoIndent"/>
              <w:spacing w:line="240" w:lineRule="auto"/>
              <w:rPr>
                <w:rFonts w:cstheme="minorHAnsi"/>
                <w:sz w:val="16"/>
                <w:szCs w:val="16"/>
              </w:rPr>
            </w:pPr>
          </w:p>
        </w:tc>
        <w:tc>
          <w:tcPr>
            <w:tcW w:w="2268" w:type="dxa"/>
          </w:tcPr>
          <w:p w14:paraId="0569AC06" w14:textId="77777777" w:rsidR="002B4DE0" w:rsidRPr="009D0F44" w:rsidRDefault="002B4DE0" w:rsidP="00366D9E">
            <w:pPr>
              <w:pStyle w:val="NoIndent"/>
              <w:spacing w:line="240" w:lineRule="auto"/>
              <w:rPr>
                <w:rFonts w:cstheme="minorHAnsi"/>
                <w:sz w:val="16"/>
                <w:szCs w:val="16"/>
              </w:rPr>
            </w:pPr>
          </w:p>
        </w:tc>
        <w:tc>
          <w:tcPr>
            <w:tcW w:w="5103" w:type="dxa"/>
          </w:tcPr>
          <w:p w14:paraId="41F910C9"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Unmet dental needs</w:t>
            </w:r>
          </w:p>
        </w:tc>
      </w:tr>
      <w:tr w:rsidR="002B4DE0" w:rsidRPr="009D0F44" w14:paraId="5B18447D" w14:textId="77777777" w:rsidTr="00B72CF4">
        <w:tc>
          <w:tcPr>
            <w:tcW w:w="1985" w:type="dxa"/>
          </w:tcPr>
          <w:p w14:paraId="77DAB2E2"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1C0D8AB4"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4E8EE5F2"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Insufficient food</w:t>
            </w:r>
          </w:p>
        </w:tc>
      </w:tr>
      <w:tr w:rsidR="002B4DE0" w:rsidRPr="009D0F44" w14:paraId="0B68FFB7" w14:textId="77777777" w:rsidTr="00B72CF4">
        <w:tc>
          <w:tcPr>
            <w:tcW w:w="1985" w:type="dxa"/>
          </w:tcPr>
          <w:p w14:paraId="4D084581" w14:textId="77777777" w:rsidR="002B4DE0" w:rsidRPr="009D0F44" w:rsidRDefault="002B4DE0" w:rsidP="00366D9E">
            <w:pPr>
              <w:pStyle w:val="NoIndent"/>
              <w:spacing w:line="240" w:lineRule="auto"/>
              <w:rPr>
                <w:rFonts w:cstheme="minorHAnsi"/>
                <w:sz w:val="16"/>
                <w:szCs w:val="16"/>
              </w:rPr>
            </w:pPr>
          </w:p>
        </w:tc>
        <w:tc>
          <w:tcPr>
            <w:tcW w:w="2268" w:type="dxa"/>
            <w:tcBorders>
              <w:top w:val="single" w:sz="12" w:space="0" w:color="auto"/>
            </w:tcBorders>
          </w:tcPr>
          <w:p w14:paraId="515F3463"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Water and Sanitation</w:t>
            </w:r>
          </w:p>
        </w:tc>
        <w:tc>
          <w:tcPr>
            <w:tcW w:w="5103" w:type="dxa"/>
            <w:tcBorders>
              <w:top w:val="single" w:sz="12" w:space="0" w:color="auto"/>
            </w:tcBorders>
          </w:tcPr>
          <w:p w14:paraId="4C69A19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Satisfaction with water quality</w:t>
            </w:r>
          </w:p>
        </w:tc>
      </w:tr>
      <w:tr w:rsidR="002B4DE0" w:rsidRPr="009D0F44" w14:paraId="7129297F" w14:textId="77777777" w:rsidTr="00B72CF4">
        <w:tc>
          <w:tcPr>
            <w:tcW w:w="1985" w:type="dxa"/>
          </w:tcPr>
          <w:p w14:paraId="5626CB7F" w14:textId="77777777" w:rsidR="002B4DE0" w:rsidRPr="009D0F44" w:rsidRDefault="002B4DE0" w:rsidP="00366D9E">
            <w:pPr>
              <w:pStyle w:val="NoIndent"/>
              <w:spacing w:line="240" w:lineRule="auto"/>
              <w:rPr>
                <w:rFonts w:cstheme="minorHAnsi"/>
                <w:sz w:val="16"/>
                <w:szCs w:val="16"/>
              </w:rPr>
            </w:pPr>
          </w:p>
        </w:tc>
        <w:tc>
          <w:tcPr>
            <w:tcW w:w="2268" w:type="dxa"/>
          </w:tcPr>
          <w:p w14:paraId="2959B3EF" w14:textId="77777777" w:rsidR="002B4DE0" w:rsidRPr="009D0F44" w:rsidRDefault="002B4DE0" w:rsidP="00366D9E">
            <w:pPr>
              <w:pStyle w:val="NoIndent"/>
              <w:spacing w:line="240" w:lineRule="auto"/>
              <w:rPr>
                <w:rFonts w:cstheme="minorHAnsi"/>
                <w:sz w:val="16"/>
                <w:szCs w:val="16"/>
              </w:rPr>
            </w:pPr>
          </w:p>
        </w:tc>
        <w:tc>
          <w:tcPr>
            <w:tcW w:w="5103" w:type="dxa"/>
          </w:tcPr>
          <w:p w14:paraId="7158A7C5"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Lack of toilet in dwelling</w:t>
            </w:r>
          </w:p>
        </w:tc>
      </w:tr>
      <w:tr w:rsidR="002B4DE0" w:rsidRPr="009D0F44" w14:paraId="7AA1D208" w14:textId="77777777" w:rsidTr="00B72CF4">
        <w:tc>
          <w:tcPr>
            <w:tcW w:w="1985" w:type="dxa"/>
          </w:tcPr>
          <w:p w14:paraId="5329F3EF" w14:textId="77777777" w:rsidR="002B4DE0" w:rsidRPr="009D0F44" w:rsidRDefault="002B4DE0" w:rsidP="00366D9E">
            <w:pPr>
              <w:pStyle w:val="NoIndent"/>
              <w:spacing w:line="240" w:lineRule="auto"/>
              <w:rPr>
                <w:rFonts w:cstheme="minorHAnsi"/>
                <w:sz w:val="16"/>
                <w:szCs w:val="16"/>
              </w:rPr>
            </w:pPr>
          </w:p>
        </w:tc>
        <w:tc>
          <w:tcPr>
            <w:tcW w:w="2268" w:type="dxa"/>
          </w:tcPr>
          <w:p w14:paraId="0B7FE8FA" w14:textId="77777777" w:rsidR="002B4DE0" w:rsidRPr="009D0F44" w:rsidRDefault="002B4DE0" w:rsidP="00366D9E">
            <w:pPr>
              <w:pStyle w:val="NoIndent"/>
              <w:spacing w:line="240" w:lineRule="auto"/>
              <w:rPr>
                <w:rFonts w:cstheme="minorHAnsi"/>
                <w:sz w:val="16"/>
                <w:szCs w:val="16"/>
              </w:rPr>
            </w:pPr>
          </w:p>
        </w:tc>
        <w:tc>
          <w:tcPr>
            <w:tcW w:w="5103" w:type="dxa"/>
          </w:tcPr>
          <w:p w14:paraId="4519676E"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Uncollected sewage</w:t>
            </w:r>
          </w:p>
        </w:tc>
      </w:tr>
      <w:tr w:rsidR="002B4DE0" w:rsidRPr="009D0F44" w14:paraId="7F96B014" w14:textId="77777777" w:rsidTr="00B72CF4">
        <w:tc>
          <w:tcPr>
            <w:tcW w:w="1985" w:type="dxa"/>
          </w:tcPr>
          <w:p w14:paraId="2D036C67"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776269AE"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157D363E"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Sewage treatment</w:t>
            </w:r>
          </w:p>
        </w:tc>
      </w:tr>
      <w:tr w:rsidR="002B4DE0" w:rsidRPr="009D0F44" w14:paraId="2FFBF55F" w14:textId="77777777" w:rsidTr="00B72CF4">
        <w:tc>
          <w:tcPr>
            <w:tcW w:w="1985" w:type="dxa"/>
          </w:tcPr>
          <w:p w14:paraId="52EDDB03" w14:textId="77777777" w:rsidR="002B4DE0" w:rsidRPr="009D0F44" w:rsidRDefault="002B4DE0" w:rsidP="00366D9E">
            <w:pPr>
              <w:pStyle w:val="NoIndent"/>
              <w:spacing w:line="240" w:lineRule="auto"/>
              <w:rPr>
                <w:rFonts w:cstheme="minorHAnsi"/>
                <w:sz w:val="16"/>
                <w:szCs w:val="16"/>
              </w:rPr>
            </w:pPr>
          </w:p>
        </w:tc>
        <w:tc>
          <w:tcPr>
            <w:tcW w:w="2268" w:type="dxa"/>
            <w:tcBorders>
              <w:top w:val="single" w:sz="12" w:space="0" w:color="auto"/>
            </w:tcBorders>
          </w:tcPr>
          <w:p w14:paraId="09F7E3BA"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Housing</w:t>
            </w:r>
          </w:p>
        </w:tc>
        <w:tc>
          <w:tcPr>
            <w:tcW w:w="5103" w:type="dxa"/>
            <w:tcBorders>
              <w:top w:val="single" w:sz="12" w:space="0" w:color="auto"/>
            </w:tcBorders>
          </w:tcPr>
          <w:p w14:paraId="05E7FDB0"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Burdensome cost of housing</w:t>
            </w:r>
          </w:p>
        </w:tc>
      </w:tr>
      <w:tr w:rsidR="002B4DE0" w:rsidRPr="009D0F44" w14:paraId="72CFD27E" w14:textId="77777777" w:rsidTr="00B72CF4">
        <w:tc>
          <w:tcPr>
            <w:tcW w:w="1985" w:type="dxa"/>
          </w:tcPr>
          <w:p w14:paraId="70010C55" w14:textId="77777777" w:rsidR="002B4DE0" w:rsidRPr="009D0F44" w:rsidRDefault="002B4DE0" w:rsidP="00366D9E">
            <w:pPr>
              <w:pStyle w:val="NoIndent"/>
              <w:spacing w:line="240" w:lineRule="auto"/>
              <w:rPr>
                <w:rFonts w:cstheme="minorHAnsi"/>
                <w:sz w:val="16"/>
                <w:szCs w:val="16"/>
              </w:rPr>
            </w:pPr>
          </w:p>
        </w:tc>
        <w:tc>
          <w:tcPr>
            <w:tcW w:w="2268" w:type="dxa"/>
          </w:tcPr>
          <w:p w14:paraId="73431C60" w14:textId="77777777" w:rsidR="002B4DE0" w:rsidRPr="009D0F44" w:rsidRDefault="002B4DE0" w:rsidP="00366D9E">
            <w:pPr>
              <w:pStyle w:val="NoIndent"/>
              <w:spacing w:line="240" w:lineRule="auto"/>
              <w:rPr>
                <w:rFonts w:cstheme="minorHAnsi"/>
                <w:sz w:val="16"/>
                <w:szCs w:val="16"/>
              </w:rPr>
            </w:pPr>
          </w:p>
        </w:tc>
        <w:tc>
          <w:tcPr>
            <w:tcW w:w="5103" w:type="dxa"/>
          </w:tcPr>
          <w:p w14:paraId="70A486AF"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Housing quality - dampness</w:t>
            </w:r>
          </w:p>
        </w:tc>
      </w:tr>
      <w:tr w:rsidR="002B4DE0" w:rsidRPr="009D0F44" w14:paraId="1DD5669D" w14:textId="77777777" w:rsidTr="00B72CF4">
        <w:tc>
          <w:tcPr>
            <w:tcW w:w="1985" w:type="dxa"/>
          </w:tcPr>
          <w:p w14:paraId="29CB33C5" w14:textId="77777777" w:rsidR="002B4DE0" w:rsidRPr="009D0F44" w:rsidRDefault="002B4DE0" w:rsidP="00366D9E">
            <w:pPr>
              <w:pStyle w:val="NoIndent"/>
              <w:spacing w:line="240" w:lineRule="auto"/>
              <w:rPr>
                <w:rFonts w:cstheme="minorHAnsi"/>
                <w:sz w:val="16"/>
                <w:szCs w:val="16"/>
              </w:rPr>
            </w:pPr>
          </w:p>
        </w:tc>
        <w:tc>
          <w:tcPr>
            <w:tcW w:w="2268" w:type="dxa"/>
          </w:tcPr>
          <w:p w14:paraId="738DDA1D" w14:textId="77777777" w:rsidR="002B4DE0" w:rsidRPr="009D0F44" w:rsidRDefault="002B4DE0" w:rsidP="00366D9E">
            <w:pPr>
              <w:pStyle w:val="NoIndent"/>
              <w:spacing w:line="240" w:lineRule="auto"/>
              <w:rPr>
                <w:rFonts w:cstheme="minorHAnsi"/>
                <w:sz w:val="16"/>
                <w:szCs w:val="16"/>
              </w:rPr>
            </w:pPr>
          </w:p>
        </w:tc>
        <w:tc>
          <w:tcPr>
            <w:tcW w:w="5103" w:type="dxa"/>
          </w:tcPr>
          <w:p w14:paraId="23F58AAA"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Overcrowding</w:t>
            </w:r>
          </w:p>
        </w:tc>
      </w:tr>
      <w:tr w:rsidR="002B4DE0" w:rsidRPr="009D0F44" w14:paraId="07E19DD0" w14:textId="77777777" w:rsidTr="00B72CF4">
        <w:tc>
          <w:tcPr>
            <w:tcW w:w="1985" w:type="dxa"/>
          </w:tcPr>
          <w:p w14:paraId="1ECE5A1F"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6D641CDE"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34B46709"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Lack of adequate heating</w:t>
            </w:r>
          </w:p>
        </w:tc>
      </w:tr>
      <w:tr w:rsidR="002B4DE0" w:rsidRPr="009D0F44" w14:paraId="2D2329F4" w14:textId="77777777" w:rsidTr="00B72CF4">
        <w:tc>
          <w:tcPr>
            <w:tcW w:w="1985" w:type="dxa"/>
          </w:tcPr>
          <w:p w14:paraId="756FEA5C" w14:textId="77777777" w:rsidR="002B4DE0" w:rsidRPr="009D0F44" w:rsidRDefault="002B4DE0" w:rsidP="00366D9E">
            <w:pPr>
              <w:pStyle w:val="NoIndent"/>
              <w:spacing w:line="240" w:lineRule="auto"/>
              <w:rPr>
                <w:rFonts w:cstheme="minorHAnsi"/>
                <w:sz w:val="16"/>
                <w:szCs w:val="16"/>
              </w:rPr>
            </w:pPr>
          </w:p>
        </w:tc>
        <w:tc>
          <w:tcPr>
            <w:tcW w:w="2268" w:type="dxa"/>
            <w:tcBorders>
              <w:top w:val="single" w:sz="12" w:space="0" w:color="auto"/>
            </w:tcBorders>
          </w:tcPr>
          <w:p w14:paraId="617EB54B"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Safety</w:t>
            </w:r>
          </w:p>
        </w:tc>
        <w:tc>
          <w:tcPr>
            <w:tcW w:w="5103" w:type="dxa"/>
            <w:tcBorders>
              <w:top w:val="single" w:sz="12" w:space="0" w:color="auto"/>
            </w:tcBorders>
          </w:tcPr>
          <w:p w14:paraId="54FDF169"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Traffic deaths</w:t>
            </w:r>
          </w:p>
        </w:tc>
      </w:tr>
      <w:tr w:rsidR="002B4DE0" w:rsidRPr="009D0F44" w14:paraId="03057FC1" w14:textId="77777777" w:rsidTr="00B72CF4">
        <w:tc>
          <w:tcPr>
            <w:tcW w:w="1985" w:type="dxa"/>
          </w:tcPr>
          <w:p w14:paraId="390D4331" w14:textId="77777777" w:rsidR="002B4DE0" w:rsidRPr="009D0F44" w:rsidRDefault="002B4DE0" w:rsidP="00366D9E">
            <w:pPr>
              <w:pStyle w:val="NoIndent"/>
              <w:spacing w:line="240" w:lineRule="auto"/>
              <w:rPr>
                <w:rFonts w:cstheme="minorHAnsi"/>
                <w:sz w:val="16"/>
                <w:szCs w:val="16"/>
              </w:rPr>
            </w:pPr>
          </w:p>
        </w:tc>
        <w:tc>
          <w:tcPr>
            <w:tcW w:w="2268" w:type="dxa"/>
          </w:tcPr>
          <w:p w14:paraId="4CD78890" w14:textId="77777777" w:rsidR="002B4DE0" w:rsidRPr="009D0F44" w:rsidRDefault="002B4DE0" w:rsidP="00366D9E">
            <w:pPr>
              <w:pStyle w:val="NoIndent"/>
              <w:spacing w:line="240" w:lineRule="auto"/>
              <w:rPr>
                <w:rFonts w:cstheme="minorHAnsi"/>
                <w:sz w:val="16"/>
                <w:szCs w:val="16"/>
              </w:rPr>
            </w:pPr>
          </w:p>
        </w:tc>
        <w:tc>
          <w:tcPr>
            <w:tcW w:w="5103" w:type="dxa"/>
          </w:tcPr>
          <w:p w14:paraId="039EED62"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Safety at night</w:t>
            </w:r>
          </w:p>
        </w:tc>
      </w:tr>
      <w:tr w:rsidR="002B4DE0" w:rsidRPr="009D0F44" w14:paraId="0175FC65" w14:textId="77777777" w:rsidTr="00B72CF4">
        <w:tc>
          <w:tcPr>
            <w:tcW w:w="1985" w:type="dxa"/>
          </w:tcPr>
          <w:p w14:paraId="0502B69B" w14:textId="77777777" w:rsidR="002B4DE0" w:rsidRPr="009D0F44" w:rsidRDefault="002B4DE0" w:rsidP="00366D9E">
            <w:pPr>
              <w:pStyle w:val="NoIndent"/>
              <w:spacing w:line="240" w:lineRule="auto"/>
              <w:rPr>
                <w:rFonts w:cstheme="minorHAnsi"/>
                <w:sz w:val="16"/>
                <w:szCs w:val="16"/>
              </w:rPr>
            </w:pPr>
          </w:p>
        </w:tc>
        <w:tc>
          <w:tcPr>
            <w:tcW w:w="2268" w:type="dxa"/>
          </w:tcPr>
          <w:p w14:paraId="54240139" w14:textId="77777777" w:rsidR="002B4DE0" w:rsidRPr="009D0F44" w:rsidRDefault="002B4DE0" w:rsidP="00366D9E">
            <w:pPr>
              <w:pStyle w:val="NoIndent"/>
              <w:spacing w:line="240" w:lineRule="auto"/>
              <w:rPr>
                <w:rFonts w:cstheme="minorHAnsi"/>
                <w:sz w:val="16"/>
                <w:szCs w:val="16"/>
              </w:rPr>
            </w:pPr>
          </w:p>
        </w:tc>
        <w:tc>
          <w:tcPr>
            <w:tcW w:w="5103" w:type="dxa"/>
          </w:tcPr>
          <w:p w14:paraId="044FB8ED"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Money stolen</w:t>
            </w:r>
          </w:p>
        </w:tc>
      </w:tr>
      <w:tr w:rsidR="002B4DE0" w:rsidRPr="009D0F44" w14:paraId="36BD085C" w14:textId="77777777" w:rsidTr="00B72CF4">
        <w:tc>
          <w:tcPr>
            <w:tcW w:w="1985" w:type="dxa"/>
            <w:tcBorders>
              <w:bottom w:val="single" w:sz="12" w:space="0" w:color="auto"/>
            </w:tcBorders>
          </w:tcPr>
          <w:p w14:paraId="26606D2F"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5C496A48"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077F3911"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Assaulted/Mugged</w:t>
            </w:r>
          </w:p>
        </w:tc>
      </w:tr>
      <w:tr w:rsidR="002B4DE0" w:rsidRPr="009D0F44" w14:paraId="36A47E16" w14:textId="77777777" w:rsidTr="00B72CF4">
        <w:tc>
          <w:tcPr>
            <w:tcW w:w="1985" w:type="dxa"/>
            <w:tcBorders>
              <w:top w:val="single" w:sz="12" w:space="0" w:color="auto"/>
            </w:tcBorders>
          </w:tcPr>
          <w:p w14:paraId="0CF67A55"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Foundations of wellbeing</w:t>
            </w:r>
          </w:p>
        </w:tc>
        <w:tc>
          <w:tcPr>
            <w:tcW w:w="2268" w:type="dxa"/>
            <w:tcBorders>
              <w:top w:val="single" w:sz="12" w:space="0" w:color="auto"/>
            </w:tcBorders>
          </w:tcPr>
          <w:p w14:paraId="66BFB83D"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Basic education</w:t>
            </w:r>
          </w:p>
        </w:tc>
        <w:tc>
          <w:tcPr>
            <w:tcW w:w="5103" w:type="dxa"/>
            <w:tcBorders>
              <w:top w:val="single" w:sz="12" w:space="0" w:color="auto"/>
            </w:tcBorders>
          </w:tcPr>
          <w:p w14:paraId="640BE030"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Share of low-achieving 15-year-old in reading (level 1a or lower)</w:t>
            </w:r>
          </w:p>
        </w:tc>
      </w:tr>
      <w:tr w:rsidR="002B4DE0" w:rsidRPr="009D0F44" w14:paraId="17CC9E49" w14:textId="77777777" w:rsidTr="00B72CF4">
        <w:tc>
          <w:tcPr>
            <w:tcW w:w="1985" w:type="dxa"/>
          </w:tcPr>
          <w:p w14:paraId="5F85D401" w14:textId="77777777" w:rsidR="002B4DE0" w:rsidRPr="009D0F44" w:rsidRDefault="002B4DE0" w:rsidP="00366D9E">
            <w:pPr>
              <w:pStyle w:val="NoIndent"/>
              <w:spacing w:line="240" w:lineRule="auto"/>
              <w:rPr>
                <w:rFonts w:cstheme="minorHAnsi"/>
                <w:sz w:val="16"/>
                <w:szCs w:val="16"/>
              </w:rPr>
            </w:pPr>
          </w:p>
        </w:tc>
        <w:tc>
          <w:tcPr>
            <w:tcW w:w="2268" w:type="dxa"/>
          </w:tcPr>
          <w:p w14:paraId="2C23052E" w14:textId="77777777" w:rsidR="002B4DE0" w:rsidRPr="009D0F44" w:rsidRDefault="002B4DE0" w:rsidP="00366D9E">
            <w:pPr>
              <w:pStyle w:val="NoIndent"/>
              <w:spacing w:line="240" w:lineRule="auto"/>
              <w:rPr>
                <w:rFonts w:cstheme="minorHAnsi"/>
                <w:sz w:val="16"/>
                <w:szCs w:val="16"/>
              </w:rPr>
            </w:pPr>
          </w:p>
        </w:tc>
        <w:tc>
          <w:tcPr>
            <w:tcW w:w="5103" w:type="dxa"/>
          </w:tcPr>
          <w:p w14:paraId="568A6EE1"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 xml:space="preserve">Share of low-achieving 15-year-old in </w:t>
            </w:r>
            <w:proofErr w:type="spellStart"/>
            <w:r w:rsidRPr="009D0F44">
              <w:rPr>
                <w:rFonts w:cstheme="minorHAnsi"/>
                <w:sz w:val="16"/>
                <w:szCs w:val="16"/>
              </w:rPr>
              <w:t>maths</w:t>
            </w:r>
            <w:proofErr w:type="spellEnd"/>
            <w:r w:rsidRPr="009D0F44">
              <w:rPr>
                <w:rFonts w:cstheme="minorHAnsi"/>
                <w:sz w:val="16"/>
                <w:szCs w:val="16"/>
              </w:rPr>
              <w:t xml:space="preserve"> (level 2 or lower)</w:t>
            </w:r>
          </w:p>
        </w:tc>
      </w:tr>
      <w:tr w:rsidR="002B4DE0" w:rsidRPr="009D0F44" w14:paraId="4DBA7355" w14:textId="77777777" w:rsidTr="00B72CF4">
        <w:tc>
          <w:tcPr>
            <w:tcW w:w="1985" w:type="dxa"/>
          </w:tcPr>
          <w:p w14:paraId="1FE10341" w14:textId="77777777" w:rsidR="002B4DE0" w:rsidRPr="009D0F44" w:rsidRDefault="002B4DE0" w:rsidP="00366D9E">
            <w:pPr>
              <w:pStyle w:val="NoIndent"/>
              <w:spacing w:line="240" w:lineRule="auto"/>
              <w:rPr>
                <w:rFonts w:cstheme="minorHAnsi"/>
                <w:sz w:val="16"/>
                <w:szCs w:val="16"/>
              </w:rPr>
            </w:pPr>
          </w:p>
        </w:tc>
        <w:tc>
          <w:tcPr>
            <w:tcW w:w="2268" w:type="dxa"/>
          </w:tcPr>
          <w:p w14:paraId="164698F3" w14:textId="77777777" w:rsidR="002B4DE0" w:rsidRPr="009D0F44" w:rsidRDefault="002B4DE0" w:rsidP="00366D9E">
            <w:pPr>
              <w:pStyle w:val="NoIndent"/>
              <w:spacing w:line="240" w:lineRule="auto"/>
              <w:rPr>
                <w:rFonts w:cstheme="minorHAnsi"/>
                <w:sz w:val="16"/>
                <w:szCs w:val="16"/>
              </w:rPr>
            </w:pPr>
          </w:p>
        </w:tc>
        <w:tc>
          <w:tcPr>
            <w:tcW w:w="5103" w:type="dxa"/>
          </w:tcPr>
          <w:p w14:paraId="2D666EEE"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Lower-secondary completion only</w:t>
            </w:r>
          </w:p>
        </w:tc>
      </w:tr>
      <w:tr w:rsidR="002B4DE0" w:rsidRPr="009D0F44" w14:paraId="5C78E53E" w14:textId="77777777" w:rsidTr="00B72CF4">
        <w:tc>
          <w:tcPr>
            <w:tcW w:w="1985" w:type="dxa"/>
          </w:tcPr>
          <w:p w14:paraId="04E759AD"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3A67F480"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411BA43F"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Early school leavers</w:t>
            </w:r>
          </w:p>
        </w:tc>
      </w:tr>
      <w:tr w:rsidR="002B4DE0" w:rsidRPr="009D0F44" w14:paraId="25882BBB" w14:textId="77777777" w:rsidTr="00B72CF4">
        <w:tc>
          <w:tcPr>
            <w:tcW w:w="1985" w:type="dxa"/>
          </w:tcPr>
          <w:p w14:paraId="24FF6BFE" w14:textId="77777777" w:rsidR="002B4DE0" w:rsidRPr="009D0F44" w:rsidRDefault="002B4DE0" w:rsidP="00366D9E">
            <w:pPr>
              <w:pStyle w:val="NoIndent"/>
              <w:spacing w:line="240" w:lineRule="auto"/>
              <w:rPr>
                <w:rFonts w:cstheme="minorHAnsi"/>
                <w:sz w:val="16"/>
                <w:szCs w:val="16"/>
              </w:rPr>
            </w:pPr>
          </w:p>
        </w:tc>
        <w:tc>
          <w:tcPr>
            <w:tcW w:w="2268" w:type="dxa"/>
            <w:tcBorders>
              <w:top w:val="single" w:sz="12" w:space="0" w:color="auto"/>
            </w:tcBorders>
          </w:tcPr>
          <w:p w14:paraId="75DEBB66"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Information and communications</w:t>
            </w:r>
          </w:p>
        </w:tc>
        <w:tc>
          <w:tcPr>
            <w:tcW w:w="5103" w:type="dxa"/>
            <w:tcBorders>
              <w:top w:val="single" w:sz="12" w:space="0" w:color="auto"/>
            </w:tcBorders>
          </w:tcPr>
          <w:p w14:paraId="7CC826DF"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High-speed broadband</w:t>
            </w:r>
          </w:p>
        </w:tc>
      </w:tr>
      <w:tr w:rsidR="002B4DE0" w:rsidRPr="009D0F44" w14:paraId="582AC720" w14:textId="77777777" w:rsidTr="00B72CF4">
        <w:tc>
          <w:tcPr>
            <w:tcW w:w="1985" w:type="dxa"/>
          </w:tcPr>
          <w:p w14:paraId="74025C01" w14:textId="77777777" w:rsidR="002B4DE0" w:rsidRPr="009D0F44" w:rsidRDefault="002B4DE0" w:rsidP="00366D9E">
            <w:pPr>
              <w:pStyle w:val="NoIndent"/>
              <w:spacing w:line="240" w:lineRule="auto"/>
              <w:rPr>
                <w:rFonts w:cstheme="minorHAnsi"/>
                <w:sz w:val="16"/>
                <w:szCs w:val="16"/>
              </w:rPr>
            </w:pPr>
          </w:p>
        </w:tc>
        <w:tc>
          <w:tcPr>
            <w:tcW w:w="2268" w:type="dxa"/>
          </w:tcPr>
          <w:p w14:paraId="19907F9D" w14:textId="77777777" w:rsidR="002B4DE0" w:rsidRPr="009D0F44" w:rsidRDefault="002B4DE0" w:rsidP="00366D9E">
            <w:pPr>
              <w:pStyle w:val="NoIndent"/>
              <w:spacing w:line="240" w:lineRule="auto"/>
              <w:rPr>
                <w:rFonts w:cstheme="minorHAnsi"/>
                <w:sz w:val="16"/>
                <w:szCs w:val="16"/>
              </w:rPr>
            </w:pPr>
          </w:p>
        </w:tc>
        <w:tc>
          <w:tcPr>
            <w:tcW w:w="5103" w:type="dxa"/>
          </w:tcPr>
          <w:p w14:paraId="577C573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Digital skills above the basic level</w:t>
            </w:r>
          </w:p>
        </w:tc>
      </w:tr>
      <w:tr w:rsidR="002B4DE0" w:rsidRPr="009D0F44" w14:paraId="40A6C724" w14:textId="77777777" w:rsidTr="00B72CF4">
        <w:tc>
          <w:tcPr>
            <w:tcW w:w="1985" w:type="dxa"/>
          </w:tcPr>
          <w:p w14:paraId="7C25F0E9" w14:textId="77777777" w:rsidR="002B4DE0" w:rsidRPr="009D0F44" w:rsidRDefault="002B4DE0" w:rsidP="00366D9E">
            <w:pPr>
              <w:pStyle w:val="NoIndent"/>
              <w:spacing w:line="240" w:lineRule="auto"/>
              <w:rPr>
                <w:rFonts w:cstheme="minorHAnsi"/>
                <w:sz w:val="16"/>
                <w:szCs w:val="16"/>
              </w:rPr>
            </w:pPr>
          </w:p>
        </w:tc>
        <w:tc>
          <w:tcPr>
            <w:tcW w:w="2268" w:type="dxa"/>
          </w:tcPr>
          <w:p w14:paraId="56981620" w14:textId="77777777" w:rsidR="002B4DE0" w:rsidRPr="009D0F44" w:rsidRDefault="002B4DE0" w:rsidP="00366D9E">
            <w:pPr>
              <w:pStyle w:val="NoIndent"/>
              <w:spacing w:line="240" w:lineRule="auto"/>
              <w:rPr>
                <w:rFonts w:cstheme="minorHAnsi"/>
                <w:sz w:val="16"/>
                <w:szCs w:val="16"/>
              </w:rPr>
            </w:pPr>
          </w:p>
        </w:tc>
        <w:tc>
          <w:tcPr>
            <w:tcW w:w="5103" w:type="dxa"/>
          </w:tcPr>
          <w:p w14:paraId="2395B0A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Online interaction with public authorities</w:t>
            </w:r>
          </w:p>
        </w:tc>
      </w:tr>
      <w:tr w:rsidR="002B4DE0" w:rsidRPr="009D0F44" w14:paraId="4B1FADB5" w14:textId="77777777" w:rsidTr="00B72CF4">
        <w:tc>
          <w:tcPr>
            <w:tcW w:w="1985" w:type="dxa"/>
          </w:tcPr>
          <w:p w14:paraId="59328D10" w14:textId="77777777" w:rsidR="002B4DE0" w:rsidRPr="009D0F44" w:rsidRDefault="002B4DE0" w:rsidP="00366D9E">
            <w:pPr>
              <w:pStyle w:val="NoIndent"/>
              <w:spacing w:line="240" w:lineRule="auto"/>
              <w:rPr>
                <w:rFonts w:cstheme="minorHAnsi"/>
                <w:sz w:val="16"/>
                <w:szCs w:val="16"/>
              </w:rPr>
            </w:pPr>
          </w:p>
        </w:tc>
        <w:tc>
          <w:tcPr>
            <w:tcW w:w="2268" w:type="dxa"/>
          </w:tcPr>
          <w:p w14:paraId="035A889E" w14:textId="77777777" w:rsidR="002B4DE0" w:rsidRPr="009D0F44" w:rsidRDefault="002B4DE0" w:rsidP="00366D9E">
            <w:pPr>
              <w:pStyle w:val="NoIndent"/>
              <w:spacing w:line="240" w:lineRule="auto"/>
              <w:rPr>
                <w:rFonts w:cstheme="minorHAnsi"/>
                <w:sz w:val="16"/>
                <w:szCs w:val="16"/>
              </w:rPr>
            </w:pPr>
          </w:p>
        </w:tc>
        <w:tc>
          <w:tcPr>
            <w:tcW w:w="5103" w:type="dxa"/>
          </w:tcPr>
          <w:p w14:paraId="4337B4CB"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Freedom of media</w:t>
            </w:r>
          </w:p>
        </w:tc>
      </w:tr>
      <w:tr w:rsidR="002B4DE0" w:rsidRPr="009D0F44" w14:paraId="2CB76174" w14:textId="77777777" w:rsidTr="00B72CF4">
        <w:tc>
          <w:tcPr>
            <w:tcW w:w="1985" w:type="dxa"/>
          </w:tcPr>
          <w:p w14:paraId="1957CA0E"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57EF31A2"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0E4FF6AF"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Internet access</w:t>
            </w:r>
          </w:p>
        </w:tc>
      </w:tr>
      <w:tr w:rsidR="002B4DE0" w:rsidRPr="009D0F44" w14:paraId="3F265AA4" w14:textId="77777777" w:rsidTr="00B72CF4">
        <w:tc>
          <w:tcPr>
            <w:tcW w:w="1985" w:type="dxa"/>
          </w:tcPr>
          <w:p w14:paraId="12227CBB" w14:textId="77777777" w:rsidR="002B4DE0" w:rsidRPr="009D0F44" w:rsidRDefault="002B4DE0" w:rsidP="00366D9E">
            <w:pPr>
              <w:pStyle w:val="NoIndent"/>
              <w:spacing w:line="240" w:lineRule="auto"/>
              <w:rPr>
                <w:rFonts w:cstheme="minorHAnsi"/>
                <w:sz w:val="16"/>
                <w:szCs w:val="16"/>
              </w:rPr>
            </w:pPr>
          </w:p>
        </w:tc>
        <w:tc>
          <w:tcPr>
            <w:tcW w:w="2268" w:type="dxa"/>
            <w:tcBorders>
              <w:top w:val="single" w:sz="12" w:space="0" w:color="auto"/>
            </w:tcBorders>
          </w:tcPr>
          <w:p w14:paraId="5017C063"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Health</w:t>
            </w:r>
          </w:p>
        </w:tc>
        <w:tc>
          <w:tcPr>
            <w:tcW w:w="5103" w:type="dxa"/>
            <w:tcBorders>
              <w:top w:val="single" w:sz="12" w:space="0" w:color="auto"/>
            </w:tcBorders>
          </w:tcPr>
          <w:p w14:paraId="3A3C877B"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Years of life lost caused by PM2.5, NO2 and ozone (SOMO35)</w:t>
            </w:r>
          </w:p>
        </w:tc>
      </w:tr>
      <w:tr w:rsidR="002B4DE0" w:rsidRPr="009D0F44" w14:paraId="53A95526" w14:textId="77777777" w:rsidTr="00B72CF4">
        <w:tc>
          <w:tcPr>
            <w:tcW w:w="1985" w:type="dxa"/>
          </w:tcPr>
          <w:p w14:paraId="3D702111" w14:textId="77777777" w:rsidR="002B4DE0" w:rsidRPr="009D0F44" w:rsidRDefault="002B4DE0" w:rsidP="00366D9E">
            <w:pPr>
              <w:pStyle w:val="NoIndent"/>
              <w:spacing w:line="240" w:lineRule="auto"/>
              <w:rPr>
                <w:rFonts w:cstheme="minorHAnsi"/>
                <w:sz w:val="16"/>
                <w:szCs w:val="16"/>
              </w:rPr>
            </w:pPr>
          </w:p>
        </w:tc>
        <w:tc>
          <w:tcPr>
            <w:tcW w:w="2268" w:type="dxa"/>
          </w:tcPr>
          <w:p w14:paraId="11B15AB3" w14:textId="77777777" w:rsidR="002B4DE0" w:rsidRPr="009D0F44" w:rsidRDefault="002B4DE0" w:rsidP="00366D9E">
            <w:pPr>
              <w:pStyle w:val="NoIndent"/>
              <w:spacing w:line="240" w:lineRule="auto"/>
              <w:rPr>
                <w:rFonts w:cstheme="minorHAnsi"/>
                <w:sz w:val="16"/>
                <w:szCs w:val="16"/>
              </w:rPr>
            </w:pPr>
          </w:p>
        </w:tc>
        <w:tc>
          <w:tcPr>
            <w:tcW w:w="5103" w:type="dxa"/>
          </w:tcPr>
          <w:p w14:paraId="5BF1507B"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Subjective health status</w:t>
            </w:r>
          </w:p>
        </w:tc>
      </w:tr>
      <w:tr w:rsidR="002B4DE0" w:rsidRPr="009D0F44" w14:paraId="49ADA27E" w14:textId="77777777" w:rsidTr="00B72CF4">
        <w:tc>
          <w:tcPr>
            <w:tcW w:w="1985" w:type="dxa"/>
          </w:tcPr>
          <w:p w14:paraId="2234842C" w14:textId="77777777" w:rsidR="002B4DE0" w:rsidRPr="009D0F44" w:rsidRDefault="002B4DE0" w:rsidP="00366D9E">
            <w:pPr>
              <w:pStyle w:val="NoIndent"/>
              <w:spacing w:line="240" w:lineRule="auto"/>
              <w:rPr>
                <w:rFonts w:cstheme="minorHAnsi"/>
                <w:sz w:val="16"/>
                <w:szCs w:val="16"/>
              </w:rPr>
            </w:pPr>
          </w:p>
        </w:tc>
        <w:tc>
          <w:tcPr>
            <w:tcW w:w="2268" w:type="dxa"/>
          </w:tcPr>
          <w:p w14:paraId="53BF5F01" w14:textId="77777777" w:rsidR="002B4DE0" w:rsidRPr="009D0F44" w:rsidRDefault="002B4DE0" w:rsidP="00366D9E">
            <w:pPr>
              <w:pStyle w:val="NoIndent"/>
              <w:spacing w:line="240" w:lineRule="auto"/>
              <w:rPr>
                <w:rFonts w:cstheme="minorHAnsi"/>
                <w:sz w:val="16"/>
                <w:szCs w:val="16"/>
              </w:rPr>
            </w:pPr>
          </w:p>
        </w:tc>
        <w:tc>
          <w:tcPr>
            <w:tcW w:w="5103" w:type="dxa"/>
          </w:tcPr>
          <w:p w14:paraId="6FAC8D17" w14:textId="77777777" w:rsidR="002B4DE0" w:rsidRPr="009D0F44" w:rsidRDefault="002B4DE0" w:rsidP="00366D9E">
            <w:pPr>
              <w:pStyle w:val="NoIndent"/>
              <w:spacing w:line="240" w:lineRule="auto"/>
              <w:rPr>
                <w:rFonts w:cstheme="minorHAnsi"/>
                <w:sz w:val="16"/>
                <w:szCs w:val="16"/>
              </w:rPr>
            </w:pPr>
            <w:proofErr w:type="spellStart"/>
            <w:r w:rsidRPr="009D0F44">
              <w:rPr>
                <w:rFonts w:cstheme="minorHAnsi"/>
                <w:sz w:val="16"/>
                <w:szCs w:val="16"/>
              </w:rPr>
              <w:t>Standardised</w:t>
            </w:r>
            <w:proofErr w:type="spellEnd"/>
            <w:r w:rsidRPr="009D0F44">
              <w:rPr>
                <w:rFonts w:cstheme="minorHAnsi"/>
                <w:sz w:val="16"/>
                <w:szCs w:val="16"/>
              </w:rPr>
              <w:t xml:space="preserve"> cancer death rate</w:t>
            </w:r>
          </w:p>
        </w:tc>
      </w:tr>
      <w:tr w:rsidR="002B4DE0" w:rsidRPr="009D0F44" w14:paraId="2D16BC34" w14:textId="77777777" w:rsidTr="00B72CF4">
        <w:tc>
          <w:tcPr>
            <w:tcW w:w="1985" w:type="dxa"/>
          </w:tcPr>
          <w:p w14:paraId="253F8E6C" w14:textId="77777777" w:rsidR="002B4DE0" w:rsidRPr="009D0F44" w:rsidRDefault="002B4DE0" w:rsidP="00366D9E">
            <w:pPr>
              <w:pStyle w:val="NoIndent"/>
              <w:spacing w:line="240" w:lineRule="auto"/>
              <w:rPr>
                <w:rFonts w:cstheme="minorHAnsi"/>
                <w:sz w:val="16"/>
                <w:szCs w:val="16"/>
              </w:rPr>
            </w:pPr>
          </w:p>
        </w:tc>
        <w:tc>
          <w:tcPr>
            <w:tcW w:w="2268" w:type="dxa"/>
          </w:tcPr>
          <w:p w14:paraId="12478620" w14:textId="77777777" w:rsidR="002B4DE0" w:rsidRPr="009D0F44" w:rsidRDefault="002B4DE0" w:rsidP="00366D9E">
            <w:pPr>
              <w:pStyle w:val="NoIndent"/>
              <w:spacing w:line="240" w:lineRule="auto"/>
              <w:rPr>
                <w:rFonts w:cstheme="minorHAnsi"/>
                <w:sz w:val="16"/>
                <w:szCs w:val="16"/>
              </w:rPr>
            </w:pPr>
          </w:p>
        </w:tc>
        <w:tc>
          <w:tcPr>
            <w:tcW w:w="5103" w:type="dxa"/>
          </w:tcPr>
          <w:p w14:paraId="5CF138A3" w14:textId="77777777" w:rsidR="002B4DE0" w:rsidRPr="009D0F44" w:rsidRDefault="002B4DE0" w:rsidP="00366D9E">
            <w:pPr>
              <w:pStyle w:val="NoIndent"/>
              <w:spacing w:line="240" w:lineRule="auto"/>
              <w:rPr>
                <w:rFonts w:cstheme="minorHAnsi"/>
                <w:sz w:val="16"/>
                <w:szCs w:val="16"/>
              </w:rPr>
            </w:pPr>
            <w:proofErr w:type="spellStart"/>
            <w:r w:rsidRPr="009D0F44">
              <w:rPr>
                <w:rFonts w:cstheme="minorHAnsi"/>
                <w:sz w:val="16"/>
                <w:szCs w:val="16"/>
              </w:rPr>
              <w:t>Standardised</w:t>
            </w:r>
            <w:proofErr w:type="spellEnd"/>
            <w:r w:rsidRPr="009D0F44">
              <w:rPr>
                <w:rFonts w:cstheme="minorHAnsi"/>
                <w:sz w:val="16"/>
                <w:szCs w:val="16"/>
              </w:rPr>
              <w:t xml:space="preserve"> heart disease death rate</w:t>
            </w:r>
          </w:p>
        </w:tc>
      </w:tr>
      <w:tr w:rsidR="002B4DE0" w:rsidRPr="009D0F44" w14:paraId="54F20DBE" w14:textId="77777777" w:rsidTr="00B72CF4">
        <w:tc>
          <w:tcPr>
            <w:tcW w:w="1985" w:type="dxa"/>
          </w:tcPr>
          <w:p w14:paraId="5C3EDB73"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7275AC55"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276125C0"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Positive feelings</w:t>
            </w:r>
          </w:p>
        </w:tc>
      </w:tr>
      <w:tr w:rsidR="002B4DE0" w:rsidRPr="009D0F44" w14:paraId="6920A2F3" w14:textId="77777777" w:rsidTr="00B72CF4">
        <w:tc>
          <w:tcPr>
            <w:tcW w:w="1985" w:type="dxa"/>
          </w:tcPr>
          <w:p w14:paraId="65060771" w14:textId="77777777" w:rsidR="002B4DE0" w:rsidRPr="009D0F44" w:rsidRDefault="002B4DE0" w:rsidP="00366D9E">
            <w:pPr>
              <w:pStyle w:val="NoIndent"/>
              <w:spacing w:line="240" w:lineRule="auto"/>
              <w:rPr>
                <w:rFonts w:cstheme="minorHAnsi"/>
                <w:sz w:val="16"/>
                <w:szCs w:val="16"/>
              </w:rPr>
            </w:pPr>
          </w:p>
        </w:tc>
        <w:tc>
          <w:tcPr>
            <w:tcW w:w="2268" w:type="dxa"/>
            <w:tcBorders>
              <w:top w:val="single" w:sz="12" w:space="0" w:color="auto"/>
            </w:tcBorders>
          </w:tcPr>
          <w:p w14:paraId="3358569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Environmental quality</w:t>
            </w:r>
          </w:p>
        </w:tc>
        <w:tc>
          <w:tcPr>
            <w:tcW w:w="5103" w:type="dxa"/>
            <w:tcBorders>
              <w:top w:val="single" w:sz="12" w:space="0" w:color="auto"/>
            </w:tcBorders>
          </w:tcPr>
          <w:p w14:paraId="5EFE9ED8"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NO2 air pollution</w:t>
            </w:r>
          </w:p>
        </w:tc>
      </w:tr>
      <w:tr w:rsidR="002B4DE0" w:rsidRPr="009D0F44" w14:paraId="07FB7F13" w14:textId="77777777" w:rsidTr="00B72CF4">
        <w:tc>
          <w:tcPr>
            <w:tcW w:w="1985" w:type="dxa"/>
          </w:tcPr>
          <w:p w14:paraId="2418465B" w14:textId="77777777" w:rsidR="002B4DE0" w:rsidRPr="009D0F44" w:rsidRDefault="002B4DE0" w:rsidP="00366D9E">
            <w:pPr>
              <w:pStyle w:val="NoIndent"/>
              <w:spacing w:line="240" w:lineRule="auto"/>
              <w:rPr>
                <w:rFonts w:cstheme="minorHAnsi"/>
                <w:sz w:val="16"/>
                <w:szCs w:val="16"/>
              </w:rPr>
            </w:pPr>
          </w:p>
        </w:tc>
        <w:tc>
          <w:tcPr>
            <w:tcW w:w="2268" w:type="dxa"/>
          </w:tcPr>
          <w:p w14:paraId="524FD11F" w14:textId="77777777" w:rsidR="002B4DE0" w:rsidRPr="009D0F44" w:rsidRDefault="002B4DE0" w:rsidP="00366D9E">
            <w:pPr>
              <w:pStyle w:val="NoIndent"/>
              <w:spacing w:line="240" w:lineRule="auto"/>
              <w:rPr>
                <w:rFonts w:cstheme="minorHAnsi"/>
                <w:sz w:val="16"/>
                <w:szCs w:val="16"/>
              </w:rPr>
            </w:pPr>
          </w:p>
        </w:tc>
        <w:tc>
          <w:tcPr>
            <w:tcW w:w="5103" w:type="dxa"/>
          </w:tcPr>
          <w:p w14:paraId="5B1677B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Ozone (SOMO35) air pollution</w:t>
            </w:r>
          </w:p>
        </w:tc>
      </w:tr>
      <w:tr w:rsidR="002B4DE0" w:rsidRPr="009D0F44" w14:paraId="1217A3BA" w14:textId="77777777" w:rsidTr="00B72CF4">
        <w:tc>
          <w:tcPr>
            <w:tcW w:w="1985" w:type="dxa"/>
          </w:tcPr>
          <w:p w14:paraId="5646BC57" w14:textId="77777777" w:rsidR="002B4DE0" w:rsidRPr="009D0F44" w:rsidRDefault="002B4DE0" w:rsidP="00366D9E">
            <w:pPr>
              <w:pStyle w:val="NoIndent"/>
              <w:spacing w:line="240" w:lineRule="auto"/>
              <w:rPr>
                <w:rFonts w:cstheme="minorHAnsi"/>
                <w:sz w:val="16"/>
                <w:szCs w:val="16"/>
              </w:rPr>
            </w:pPr>
          </w:p>
        </w:tc>
        <w:tc>
          <w:tcPr>
            <w:tcW w:w="2268" w:type="dxa"/>
          </w:tcPr>
          <w:p w14:paraId="72B43789" w14:textId="77777777" w:rsidR="002B4DE0" w:rsidRPr="009D0F44" w:rsidRDefault="002B4DE0" w:rsidP="00366D9E">
            <w:pPr>
              <w:pStyle w:val="NoIndent"/>
              <w:spacing w:line="240" w:lineRule="auto"/>
              <w:rPr>
                <w:rFonts w:cstheme="minorHAnsi"/>
                <w:sz w:val="16"/>
                <w:szCs w:val="16"/>
              </w:rPr>
            </w:pPr>
          </w:p>
        </w:tc>
        <w:tc>
          <w:tcPr>
            <w:tcW w:w="5103" w:type="dxa"/>
          </w:tcPr>
          <w:p w14:paraId="06C36C1F"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PM2.5 air pollution</w:t>
            </w:r>
          </w:p>
        </w:tc>
      </w:tr>
      <w:tr w:rsidR="002B4DE0" w:rsidRPr="009D0F44" w14:paraId="3E3509CC" w14:textId="77777777" w:rsidTr="00B72CF4">
        <w:tc>
          <w:tcPr>
            <w:tcW w:w="1985" w:type="dxa"/>
            <w:tcBorders>
              <w:bottom w:val="single" w:sz="12" w:space="0" w:color="auto"/>
            </w:tcBorders>
          </w:tcPr>
          <w:p w14:paraId="2FF0CE78"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442D9867"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243C73D9"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Bathing water quality</w:t>
            </w:r>
          </w:p>
        </w:tc>
      </w:tr>
      <w:tr w:rsidR="002B4DE0" w:rsidRPr="009D0F44" w14:paraId="55A74EDA" w14:textId="77777777" w:rsidTr="00B72CF4">
        <w:tc>
          <w:tcPr>
            <w:tcW w:w="1985" w:type="dxa"/>
            <w:tcBorders>
              <w:top w:val="single" w:sz="12" w:space="0" w:color="auto"/>
            </w:tcBorders>
          </w:tcPr>
          <w:p w14:paraId="13C5B945"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Opportunity</w:t>
            </w:r>
          </w:p>
        </w:tc>
        <w:tc>
          <w:tcPr>
            <w:tcW w:w="2268" w:type="dxa"/>
            <w:tcBorders>
              <w:top w:val="single" w:sz="12" w:space="0" w:color="auto"/>
            </w:tcBorders>
          </w:tcPr>
          <w:p w14:paraId="23613D99"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Trust and governance</w:t>
            </w:r>
          </w:p>
        </w:tc>
        <w:tc>
          <w:tcPr>
            <w:tcW w:w="5103" w:type="dxa"/>
            <w:tcBorders>
              <w:top w:val="single" w:sz="12" w:space="0" w:color="auto"/>
            </w:tcBorders>
          </w:tcPr>
          <w:p w14:paraId="6484CC8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Trust in the national government</w:t>
            </w:r>
          </w:p>
        </w:tc>
      </w:tr>
      <w:tr w:rsidR="002B4DE0" w:rsidRPr="009D0F44" w14:paraId="6B0EA8CD" w14:textId="77777777" w:rsidTr="00B72CF4">
        <w:tc>
          <w:tcPr>
            <w:tcW w:w="1985" w:type="dxa"/>
          </w:tcPr>
          <w:p w14:paraId="0E88EC0C" w14:textId="77777777" w:rsidR="002B4DE0" w:rsidRPr="009D0F44" w:rsidRDefault="002B4DE0" w:rsidP="00366D9E">
            <w:pPr>
              <w:pStyle w:val="NoIndent"/>
              <w:spacing w:line="240" w:lineRule="auto"/>
              <w:rPr>
                <w:rFonts w:cstheme="minorHAnsi"/>
                <w:sz w:val="16"/>
                <w:szCs w:val="16"/>
              </w:rPr>
            </w:pPr>
          </w:p>
        </w:tc>
        <w:tc>
          <w:tcPr>
            <w:tcW w:w="2268" w:type="dxa"/>
          </w:tcPr>
          <w:p w14:paraId="35D43C96" w14:textId="77777777" w:rsidR="002B4DE0" w:rsidRPr="009D0F44" w:rsidRDefault="002B4DE0" w:rsidP="00366D9E">
            <w:pPr>
              <w:pStyle w:val="NoIndent"/>
              <w:spacing w:line="240" w:lineRule="auto"/>
              <w:rPr>
                <w:rFonts w:cstheme="minorHAnsi"/>
                <w:sz w:val="16"/>
                <w:szCs w:val="16"/>
              </w:rPr>
            </w:pPr>
          </w:p>
        </w:tc>
        <w:tc>
          <w:tcPr>
            <w:tcW w:w="5103" w:type="dxa"/>
          </w:tcPr>
          <w:p w14:paraId="2A25111F"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Trust in the judicial system</w:t>
            </w:r>
          </w:p>
        </w:tc>
      </w:tr>
      <w:tr w:rsidR="002B4DE0" w:rsidRPr="009D0F44" w14:paraId="27B51579" w14:textId="77777777" w:rsidTr="00B72CF4">
        <w:tc>
          <w:tcPr>
            <w:tcW w:w="1985" w:type="dxa"/>
          </w:tcPr>
          <w:p w14:paraId="2C6EB8CF" w14:textId="77777777" w:rsidR="002B4DE0" w:rsidRPr="009D0F44" w:rsidRDefault="002B4DE0" w:rsidP="00366D9E">
            <w:pPr>
              <w:pStyle w:val="NoIndent"/>
              <w:spacing w:line="240" w:lineRule="auto"/>
              <w:rPr>
                <w:rFonts w:cstheme="minorHAnsi"/>
                <w:sz w:val="16"/>
                <w:szCs w:val="16"/>
              </w:rPr>
            </w:pPr>
          </w:p>
        </w:tc>
        <w:tc>
          <w:tcPr>
            <w:tcW w:w="2268" w:type="dxa"/>
          </w:tcPr>
          <w:p w14:paraId="2EB4AC40" w14:textId="77777777" w:rsidR="002B4DE0" w:rsidRPr="009D0F44" w:rsidRDefault="002B4DE0" w:rsidP="00366D9E">
            <w:pPr>
              <w:pStyle w:val="NoIndent"/>
              <w:spacing w:line="240" w:lineRule="auto"/>
              <w:rPr>
                <w:rFonts w:cstheme="minorHAnsi"/>
                <w:sz w:val="16"/>
                <w:szCs w:val="16"/>
              </w:rPr>
            </w:pPr>
          </w:p>
        </w:tc>
        <w:tc>
          <w:tcPr>
            <w:tcW w:w="5103" w:type="dxa"/>
          </w:tcPr>
          <w:p w14:paraId="6440DEED"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Trust in the police</w:t>
            </w:r>
          </w:p>
        </w:tc>
      </w:tr>
      <w:tr w:rsidR="002B4DE0" w:rsidRPr="009D0F44" w14:paraId="64B6F1FA" w14:textId="77777777" w:rsidTr="00B72CF4">
        <w:tc>
          <w:tcPr>
            <w:tcW w:w="1985" w:type="dxa"/>
          </w:tcPr>
          <w:p w14:paraId="69058198" w14:textId="77777777" w:rsidR="002B4DE0" w:rsidRPr="009D0F44" w:rsidRDefault="002B4DE0" w:rsidP="00366D9E">
            <w:pPr>
              <w:pStyle w:val="NoIndent"/>
              <w:spacing w:line="240" w:lineRule="auto"/>
              <w:rPr>
                <w:rFonts w:cstheme="minorHAnsi"/>
                <w:sz w:val="16"/>
                <w:szCs w:val="16"/>
              </w:rPr>
            </w:pPr>
          </w:p>
        </w:tc>
        <w:tc>
          <w:tcPr>
            <w:tcW w:w="2268" w:type="dxa"/>
          </w:tcPr>
          <w:p w14:paraId="13499EBB" w14:textId="77777777" w:rsidR="002B4DE0" w:rsidRPr="009D0F44" w:rsidRDefault="002B4DE0" w:rsidP="00366D9E">
            <w:pPr>
              <w:pStyle w:val="NoIndent"/>
              <w:spacing w:line="240" w:lineRule="auto"/>
              <w:rPr>
                <w:rFonts w:cstheme="minorHAnsi"/>
                <w:sz w:val="16"/>
                <w:szCs w:val="16"/>
              </w:rPr>
            </w:pPr>
          </w:p>
        </w:tc>
        <w:tc>
          <w:tcPr>
            <w:tcW w:w="5103" w:type="dxa"/>
          </w:tcPr>
          <w:p w14:paraId="0A5B1EBD"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Voiced your opinion to a public official</w:t>
            </w:r>
          </w:p>
        </w:tc>
      </w:tr>
      <w:tr w:rsidR="002B4DE0" w:rsidRPr="009D0F44" w14:paraId="558ECB34" w14:textId="77777777" w:rsidTr="00B72CF4">
        <w:tc>
          <w:tcPr>
            <w:tcW w:w="1985" w:type="dxa"/>
          </w:tcPr>
          <w:p w14:paraId="596E024C" w14:textId="77777777" w:rsidR="002B4DE0" w:rsidRPr="009D0F44" w:rsidRDefault="002B4DE0" w:rsidP="00366D9E">
            <w:pPr>
              <w:pStyle w:val="NoIndent"/>
              <w:spacing w:line="240" w:lineRule="auto"/>
              <w:rPr>
                <w:rFonts w:cstheme="minorHAnsi"/>
                <w:sz w:val="16"/>
                <w:szCs w:val="16"/>
              </w:rPr>
            </w:pPr>
          </w:p>
        </w:tc>
        <w:tc>
          <w:tcPr>
            <w:tcW w:w="2268" w:type="dxa"/>
          </w:tcPr>
          <w:p w14:paraId="6C5B0ED3" w14:textId="77777777" w:rsidR="002B4DE0" w:rsidRPr="009D0F44" w:rsidRDefault="002B4DE0" w:rsidP="00366D9E">
            <w:pPr>
              <w:pStyle w:val="NoIndent"/>
              <w:spacing w:line="240" w:lineRule="auto"/>
              <w:rPr>
                <w:rFonts w:cstheme="minorHAnsi"/>
                <w:sz w:val="16"/>
                <w:szCs w:val="16"/>
              </w:rPr>
            </w:pPr>
          </w:p>
        </w:tc>
        <w:tc>
          <w:tcPr>
            <w:tcW w:w="5103" w:type="dxa"/>
          </w:tcPr>
          <w:p w14:paraId="7C54A019"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Female participation in regional assemblies</w:t>
            </w:r>
          </w:p>
        </w:tc>
      </w:tr>
      <w:tr w:rsidR="002B4DE0" w:rsidRPr="009D0F44" w14:paraId="6E59D19B" w14:textId="77777777" w:rsidTr="00B72CF4">
        <w:tc>
          <w:tcPr>
            <w:tcW w:w="1985" w:type="dxa"/>
          </w:tcPr>
          <w:p w14:paraId="621667ED"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109DC75E"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0FF61394"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Institution quality index</w:t>
            </w:r>
          </w:p>
        </w:tc>
      </w:tr>
      <w:tr w:rsidR="002B4DE0" w:rsidRPr="009D0F44" w14:paraId="78C14E54" w14:textId="77777777" w:rsidTr="00B72CF4">
        <w:tc>
          <w:tcPr>
            <w:tcW w:w="1985" w:type="dxa"/>
          </w:tcPr>
          <w:p w14:paraId="06CB1409" w14:textId="77777777" w:rsidR="002B4DE0" w:rsidRPr="009D0F44" w:rsidRDefault="002B4DE0" w:rsidP="00366D9E">
            <w:pPr>
              <w:pStyle w:val="NoIndent"/>
              <w:spacing w:line="240" w:lineRule="auto"/>
              <w:rPr>
                <w:rFonts w:cstheme="minorHAnsi"/>
                <w:sz w:val="16"/>
                <w:szCs w:val="16"/>
              </w:rPr>
            </w:pPr>
          </w:p>
        </w:tc>
        <w:tc>
          <w:tcPr>
            <w:tcW w:w="2268" w:type="dxa"/>
            <w:tcBorders>
              <w:top w:val="single" w:sz="12" w:space="0" w:color="auto"/>
            </w:tcBorders>
          </w:tcPr>
          <w:p w14:paraId="37CC3FF6"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Freedom and choice</w:t>
            </w:r>
          </w:p>
        </w:tc>
        <w:tc>
          <w:tcPr>
            <w:tcW w:w="5103" w:type="dxa"/>
            <w:tcBorders>
              <w:top w:val="single" w:sz="12" w:space="0" w:color="auto"/>
            </w:tcBorders>
          </w:tcPr>
          <w:p w14:paraId="31BE9E0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Freedom over life choices</w:t>
            </w:r>
          </w:p>
        </w:tc>
      </w:tr>
      <w:tr w:rsidR="002B4DE0" w:rsidRPr="009D0F44" w14:paraId="1574F874" w14:textId="77777777" w:rsidTr="00B72CF4">
        <w:tc>
          <w:tcPr>
            <w:tcW w:w="1985" w:type="dxa"/>
          </w:tcPr>
          <w:p w14:paraId="2AE6D9EA" w14:textId="77777777" w:rsidR="002B4DE0" w:rsidRPr="009D0F44" w:rsidRDefault="002B4DE0" w:rsidP="00366D9E">
            <w:pPr>
              <w:pStyle w:val="NoIndent"/>
              <w:spacing w:line="240" w:lineRule="auto"/>
              <w:rPr>
                <w:rFonts w:cstheme="minorHAnsi"/>
                <w:sz w:val="16"/>
                <w:szCs w:val="16"/>
              </w:rPr>
            </w:pPr>
          </w:p>
        </w:tc>
        <w:tc>
          <w:tcPr>
            <w:tcW w:w="2268" w:type="dxa"/>
          </w:tcPr>
          <w:p w14:paraId="7542A0F9" w14:textId="77777777" w:rsidR="002B4DE0" w:rsidRPr="009D0F44" w:rsidRDefault="002B4DE0" w:rsidP="00366D9E">
            <w:pPr>
              <w:pStyle w:val="NoIndent"/>
              <w:spacing w:line="240" w:lineRule="auto"/>
              <w:rPr>
                <w:rFonts w:cstheme="minorHAnsi"/>
                <w:sz w:val="16"/>
                <w:szCs w:val="16"/>
              </w:rPr>
            </w:pPr>
          </w:p>
        </w:tc>
        <w:tc>
          <w:tcPr>
            <w:tcW w:w="5103" w:type="dxa"/>
          </w:tcPr>
          <w:p w14:paraId="18266ECA"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Job opportunities</w:t>
            </w:r>
          </w:p>
        </w:tc>
      </w:tr>
      <w:tr w:rsidR="002B4DE0" w:rsidRPr="009D0F44" w14:paraId="6AD18389" w14:textId="77777777" w:rsidTr="00B72CF4">
        <w:tc>
          <w:tcPr>
            <w:tcW w:w="1985" w:type="dxa"/>
          </w:tcPr>
          <w:p w14:paraId="436C2F0A" w14:textId="77777777" w:rsidR="002B4DE0" w:rsidRPr="009D0F44" w:rsidRDefault="002B4DE0" w:rsidP="00366D9E">
            <w:pPr>
              <w:pStyle w:val="NoIndent"/>
              <w:spacing w:line="240" w:lineRule="auto"/>
              <w:rPr>
                <w:rFonts w:cstheme="minorHAnsi"/>
                <w:sz w:val="16"/>
                <w:szCs w:val="16"/>
              </w:rPr>
            </w:pPr>
          </w:p>
        </w:tc>
        <w:tc>
          <w:tcPr>
            <w:tcW w:w="2268" w:type="dxa"/>
          </w:tcPr>
          <w:p w14:paraId="2855759D" w14:textId="77777777" w:rsidR="002B4DE0" w:rsidRPr="009D0F44" w:rsidRDefault="002B4DE0" w:rsidP="00366D9E">
            <w:pPr>
              <w:pStyle w:val="NoIndent"/>
              <w:spacing w:line="240" w:lineRule="auto"/>
              <w:rPr>
                <w:rFonts w:cstheme="minorHAnsi"/>
                <w:sz w:val="16"/>
                <w:szCs w:val="16"/>
              </w:rPr>
            </w:pPr>
          </w:p>
        </w:tc>
        <w:tc>
          <w:tcPr>
            <w:tcW w:w="5103" w:type="dxa"/>
          </w:tcPr>
          <w:p w14:paraId="718DDFD9"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Teenage pregnancy</w:t>
            </w:r>
          </w:p>
        </w:tc>
      </w:tr>
      <w:tr w:rsidR="002B4DE0" w:rsidRPr="009D0F44" w14:paraId="64A05400" w14:textId="77777777" w:rsidTr="00B72CF4">
        <w:tc>
          <w:tcPr>
            <w:tcW w:w="1985" w:type="dxa"/>
          </w:tcPr>
          <w:p w14:paraId="02B01AC8" w14:textId="77777777" w:rsidR="002B4DE0" w:rsidRPr="009D0F44" w:rsidRDefault="002B4DE0" w:rsidP="00366D9E">
            <w:pPr>
              <w:pStyle w:val="NoIndent"/>
              <w:spacing w:line="240" w:lineRule="auto"/>
              <w:rPr>
                <w:rFonts w:cstheme="minorHAnsi"/>
                <w:sz w:val="16"/>
                <w:szCs w:val="16"/>
              </w:rPr>
            </w:pPr>
          </w:p>
        </w:tc>
        <w:tc>
          <w:tcPr>
            <w:tcW w:w="2268" w:type="dxa"/>
          </w:tcPr>
          <w:p w14:paraId="39000F72" w14:textId="77777777" w:rsidR="002B4DE0" w:rsidRPr="009D0F44" w:rsidRDefault="002B4DE0" w:rsidP="00366D9E">
            <w:pPr>
              <w:pStyle w:val="NoIndent"/>
              <w:spacing w:line="240" w:lineRule="auto"/>
              <w:rPr>
                <w:rFonts w:cstheme="minorHAnsi"/>
                <w:sz w:val="16"/>
                <w:szCs w:val="16"/>
              </w:rPr>
            </w:pPr>
          </w:p>
        </w:tc>
        <w:tc>
          <w:tcPr>
            <w:tcW w:w="5103" w:type="dxa"/>
          </w:tcPr>
          <w:p w14:paraId="525D695F"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Young people not in education, employment or training (NEET)</w:t>
            </w:r>
          </w:p>
        </w:tc>
      </w:tr>
      <w:tr w:rsidR="002B4DE0" w:rsidRPr="009D0F44" w14:paraId="4C008151" w14:textId="77777777" w:rsidTr="00B72CF4">
        <w:tc>
          <w:tcPr>
            <w:tcW w:w="1985" w:type="dxa"/>
          </w:tcPr>
          <w:p w14:paraId="75C372D1"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6618AE90"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5BEDC73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Institutions corruption index</w:t>
            </w:r>
          </w:p>
        </w:tc>
      </w:tr>
      <w:tr w:rsidR="002B4DE0" w:rsidRPr="009D0F44" w14:paraId="515DE166" w14:textId="77777777" w:rsidTr="00B72CF4">
        <w:tc>
          <w:tcPr>
            <w:tcW w:w="1985" w:type="dxa"/>
          </w:tcPr>
          <w:p w14:paraId="4A6DCF53" w14:textId="77777777" w:rsidR="002B4DE0" w:rsidRPr="009D0F44" w:rsidRDefault="002B4DE0" w:rsidP="00366D9E">
            <w:pPr>
              <w:pStyle w:val="NoIndent"/>
              <w:spacing w:line="240" w:lineRule="auto"/>
              <w:rPr>
                <w:rFonts w:cstheme="minorHAnsi"/>
                <w:sz w:val="16"/>
                <w:szCs w:val="16"/>
              </w:rPr>
            </w:pPr>
          </w:p>
        </w:tc>
        <w:tc>
          <w:tcPr>
            <w:tcW w:w="2268" w:type="dxa"/>
            <w:tcBorders>
              <w:top w:val="single" w:sz="12" w:space="0" w:color="auto"/>
            </w:tcBorders>
          </w:tcPr>
          <w:p w14:paraId="71B78741"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Inclusive society</w:t>
            </w:r>
          </w:p>
        </w:tc>
        <w:tc>
          <w:tcPr>
            <w:tcW w:w="5103" w:type="dxa"/>
            <w:tcBorders>
              <w:top w:val="single" w:sz="12" w:space="0" w:color="auto"/>
            </w:tcBorders>
          </w:tcPr>
          <w:p w14:paraId="28CCBC3B"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Institution impartiality index</w:t>
            </w:r>
          </w:p>
        </w:tc>
      </w:tr>
      <w:tr w:rsidR="002B4DE0" w:rsidRPr="009D0F44" w14:paraId="18FE4995" w14:textId="77777777" w:rsidTr="00B72CF4">
        <w:tc>
          <w:tcPr>
            <w:tcW w:w="1985" w:type="dxa"/>
          </w:tcPr>
          <w:p w14:paraId="199CE837" w14:textId="77777777" w:rsidR="002B4DE0" w:rsidRPr="009D0F44" w:rsidRDefault="002B4DE0" w:rsidP="00366D9E">
            <w:pPr>
              <w:pStyle w:val="NoIndent"/>
              <w:spacing w:line="240" w:lineRule="auto"/>
              <w:rPr>
                <w:rFonts w:cstheme="minorHAnsi"/>
                <w:sz w:val="16"/>
                <w:szCs w:val="16"/>
              </w:rPr>
            </w:pPr>
          </w:p>
        </w:tc>
        <w:tc>
          <w:tcPr>
            <w:tcW w:w="2268" w:type="dxa"/>
          </w:tcPr>
          <w:p w14:paraId="33853782" w14:textId="77777777" w:rsidR="002B4DE0" w:rsidRPr="009D0F44" w:rsidRDefault="002B4DE0" w:rsidP="00366D9E">
            <w:pPr>
              <w:pStyle w:val="NoIndent"/>
              <w:spacing w:line="240" w:lineRule="auto"/>
              <w:rPr>
                <w:rFonts w:cstheme="minorHAnsi"/>
                <w:sz w:val="16"/>
                <w:szCs w:val="16"/>
              </w:rPr>
            </w:pPr>
          </w:p>
        </w:tc>
        <w:tc>
          <w:tcPr>
            <w:tcW w:w="5103" w:type="dxa"/>
          </w:tcPr>
          <w:p w14:paraId="18AF528A"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Tolerance towards immigrants</w:t>
            </w:r>
          </w:p>
        </w:tc>
      </w:tr>
      <w:tr w:rsidR="002B4DE0" w:rsidRPr="009D0F44" w14:paraId="0835109B" w14:textId="77777777" w:rsidTr="00B72CF4">
        <w:tc>
          <w:tcPr>
            <w:tcW w:w="1985" w:type="dxa"/>
          </w:tcPr>
          <w:p w14:paraId="6E599D9C" w14:textId="77777777" w:rsidR="002B4DE0" w:rsidRPr="009D0F44" w:rsidRDefault="002B4DE0" w:rsidP="00366D9E">
            <w:pPr>
              <w:pStyle w:val="NoIndent"/>
              <w:spacing w:line="240" w:lineRule="auto"/>
              <w:rPr>
                <w:rFonts w:cstheme="minorHAnsi"/>
                <w:sz w:val="16"/>
                <w:szCs w:val="16"/>
              </w:rPr>
            </w:pPr>
          </w:p>
        </w:tc>
        <w:tc>
          <w:tcPr>
            <w:tcW w:w="2268" w:type="dxa"/>
          </w:tcPr>
          <w:p w14:paraId="7F006A9F" w14:textId="77777777" w:rsidR="002B4DE0" w:rsidRPr="009D0F44" w:rsidRDefault="002B4DE0" w:rsidP="00366D9E">
            <w:pPr>
              <w:pStyle w:val="NoIndent"/>
              <w:spacing w:line="240" w:lineRule="auto"/>
              <w:rPr>
                <w:rFonts w:cstheme="minorHAnsi"/>
                <w:sz w:val="16"/>
                <w:szCs w:val="16"/>
              </w:rPr>
            </w:pPr>
          </w:p>
        </w:tc>
        <w:tc>
          <w:tcPr>
            <w:tcW w:w="5103" w:type="dxa"/>
          </w:tcPr>
          <w:p w14:paraId="4E0746D4"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Tolerance towards minorities</w:t>
            </w:r>
          </w:p>
        </w:tc>
      </w:tr>
      <w:tr w:rsidR="002B4DE0" w:rsidRPr="009D0F44" w14:paraId="081CDAD1" w14:textId="77777777" w:rsidTr="00B72CF4">
        <w:tc>
          <w:tcPr>
            <w:tcW w:w="1985" w:type="dxa"/>
          </w:tcPr>
          <w:p w14:paraId="76CAB8C3" w14:textId="77777777" w:rsidR="002B4DE0" w:rsidRPr="009D0F44" w:rsidRDefault="002B4DE0" w:rsidP="00366D9E">
            <w:pPr>
              <w:pStyle w:val="NoIndent"/>
              <w:spacing w:line="240" w:lineRule="auto"/>
              <w:rPr>
                <w:rFonts w:cstheme="minorHAnsi"/>
                <w:sz w:val="16"/>
                <w:szCs w:val="16"/>
              </w:rPr>
            </w:pPr>
          </w:p>
        </w:tc>
        <w:tc>
          <w:tcPr>
            <w:tcW w:w="2268" w:type="dxa"/>
          </w:tcPr>
          <w:p w14:paraId="5A1F025B" w14:textId="77777777" w:rsidR="002B4DE0" w:rsidRPr="009D0F44" w:rsidRDefault="002B4DE0" w:rsidP="00366D9E">
            <w:pPr>
              <w:pStyle w:val="NoIndent"/>
              <w:spacing w:line="240" w:lineRule="auto"/>
              <w:rPr>
                <w:rFonts w:cstheme="minorHAnsi"/>
                <w:sz w:val="16"/>
                <w:szCs w:val="16"/>
              </w:rPr>
            </w:pPr>
          </w:p>
        </w:tc>
        <w:tc>
          <w:tcPr>
            <w:tcW w:w="5103" w:type="dxa"/>
          </w:tcPr>
          <w:p w14:paraId="72AA3E17"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Tolerance towards gay / lesbian</w:t>
            </w:r>
          </w:p>
        </w:tc>
      </w:tr>
      <w:tr w:rsidR="002B4DE0" w:rsidRPr="009D0F44" w14:paraId="6887675B" w14:textId="77777777" w:rsidTr="00B72CF4">
        <w:tc>
          <w:tcPr>
            <w:tcW w:w="1985" w:type="dxa"/>
          </w:tcPr>
          <w:p w14:paraId="56032B1D"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5299D14C"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71FF41AC"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Women treated with respect</w:t>
            </w:r>
          </w:p>
        </w:tc>
      </w:tr>
      <w:tr w:rsidR="002B4DE0" w:rsidRPr="009D0F44" w14:paraId="02C1BA78" w14:textId="77777777" w:rsidTr="00B72CF4">
        <w:tc>
          <w:tcPr>
            <w:tcW w:w="1985" w:type="dxa"/>
          </w:tcPr>
          <w:p w14:paraId="2D950246" w14:textId="77777777" w:rsidR="002B4DE0" w:rsidRPr="009D0F44" w:rsidRDefault="002B4DE0" w:rsidP="00366D9E">
            <w:pPr>
              <w:pStyle w:val="NoIndent"/>
              <w:spacing w:line="240" w:lineRule="auto"/>
              <w:rPr>
                <w:rFonts w:cstheme="minorHAnsi"/>
                <w:sz w:val="16"/>
                <w:szCs w:val="16"/>
              </w:rPr>
            </w:pPr>
          </w:p>
        </w:tc>
        <w:tc>
          <w:tcPr>
            <w:tcW w:w="2268" w:type="dxa"/>
            <w:tcBorders>
              <w:top w:val="single" w:sz="12" w:space="0" w:color="auto"/>
            </w:tcBorders>
          </w:tcPr>
          <w:p w14:paraId="488506B4"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Advanced education</w:t>
            </w:r>
          </w:p>
        </w:tc>
        <w:tc>
          <w:tcPr>
            <w:tcW w:w="5103" w:type="dxa"/>
            <w:tcBorders>
              <w:top w:val="single" w:sz="12" w:space="0" w:color="auto"/>
            </w:tcBorders>
          </w:tcPr>
          <w:p w14:paraId="325F07F9"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Tertiary education attainment</w:t>
            </w:r>
          </w:p>
        </w:tc>
      </w:tr>
      <w:tr w:rsidR="002B4DE0" w:rsidRPr="009D0F44" w14:paraId="0CB76A81" w14:textId="77777777" w:rsidTr="00B72CF4">
        <w:tc>
          <w:tcPr>
            <w:tcW w:w="1985" w:type="dxa"/>
          </w:tcPr>
          <w:p w14:paraId="5D1B4D5B" w14:textId="77777777" w:rsidR="002B4DE0" w:rsidRPr="009D0F44" w:rsidRDefault="002B4DE0" w:rsidP="00366D9E">
            <w:pPr>
              <w:pStyle w:val="NoIndent"/>
              <w:spacing w:line="240" w:lineRule="auto"/>
              <w:rPr>
                <w:rFonts w:cstheme="minorHAnsi"/>
                <w:sz w:val="16"/>
                <w:szCs w:val="16"/>
              </w:rPr>
            </w:pPr>
          </w:p>
        </w:tc>
        <w:tc>
          <w:tcPr>
            <w:tcW w:w="2268" w:type="dxa"/>
          </w:tcPr>
          <w:p w14:paraId="7B738C00" w14:textId="77777777" w:rsidR="002B4DE0" w:rsidRPr="009D0F44" w:rsidRDefault="002B4DE0" w:rsidP="00366D9E">
            <w:pPr>
              <w:pStyle w:val="NoIndent"/>
              <w:spacing w:line="240" w:lineRule="auto"/>
              <w:rPr>
                <w:rFonts w:cstheme="minorHAnsi"/>
                <w:sz w:val="16"/>
                <w:szCs w:val="16"/>
              </w:rPr>
            </w:pPr>
          </w:p>
        </w:tc>
        <w:tc>
          <w:tcPr>
            <w:tcW w:w="5103" w:type="dxa"/>
          </w:tcPr>
          <w:p w14:paraId="1ACEDB15"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Lifelong learning</w:t>
            </w:r>
          </w:p>
        </w:tc>
      </w:tr>
      <w:tr w:rsidR="002B4DE0" w:rsidRPr="009D0F44" w14:paraId="39F0F56C" w14:textId="77777777" w:rsidTr="00B72CF4">
        <w:tc>
          <w:tcPr>
            <w:tcW w:w="1985" w:type="dxa"/>
            <w:tcBorders>
              <w:bottom w:val="single" w:sz="12" w:space="0" w:color="auto"/>
            </w:tcBorders>
          </w:tcPr>
          <w:p w14:paraId="737DA157" w14:textId="77777777" w:rsidR="002B4DE0" w:rsidRPr="009D0F44" w:rsidRDefault="002B4DE0" w:rsidP="00366D9E">
            <w:pPr>
              <w:pStyle w:val="NoIndent"/>
              <w:spacing w:line="240" w:lineRule="auto"/>
              <w:rPr>
                <w:rFonts w:cstheme="minorHAnsi"/>
                <w:sz w:val="16"/>
                <w:szCs w:val="16"/>
              </w:rPr>
            </w:pPr>
          </w:p>
        </w:tc>
        <w:tc>
          <w:tcPr>
            <w:tcW w:w="2268" w:type="dxa"/>
            <w:tcBorders>
              <w:bottom w:val="single" w:sz="12" w:space="0" w:color="auto"/>
            </w:tcBorders>
          </w:tcPr>
          <w:p w14:paraId="35A37593" w14:textId="77777777" w:rsidR="002B4DE0" w:rsidRPr="009D0F44" w:rsidRDefault="002B4DE0" w:rsidP="00366D9E">
            <w:pPr>
              <w:pStyle w:val="NoIndent"/>
              <w:spacing w:line="240" w:lineRule="auto"/>
              <w:rPr>
                <w:rFonts w:cstheme="minorHAnsi"/>
                <w:sz w:val="16"/>
                <w:szCs w:val="16"/>
              </w:rPr>
            </w:pPr>
          </w:p>
        </w:tc>
        <w:tc>
          <w:tcPr>
            <w:tcW w:w="5103" w:type="dxa"/>
            <w:tcBorders>
              <w:bottom w:val="single" w:sz="12" w:space="0" w:color="auto"/>
            </w:tcBorders>
          </w:tcPr>
          <w:p w14:paraId="5AE262B1" w14:textId="77777777" w:rsidR="002B4DE0" w:rsidRPr="009D0F44" w:rsidRDefault="002B4DE0" w:rsidP="00366D9E">
            <w:pPr>
              <w:pStyle w:val="NoIndent"/>
              <w:spacing w:line="240" w:lineRule="auto"/>
              <w:rPr>
                <w:rFonts w:cstheme="minorHAnsi"/>
                <w:sz w:val="16"/>
                <w:szCs w:val="16"/>
              </w:rPr>
            </w:pPr>
            <w:r w:rsidRPr="009D0F44">
              <w:rPr>
                <w:rFonts w:cstheme="minorHAnsi"/>
                <w:sz w:val="16"/>
                <w:szCs w:val="16"/>
              </w:rPr>
              <w:t>Citations</w:t>
            </w:r>
          </w:p>
        </w:tc>
      </w:tr>
    </w:tbl>
    <w:p w14:paraId="39B772C8" w14:textId="77777777" w:rsidR="00366D9E" w:rsidRDefault="00366D9E" w:rsidP="00366D9E">
      <w:pPr>
        <w:pStyle w:val="CaptionCallout"/>
        <w:spacing w:line="240" w:lineRule="auto"/>
        <w:rPr>
          <w:color w:val="2E74B5" w:themeColor="accent5" w:themeShade="BF"/>
          <w:sz w:val="24"/>
          <w:szCs w:val="24"/>
          <w:lang w:val="es-ES"/>
        </w:rPr>
      </w:pPr>
    </w:p>
    <w:p w14:paraId="17F00D32" w14:textId="4DBB3993" w:rsidR="002B4DE0" w:rsidRPr="00E34484" w:rsidRDefault="002B4DE0" w:rsidP="00E34484">
      <w:pPr>
        <w:pStyle w:val="Heading1"/>
        <w:jc w:val="left"/>
        <w:rPr>
          <w:color w:val="4472C4" w:themeColor="accent1"/>
          <w:lang w:val="es-ES"/>
        </w:rPr>
      </w:pPr>
      <w:bookmarkStart w:id="6" w:name="_Toc177028014"/>
      <w:bookmarkStart w:id="7" w:name="_Toc177028176"/>
      <w:r w:rsidRPr="00E34484">
        <w:rPr>
          <w:color w:val="4472C4" w:themeColor="accent1"/>
          <w:lang w:val="es-ES"/>
        </w:rPr>
        <w:lastRenderedPageBreak/>
        <w:t xml:space="preserve">Fase I. Lectura y análisis descriptivo de </w:t>
      </w:r>
      <w:proofErr w:type="spellStart"/>
      <w:r w:rsidRPr="00E34484">
        <w:rPr>
          <w:color w:val="4472C4" w:themeColor="accent1"/>
          <w:lang w:val="es-ES"/>
        </w:rPr>
        <w:t>dataset</w:t>
      </w:r>
      <w:bookmarkEnd w:id="6"/>
      <w:bookmarkEnd w:id="7"/>
      <w:proofErr w:type="spellEnd"/>
    </w:p>
    <w:p w14:paraId="180956A1" w14:textId="77777777" w:rsidR="00921B1A" w:rsidRDefault="00921B1A" w:rsidP="00366D9E">
      <w:pPr>
        <w:pStyle w:val="CaptionCallout"/>
        <w:spacing w:line="240" w:lineRule="auto"/>
        <w:rPr>
          <w:color w:val="2E74B5" w:themeColor="accent5" w:themeShade="BF"/>
          <w:sz w:val="24"/>
          <w:szCs w:val="24"/>
          <w:lang w:val="es-ES"/>
        </w:rPr>
      </w:pPr>
    </w:p>
    <w:p w14:paraId="1232F015" w14:textId="73B28ACD" w:rsidR="002B4DE0" w:rsidRDefault="002B4DE0" w:rsidP="00366D9E">
      <w:pPr>
        <w:pStyle w:val="NoIndent"/>
        <w:spacing w:line="240" w:lineRule="auto"/>
        <w:rPr>
          <w:sz w:val="20"/>
          <w:szCs w:val="20"/>
          <w:lang w:val="es-ES"/>
        </w:rPr>
      </w:pPr>
      <w:r w:rsidRPr="00910507">
        <w:rPr>
          <w:b/>
          <w:bCs/>
          <w:sz w:val="20"/>
          <w:szCs w:val="20"/>
          <w:lang w:val="es-ES"/>
        </w:rPr>
        <w:t>Anexo</w:t>
      </w:r>
      <w:r>
        <w:rPr>
          <w:sz w:val="20"/>
          <w:szCs w:val="20"/>
          <w:lang w:val="es-ES"/>
        </w:rPr>
        <w:t xml:space="preserve">: </w:t>
      </w:r>
    </w:p>
    <w:p w14:paraId="7D697606" w14:textId="0F8F9C2F" w:rsidR="002B4DE0" w:rsidRPr="00910507" w:rsidRDefault="002B4DE0" w:rsidP="00366D9E">
      <w:pPr>
        <w:pStyle w:val="NoIndent"/>
        <w:numPr>
          <w:ilvl w:val="0"/>
          <w:numId w:val="3"/>
        </w:numPr>
        <w:spacing w:line="240" w:lineRule="auto"/>
        <w:rPr>
          <w:sz w:val="20"/>
          <w:szCs w:val="20"/>
          <w:lang w:val="es-ES"/>
        </w:rPr>
      </w:pPr>
      <w:r w:rsidRPr="00910507">
        <w:rPr>
          <w:rFonts w:cstheme="minorHAnsi"/>
          <w:sz w:val="20"/>
          <w:szCs w:val="20"/>
          <w:lang w:val="es-ES"/>
        </w:rPr>
        <w:t xml:space="preserve">00_Lectura y </w:t>
      </w:r>
      <w:proofErr w:type="spellStart"/>
      <w:r w:rsidRPr="00910507">
        <w:rPr>
          <w:rFonts w:cstheme="minorHAnsi"/>
          <w:sz w:val="20"/>
          <w:szCs w:val="20"/>
          <w:lang w:val="es-ES"/>
        </w:rPr>
        <w:t>EDA.ipynb</w:t>
      </w:r>
      <w:proofErr w:type="spellEnd"/>
    </w:p>
    <w:p w14:paraId="155B04D8" w14:textId="5213892C" w:rsidR="001C071A" w:rsidRPr="00910507" w:rsidRDefault="002B4DE0" w:rsidP="00366D9E">
      <w:pPr>
        <w:pStyle w:val="NoIndent"/>
        <w:numPr>
          <w:ilvl w:val="0"/>
          <w:numId w:val="3"/>
        </w:numPr>
        <w:spacing w:line="240" w:lineRule="auto"/>
        <w:rPr>
          <w:sz w:val="20"/>
          <w:szCs w:val="20"/>
          <w:lang w:val="es-ES"/>
        </w:rPr>
      </w:pPr>
      <w:r w:rsidRPr="00910507">
        <w:rPr>
          <w:rFonts w:cstheme="minorHAnsi"/>
          <w:sz w:val="20"/>
          <w:szCs w:val="20"/>
          <w:lang w:val="es-ES"/>
        </w:rPr>
        <w:t>00_Lectura y EDA.html</w:t>
      </w:r>
    </w:p>
    <w:p w14:paraId="2793243B" w14:textId="77777777" w:rsidR="001C071A" w:rsidRDefault="001C071A" w:rsidP="00366D9E">
      <w:pPr>
        <w:spacing w:line="240" w:lineRule="auto"/>
        <w:ind w:firstLine="0"/>
        <w:rPr>
          <w:rFonts w:cstheme="minorHAnsi"/>
          <w:sz w:val="20"/>
          <w:szCs w:val="20"/>
          <w:lang w:val="es-ES"/>
        </w:rPr>
      </w:pPr>
    </w:p>
    <w:p w14:paraId="50DBFA81" w14:textId="6A7ADF13" w:rsidR="00BE73E9" w:rsidRDefault="00910507" w:rsidP="00366D9E">
      <w:pPr>
        <w:spacing w:line="240" w:lineRule="auto"/>
        <w:ind w:firstLine="0"/>
        <w:rPr>
          <w:rFonts w:cstheme="minorHAnsi"/>
          <w:sz w:val="20"/>
          <w:szCs w:val="20"/>
          <w:lang w:val="es-ES"/>
        </w:rPr>
      </w:pPr>
      <w:r w:rsidRPr="00910507">
        <w:rPr>
          <w:rFonts w:cstheme="minorHAnsi"/>
          <w:sz w:val="20"/>
          <w:szCs w:val="20"/>
          <w:lang w:val="es-ES"/>
        </w:rPr>
        <w:t xml:space="preserve">El </w:t>
      </w:r>
      <w:proofErr w:type="spellStart"/>
      <w:r w:rsidRPr="00910507">
        <w:rPr>
          <w:rFonts w:cstheme="minorHAnsi"/>
          <w:sz w:val="20"/>
          <w:szCs w:val="20"/>
          <w:lang w:val="es-ES"/>
        </w:rPr>
        <w:t>dataset</w:t>
      </w:r>
      <w:proofErr w:type="spellEnd"/>
      <w:r w:rsidRPr="00910507">
        <w:rPr>
          <w:rFonts w:cstheme="minorHAnsi"/>
          <w:sz w:val="20"/>
          <w:szCs w:val="20"/>
          <w:lang w:val="es-ES"/>
        </w:rPr>
        <w:t xml:space="preserve"> contiene 242 entradas, una por cada región, y 48 columnas, de las cuales 3 corresponden al nombre de la región, del país y al código NUTS respectivo. Por tanto, solo contamos con 45 indicadores de los 53 mencionados anteriormente.</w:t>
      </w:r>
    </w:p>
    <w:p w14:paraId="53BC0914" w14:textId="77777777" w:rsidR="002C64AE" w:rsidRDefault="002C64AE" w:rsidP="00366D9E">
      <w:pPr>
        <w:spacing w:line="240" w:lineRule="auto"/>
        <w:ind w:firstLine="0"/>
        <w:rPr>
          <w:rFonts w:cstheme="minorHAnsi"/>
          <w:sz w:val="20"/>
          <w:szCs w:val="20"/>
          <w:lang w:val="es-ES"/>
        </w:rPr>
      </w:pPr>
    </w:p>
    <w:p w14:paraId="778575E3" w14:textId="77777777" w:rsidR="00910507" w:rsidRPr="00910507" w:rsidRDefault="00910507" w:rsidP="00366D9E">
      <w:pPr>
        <w:spacing w:line="240" w:lineRule="auto"/>
        <w:ind w:firstLine="0"/>
        <w:rPr>
          <w:rFonts w:cstheme="minorHAnsi"/>
          <w:sz w:val="20"/>
          <w:szCs w:val="20"/>
          <w:lang w:val="es-ES"/>
        </w:rPr>
      </w:pPr>
    </w:p>
    <w:p w14:paraId="187F6C5F" w14:textId="61C3ACC8" w:rsidR="004B7943" w:rsidRDefault="00921B1A" w:rsidP="00921B1A">
      <w:pPr>
        <w:pStyle w:val="Heading2"/>
        <w:rPr>
          <w:rFonts w:cstheme="minorHAnsi"/>
          <w:sz w:val="20"/>
          <w:szCs w:val="20"/>
          <w:lang w:val="es-ES"/>
        </w:rPr>
      </w:pPr>
      <w:bookmarkStart w:id="8" w:name="_Toc177028015"/>
      <w:bookmarkStart w:id="9" w:name="_Toc177028177"/>
      <w:r>
        <w:rPr>
          <w:lang w:val="es-ES"/>
        </w:rPr>
        <w:t xml:space="preserve">I.1. </w:t>
      </w:r>
      <w:r w:rsidR="00BE73E9" w:rsidRPr="00BE73E9">
        <w:rPr>
          <w:lang w:val="es-ES"/>
        </w:rPr>
        <w:t>PIB</w:t>
      </w:r>
      <w:r w:rsidR="00BE73E9">
        <w:rPr>
          <w:lang w:val="es-ES"/>
        </w:rPr>
        <w:t xml:space="preserve"> per cápita:</w:t>
      </w:r>
      <w:bookmarkEnd w:id="8"/>
      <w:bookmarkEnd w:id="9"/>
    </w:p>
    <w:p w14:paraId="14033DB6" w14:textId="23029612" w:rsidR="00BE73E9" w:rsidRDefault="00910507" w:rsidP="00366D9E">
      <w:pPr>
        <w:spacing w:line="240" w:lineRule="auto"/>
        <w:ind w:firstLine="0"/>
        <w:rPr>
          <w:rFonts w:cstheme="minorHAnsi"/>
          <w:sz w:val="20"/>
          <w:szCs w:val="20"/>
          <w:lang w:val="es-ES"/>
        </w:rPr>
      </w:pPr>
      <w:r w:rsidRPr="00910507">
        <w:rPr>
          <w:rFonts w:cstheme="minorHAnsi"/>
          <w:sz w:val="20"/>
          <w:szCs w:val="20"/>
          <w:lang w:val="es-ES"/>
        </w:rPr>
        <w:t xml:space="preserve">Hemos añadido al </w:t>
      </w:r>
      <w:proofErr w:type="spellStart"/>
      <w:r w:rsidRPr="00910507">
        <w:rPr>
          <w:rFonts w:cstheme="minorHAnsi"/>
          <w:sz w:val="20"/>
          <w:szCs w:val="20"/>
          <w:lang w:val="es-ES"/>
        </w:rPr>
        <w:t>dataset</w:t>
      </w:r>
      <w:proofErr w:type="spellEnd"/>
      <w:r w:rsidRPr="00910507">
        <w:rPr>
          <w:rFonts w:cstheme="minorHAnsi"/>
          <w:sz w:val="20"/>
          <w:szCs w:val="20"/>
          <w:lang w:val="es-ES"/>
        </w:rPr>
        <w:t xml:space="preserve"> un indicador adicional:</w:t>
      </w:r>
      <w:r w:rsidR="004B7943" w:rsidRPr="009D0F44">
        <w:rPr>
          <w:rFonts w:cstheme="minorHAnsi"/>
          <w:sz w:val="20"/>
          <w:szCs w:val="20"/>
          <w:lang w:val="es-ES"/>
        </w:rPr>
        <w:t xml:space="preserve"> PIB per cápita 2022</w:t>
      </w:r>
      <w:r w:rsidR="004B7943" w:rsidRPr="009D0F44">
        <w:rPr>
          <w:rStyle w:val="FootnoteReference"/>
          <w:rFonts w:cstheme="minorHAnsi"/>
          <w:sz w:val="20"/>
          <w:szCs w:val="20"/>
          <w:lang w:val="es-ES"/>
        </w:rPr>
        <w:footnoteReference w:id="5"/>
      </w:r>
      <w:r w:rsidR="004B7943" w:rsidRPr="009D0F44">
        <w:rPr>
          <w:rFonts w:cstheme="minorHAnsi"/>
          <w:sz w:val="20"/>
          <w:szCs w:val="20"/>
          <w:lang w:val="es-ES"/>
        </w:rPr>
        <w:t xml:space="preserve">. </w:t>
      </w:r>
      <w:r w:rsidRPr="00910507">
        <w:rPr>
          <w:rFonts w:cstheme="minorHAnsi"/>
          <w:sz w:val="20"/>
          <w:szCs w:val="20"/>
          <w:lang w:val="es-ES"/>
        </w:rPr>
        <w:t>Aunque trabaja</w:t>
      </w:r>
      <w:r>
        <w:rPr>
          <w:rFonts w:cstheme="minorHAnsi"/>
          <w:sz w:val="20"/>
          <w:szCs w:val="20"/>
          <w:lang w:val="es-ES"/>
        </w:rPr>
        <w:t>mos</w:t>
      </w:r>
      <w:r w:rsidRPr="00910507">
        <w:rPr>
          <w:rFonts w:cstheme="minorHAnsi"/>
          <w:sz w:val="20"/>
          <w:szCs w:val="20"/>
          <w:lang w:val="es-ES"/>
        </w:rPr>
        <w:t xml:space="preserve"> con índices de desarrollo en su edición de 2024, solo disponemos del PIB per cápita hasta 2022. Consideramos que el PIB debería influir positivamente en el desarrollo social de un país o región, ya que una mayor capacidad económica debería implicar una mayor inversión y mejora de las condiciones de vida en todas sus facetas. Sin embargo, no se puede hablar de un efecto inmediato, ya que se requiere un proceso de transformación que puede llevar tiempo, incluso años, y no se garantiza el mismo efecto positivo en todas las regiones. Consideraremos válido, para este trabajo, comparar el PIB per cápita de 2022 con los indicadores sociales de 2024.</w:t>
      </w:r>
    </w:p>
    <w:p w14:paraId="11FD673C" w14:textId="77777777" w:rsidR="002C64AE" w:rsidRDefault="002C64AE" w:rsidP="00366D9E">
      <w:pPr>
        <w:spacing w:line="240" w:lineRule="auto"/>
        <w:ind w:firstLine="0"/>
        <w:rPr>
          <w:rFonts w:cstheme="minorHAnsi"/>
          <w:sz w:val="20"/>
          <w:szCs w:val="20"/>
          <w:lang w:val="es-ES"/>
        </w:rPr>
      </w:pPr>
    </w:p>
    <w:p w14:paraId="0DBC6382" w14:textId="77777777" w:rsidR="00910507" w:rsidRPr="00910507" w:rsidRDefault="00910507" w:rsidP="00366D9E">
      <w:pPr>
        <w:spacing w:line="240" w:lineRule="auto"/>
        <w:ind w:firstLine="0"/>
        <w:rPr>
          <w:rFonts w:cstheme="minorHAnsi"/>
          <w:sz w:val="20"/>
          <w:szCs w:val="20"/>
          <w:lang w:val="es-ES"/>
        </w:rPr>
      </w:pPr>
    </w:p>
    <w:p w14:paraId="55CEC6A3" w14:textId="2AC86DBE" w:rsidR="00BE73E9" w:rsidRDefault="00921B1A" w:rsidP="00921B1A">
      <w:pPr>
        <w:pStyle w:val="Heading2"/>
        <w:rPr>
          <w:rFonts w:cstheme="minorHAnsi"/>
          <w:b w:val="0"/>
          <w:bCs w:val="0"/>
          <w:sz w:val="20"/>
          <w:szCs w:val="20"/>
          <w:lang w:val="es-ES"/>
        </w:rPr>
      </w:pPr>
      <w:bookmarkStart w:id="10" w:name="_Toc177028016"/>
      <w:bookmarkStart w:id="11" w:name="_Toc177028178"/>
      <w:r>
        <w:rPr>
          <w:lang w:val="es-ES"/>
        </w:rPr>
        <w:t xml:space="preserve">I.2. </w:t>
      </w:r>
      <w:r w:rsidR="00BE73E9">
        <w:rPr>
          <w:lang w:val="es-ES"/>
        </w:rPr>
        <w:t>Datos perdidos:</w:t>
      </w:r>
      <w:bookmarkEnd w:id="10"/>
      <w:bookmarkEnd w:id="11"/>
    </w:p>
    <w:p w14:paraId="4DE366CE" w14:textId="74A5E96E" w:rsidR="00190B6D" w:rsidRDefault="00C15BBC" w:rsidP="00366D9E">
      <w:pPr>
        <w:spacing w:line="240" w:lineRule="auto"/>
        <w:ind w:firstLine="0"/>
        <w:rPr>
          <w:rFonts w:cstheme="minorHAnsi"/>
          <w:sz w:val="20"/>
          <w:szCs w:val="20"/>
          <w:lang w:val="es-ES"/>
        </w:rPr>
      </w:pPr>
      <w:r w:rsidRPr="00C15BBC">
        <w:rPr>
          <w:rFonts w:cstheme="minorHAnsi"/>
          <w:sz w:val="20"/>
          <w:szCs w:val="20"/>
          <w:lang w:val="es-ES"/>
        </w:rPr>
        <w:t xml:space="preserve">Los indicadores presentan algunos datos perdidos. Un análisis por indicador revela que no hay más de un 3.5% de valores faltantes en cada uno, como se observa en la </w:t>
      </w:r>
      <w:r w:rsidRPr="00C15BBC">
        <w:rPr>
          <w:rFonts w:cstheme="minorHAnsi"/>
          <w:b/>
          <w:bCs/>
          <w:sz w:val="20"/>
          <w:szCs w:val="20"/>
          <w:lang w:val="es-ES"/>
        </w:rPr>
        <w:t>Figura</w:t>
      </w:r>
      <w:r w:rsidRPr="00C15BBC">
        <w:rPr>
          <w:rFonts w:cstheme="minorHAnsi"/>
          <w:sz w:val="20"/>
          <w:szCs w:val="20"/>
          <w:lang w:val="es-ES"/>
        </w:rPr>
        <w:t xml:space="preserve"> </w:t>
      </w:r>
      <w:r w:rsidRPr="00C15BBC">
        <w:rPr>
          <w:rFonts w:cstheme="minorHAnsi"/>
          <w:b/>
          <w:bCs/>
          <w:sz w:val="20"/>
          <w:szCs w:val="20"/>
          <w:lang w:val="es-ES"/>
        </w:rPr>
        <w:t xml:space="preserve">00.1 </w:t>
      </w:r>
      <w:r w:rsidRPr="00C15BBC">
        <w:rPr>
          <w:rFonts w:cstheme="minorHAnsi"/>
          <w:sz w:val="20"/>
          <w:szCs w:val="20"/>
          <w:lang w:val="es-ES"/>
        </w:rPr>
        <w:t xml:space="preserve">del </w:t>
      </w:r>
      <w:r>
        <w:rPr>
          <w:rFonts w:cstheme="minorHAnsi"/>
          <w:sz w:val="20"/>
          <w:szCs w:val="20"/>
          <w:lang w:val="es-ES"/>
        </w:rPr>
        <w:t>A</w:t>
      </w:r>
      <w:r w:rsidRPr="00C15BBC">
        <w:rPr>
          <w:rFonts w:cstheme="minorHAnsi"/>
          <w:sz w:val="20"/>
          <w:szCs w:val="20"/>
          <w:lang w:val="es-ES"/>
        </w:rPr>
        <w:t>nexo.</w:t>
      </w:r>
    </w:p>
    <w:p w14:paraId="19FDF205" w14:textId="77777777" w:rsidR="00C15BBC" w:rsidRPr="00C15BBC" w:rsidRDefault="00C15BBC" w:rsidP="00366D9E">
      <w:pPr>
        <w:spacing w:line="240" w:lineRule="auto"/>
        <w:ind w:firstLine="0"/>
        <w:rPr>
          <w:rFonts w:cstheme="minorHAnsi"/>
          <w:sz w:val="20"/>
          <w:szCs w:val="20"/>
          <w:lang w:val="es-ES"/>
        </w:rPr>
      </w:pPr>
    </w:p>
    <w:p w14:paraId="43BC13F6" w14:textId="0525FE39" w:rsidR="00BE73E9" w:rsidRDefault="00C15BBC" w:rsidP="00366D9E">
      <w:pPr>
        <w:spacing w:line="240" w:lineRule="auto"/>
        <w:ind w:firstLine="0"/>
        <w:rPr>
          <w:rFonts w:cstheme="minorHAnsi"/>
          <w:sz w:val="20"/>
          <w:szCs w:val="20"/>
          <w:lang w:val="es-ES"/>
        </w:rPr>
      </w:pPr>
      <w:r w:rsidRPr="00C15BBC">
        <w:rPr>
          <w:rFonts w:cstheme="minorHAnsi"/>
          <w:sz w:val="20"/>
          <w:szCs w:val="20"/>
          <w:lang w:val="es-ES"/>
        </w:rPr>
        <w:t>Sin embargo, hay dos excepciones</w:t>
      </w:r>
      <w:r w:rsidR="00BE73E9">
        <w:rPr>
          <w:rFonts w:cstheme="minorHAnsi"/>
          <w:sz w:val="20"/>
          <w:szCs w:val="20"/>
          <w:lang w:val="es-ES"/>
        </w:rPr>
        <w:t>:</w:t>
      </w:r>
    </w:p>
    <w:p w14:paraId="1C1A8680" w14:textId="77777777" w:rsidR="00190B6D" w:rsidRDefault="00190B6D" w:rsidP="00366D9E">
      <w:pPr>
        <w:spacing w:line="240" w:lineRule="auto"/>
        <w:ind w:firstLine="0"/>
        <w:rPr>
          <w:rFonts w:cstheme="minorHAnsi"/>
          <w:sz w:val="20"/>
          <w:szCs w:val="20"/>
          <w:lang w:val="es-ES"/>
        </w:rPr>
      </w:pPr>
    </w:p>
    <w:p w14:paraId="0D0FAC8C" w14:textId="3B217526" w:rsidR="00BE73E9" w:rsidRDefault="00BE73E9" w:rsidP="00366D9E">
      <w:pPr>
        <w:pStyle w:val="ListParagraph"/>
        <w:numPr>
          <w:ilvl w:val="0"/>
          <w:numId w:val="3"/>
        </w:numPr>
        <w:spacing w:line="240" w:lineRule="auto"/>
        <w:rPr>
          <w:rFonts w:cstheme="minorHAnsi"/>
          <w:sz w:val="20"/>
          <w:szCs w:val="20"/>
          <w:lang w:val="es-ES"/>
        </w:rPr>
      </w:pPr>
      <w:proofErr w:type="spellStart"/>
      <w:r>
        <w:rPr>
          <w:rFonts w:cstheme="minorHAnsi"/>
          <w:sz w:val="20"/>
          <w:szCs w:val="20"/>
          <w:lang w:val="es-ES"/>
        </w:rPr>
        <w:t>Bathing</w:t>
      </w:r>
      <w:proofErr w:type="spellEnd"/>
      <w:r>
        <w:rPr>
          <w:rFonts w:cstheme="minorHAnsi"/>
          <w:sz w:val="20"/>
          <w:szCs w:val="20"/>
          <w:lang w:val="es-ES"/>
        </w:rPr>
        <w:t xml:space="preserve"> </w:t>
      </w:r>
      <w:proofErr w:type="spellStart"/>
      <w:r>
        <w:rPr>
          <w:rFonts w:cstheme="minorHAnsi"/>
          <w:sz w:val="20"/>
          <w:szCs w:val="20"/>
          <w:lang w:val="es-ES"/>
        </w:rPr>
        <w:t>w</w:t>
      </w:r>
      <w:r w:rsidR="00C15BBC">
        <w:rPr>
          <w:rFonts w:cstheme="minorHAnsi"/>
          <w:sz w:val="20"/>
          <w:szCs w:val="20"/>
          <w:lang w:val="es-ES"/>
        </w:rPr>
        <w:t>a</w:t>
      </w:r>
      <w:r>
        <w:rPr>
          <w:rFonts w:cstheme="minorHAnsi"/>
          <w:sz w:val="20"/>
          <w:szCs w:val="20"/>
          <w:lang w:val="es-ES"/>
        </w:rPr>
        <w:t>ter</w:t>
      </w:r>
      <w:proofErr w:type="spellEnd"/>
      <w:r>
        <w:rPr>
          <w:rFonts w:cstheme="minorHAnsi"/>
          <w:sz w:val="20"/>
          <w:szCs w:val="20"/>
          <w:lang w:val="es-ES"/>
        </w:rPr>
        <w:t xml:space="preserve"> </w:t>
      </w:r>
      <w:proofErr w:type="spellStart"/>
      <w:r>
        <w:rPr>
          <w:rFonts w:cstheme="minorHAnsi"/>
          <w:sz w:val="20"/>
          <w:szCs w:val="20"/>
          <w:lang w:val="es-ES"/>
        </w:rPr>
        <w:t>quality</w:t>
      </w:r>
      <w:proofErr w:type="spellEnd"/>
      <w:r>
        <w:rPr>
          <w:rFonts w:cstheme="minorHAnsi"/>
          <w:sz w:val="20"/>
          <w:szCs w:val="20"/>
          <w:lang w:val="es-ES"/>
        </w:rPr>
        <w:t>: 10%</w:t>
      </w:r>
    </w:p>
    <w:p w14:paraId="4B896418" w14:textId="7AA92A09" w:rsidR="00BE73E9" w:rsidRPr="00BE73E9" w:rsidRDefault="00BE73E9" w:rsidP="00366D9E">
      <w:pPr>
        <w:pStyle w:val="ListParagraph"/>
        <w:numPr>
          <w:ilvl w:val="0"/>
          <w:numId w:val="3"/>
        </w:numPr>
        <w:spacing w:line="240" w:lineRule="auto"/>
        <w:rPr>
          <w:rFonts w:cstheme="minorHAnsi"/>
          <w:sz w:val="20"/>
          <w:szCs w:val="20"/>
        </w:rPr>
      </w:pPr>
      <w:r w:rsidRPr="00BE73E9">
        <w:rPr>
          <w:rFonts w:cstheme="minorHAnsi"/>
          <w:sz w:val="20"/>
          <w:szCs w:val="20"/>
        </w:rPr>
        <w:t>Share of low-achieving 15 y</w:t>
      </w:r>
      <w:r>
        <w:rPr>
          <w:rFonts w:cstheme="minorHAnsi"/>
          <w:sz w:val="20"/>
          <w:szCs w:val="20"/>
        </w:rPr>
        <w:t>ears olds in reading (level 1a or lower): 7%</w:t>
      </w:r>
    </w:p>
    <w:p w14:paraId="17043923" w14:textId="77777777" w:rsidR="00BE73E9" w:rsidRPr="00BE73E9" w:rsidRDefault="00BE73E9" w:rsidP="00366D9E">
      <w:pPr>
        <w:spacing w:line="240" w:lineRule="auto"/>
        <w:ind w:firstLine="0"/>
        <w:rPr>
          <w:rFonts w:cstheme="minorHAnsi"/>
          <w:b/>
          <w:bCs/>
          <w:sz w:val="20"/>
          <w:szCs w:val="20"/>
        </w:rPr>
      </w:pPr>
    </w:p>
    <w:p w14:paraId="55940150" w14:textId="77777777" w:rsidR="00BE73E9" w:rsidRPr="00BE73E9" w:rsidRDefault="00BE73E9" w:rsidP="00366D9E">
      <w:pPr>
        <w:spacing w:line="240" w:lineRule="auto"/>
        <w:ind w:firstLine="0"/>
        <w:rPr>
          <w:rFonts w:cstheme="minorHAnsi"/>
          <w:b/>
          <w:bCs/>
          <w:sz w:val="20"/>
          <w:szCs w:val="20"/>
        </w:rPr>
      </w:pPr>
    </w:p>
    <w:p w14:paraId="713B46FA" w14:textId="1ADA83E1" w:rsidR="0064263C" w:rsidRDefault="00C15BBC" w:rsidP="00366D9E">
      <w:pPr>
        <w:spacing w:line="240" w:lineRule="auto"/>
        <w:ind w:firstLine="0"/>
        <w:rPr>
          <w:rFonts w:cstheme="minorHAnsi"/>
          <w:sz w:val="20"/>
          <w:szCs w:val="20"/>
          <w:lang w:val="es-ES"/>
        </w:rPr>
      </w:pPr>
      <w:r w:rsidRPr="00C15BBC">
        <w:rPr>
          <w:rFonts w:cstheme="minorHAnsi"/>
          <w:sz w:val="20"/>
          <w:szCs w:val="20"/>
          <w:lang w:val="es-ES"/>
        </w:rPr>
        <w:t xml:space="preserve">En la </w:t>
      </w:r>
      <w:r w:rsidRPr="00C15BBC">
        <w:rPr>
          <w:rFonts w:cstheme="minorHAnsi"/>
          <w:b/>
          <w:bCs/>
          <w:sz w:val="20"/>
          <w:szCs w:val="20"/>
          <w:lang w:val="es-ES"/>
        </w:rPr>
        <w:t>Figura 00.2</w:t>
      </w:r>
      <w:r w:rsidRPr="00C15BBC">
        <w:rPr>
          <w:rFonts w:cstheme="minorHAnsi"/>
          <w:sz w:val="20"/>
          <w:szCs w:val="20"/>
          <w:lang w:val="es-ES"/>
        </w:rPr>
        <w:t xml:space="preserve"> se observa que algunos países presentan un 100% de datos faltantes en determinados indicadores:</w:t>
      </w:r>
    </w:p>
    <w:p w14:paraId="699B7AB6" w14:textId="77777777" w:rsidR="00C15BBC" w:rsidRPr="00C15BBC" w:rsidRDefault="00C15BBC" w:rsidP="00366D9E">
      <w:pPr>
        <w:spacing w:line="240" w:lineRule="auto"/>
        <w:ind w:firstLine="0"/>
        <w:rPr>
          <w:rFonts w:cstheme="minorHAnsi"/>
          <w:sz w:val="20"/>
          <w:szCs w:val="20"/>
          <w:lang w:val="es-ES"/>
        </w:rPr>
      </w:pPr>
    </w:p>
    <w:p w14:paraId="6B783B9C" w14:textId="77777777" w:rsidR="0064263C" w:rsidRPr="006620BC" w:rsidRDefault="0064263C" w:rsidP="00366D9E">
      <w:pPr>
        <w:pStyle w:val="ListParagraph"/>
        <w:numPr>
          <w:ilvl w:val="0"/>
          <w:numId w:val="3"/>
        </w:numPr>
        <w:spacing w:line="240" w:lineRule="auto"/>
        <w:rPr>
          <w:rFonts w:cstheme="minorHAnsi"/>
          <w:sz w:val="20"/>
          <w:szCs w:val="20"/>
        </w:rPr>
      </w:pPr>
      <w:r w:rsidRPr="0064263C">
        <w:rPr>
          <w:rFonts w:cstheme="minorHAnsi"/>
          <w:sz w:val="20"/>
          <w:szCs w:val="20"/>
        </w:rPr>
        <w:t xml:space="preserve">“Share of low-achieving 15 years old in reading…” </w:t>
      </w:r>
      <w:proofErr w:type="spellStart"/>
      <w:r w:rsidRPr="0064263C">
        <w:rPr>
          <w:rFonts w:cstheme="minorHAnsi"/>
          <w:sz w:val="20"/>
          <w:szCs w:val="20"/>
        </w:rPr>
        <w:t>en</w:t>
      </w:r>
      <w:proofErr w:type="spellEnd"/>
      <w:r w:rsidRPr="0064263C">
        <w:rPr>
          <w:rFonts w:cstheme="minorHAnsi"/>
          <w:sz w:val="20"/>
          <w:szCs w:val="20"/>
        </w:rPr>
        <w:t xml:space="preserve"> España. </w:t>
      </w:r>
    </w:p>
    <w:p w14:paraId="553D8617" w14:textId="692539CD" w:rsidR="004B7943" w:rsidRDefault="0064263C" w:rsidP="00366D9E">
      <w:pPr>
        <w:pStyle w:val="ListParagraph"/>
        <w:numPr>
          <w:ilvl w:val="0"/>
          <w:numId w:val="3"/>
        </w:numPr>
        <w:spacing w:line="240" w:lineRule="auto"/>
        <w:rPr>
          <w:rFonts w:cstheme="minorHAnsi"/>
          <w:sz w:val="20"/>
          <w:szCs w:val="20"/>
        </w:rPr>
      </w:pPr>
      <w:r w:rsidRPr="0064263C">
        <w:rPr>
          <w:rFonts w:cstheme="minorHAnsi"/>
          <w:sz w:val="20"/>
          <w:szCs w:val="20"/>
        </w:rPr>
        <w:t>“Digital skills above basic level” (CY, EE, LU, LV, MT)</w:t>
      </w:r>
    </w:p>
    <w:p w14:paraId="38DAB41E" w14:textId="77777777" w:rsidR="002C64AE" w:rsidRDefault="002C64AE" w:rsidP="002C64AE">
      <w:pPr>
        <w:pStyle w:val="ListParagraph"/>
        <w:spacing w:line="240" w:lineRule="auto"/>
        <w:ind w:firstLine="0"/>
        <w:rPr>
          <w:rFonts w:cstheme="minorHAnsi"/>
          <w:sz w:val="20"/>
          <w:szCs w:val="20"/>
        </w:rPr>
      </w:pPr>
    </w:p>
    <w:p w14:paraId="555F7797" w14:textId="77777777" w:rsidR="0064263C" w:rsidRDefault="0064263C" w:rsidP="00366D9E">
      <w:pPr>
        <w:spacing w:line="240" w:lineRule="auto"/>
        <w:ind w:firstLine="0"/>
        <w:rPr>
          <w:rFonts w:cstheme="minorHAnsi"/>
          <w:sz w:val="20"/>
          <w:szCs w:val="20"/>
        </w:rPr>
      </w:pPr>
    </w:p>
    <w:p w14:paraId="48FE41EF" w14:textId="5FE4E495" w:rsidR="0064263C" w:rsidRPr="003F5A58" w:rsidRDefault="00921B1A" w:rsidP="00921B1A">
      <w:pPr>
        <w:pStyle w:val="Heading2"/>
        <w:rPr>
          <w:rFonts w:cstheme="minorHAnsi"/>
          <w:b w:val="0"/>
          <w:bCs w:val="0"/>
          <w:sz w:val="20"/>
          <w:szCs w:val="20"/>
          <w:lang w:val="es-ES"/>
        </w:rPr>
      </w:pPr>
      <w:bookmarkStart w:id="12" w:name="_Toc177028017"/>
      <w:bookmarkStart w:id="13" w:name="_Toc177028179"/>
      <w:r>
        <w:rPr>
          <w:lang w:val="es-ES"/>
        </w:rPr>
        <w:t xml:space="preserve">I.3. </w:t>
      </w:r>
      <w:r w:rsidR="0064263C" w:rsidRPr="003F5A58">
        <w:rPr>
          <w:lang w:val="es-ES"/>
        </w:rPr>
        <w:t>Es</w:t>
      </w:r>
      <w:r w:rsidR="003F5A58" w:rsidRPr="003F5A58">
        <w:rPr>
          <w:lang w:val="es-ES"/>
        </w:rPr>
        <w:t>tadísticas descriptivas</w:t>
      </w:r>
      <w:r w:rsidR="0064263C" w:rsidRPr="003F5A58">
        <w:rPr>
          <w:lang w:val="es-ES"/>
        </w:rPr>
        <w:t>:</w:t>
      </w:r>
      <w:bookmarkEnd w:id="12"/>
      <w:bookmarkEnd w:id="13"/>
    </w:p>
    <w:p w14:paraId="7477BEB3" w14:textId="7A46FBC5" w:rsidR="00013DA7" w:rsidRDefault="00C15BBC" w:rsidP="00366D9E">
      <w:pPr>
        <w:spacing w:line="240" w:lineRule="auto"/>
        <w:ind w:firstLine="0"/>
        <w:rPr>
          <w:rFonts w:cstheme="minorHAnsi"/>
          <w:sz w:val="20"/>
          <w:szCs w:val="20"/>
          <w:lang w:val="es-ES"/>
        </w:rPr>
      </w:pPr>
      <w:r w:rsidRPr="00C15BBC">
        <w:rPr>
          <w:rFonts w:cstheme="minorHAnsi"/>
          <w:sz w:val="20"/>
          <w:szCs w:val="20"/>
          <w:lang w:val="es-ES"/>
        </w:rPr>
        <w:t xml:space="preserve">En la </w:t>
      </w:r>
      <w:r w:rsidRPr="00C15BBC">
        <w:rPr>
          <w:rFonts w:cstheme="minorHAnsi"/>
          <w:b/>
          <w:bCs/>
          <w:sz w:val="20"/>
          <w:szCs w:val="20"/>
          <w:lang w:val="es-ES"/>
        </w:rPr>
        <w:t>Figura 00.3</w:t>
      </w:r>
      <w:r w:rsidRPr="00C15BBC">
        <w:rPr>
          <w:rFonts w:cstheme="minorHAnsi"/>
          <w:sz w:val="20"/>
          <w:szCs w:val="20"/>
          <w:lang w:val="es-ES"/>
        </w:rPr>
        <w:t xml:space="preserve"> se presentan las principales estadísticas descriptivas de los 45 indicadores y del PIB per cápita</w:t>
      </w:r>
      <w:r w:rsidR="003F5A58">
        <w:rPr>
          <w:rFonts w:cstheme="minorHAnsi"/>
          <w:sz w:val="20"/>
          <w:szCs w:val="20"/>
          <w:lang w:val="es-ES"/>
        </w:rPr>
        <w:t xml:space="preserve">. </w:t>
      </w:r>
      <w:r w:rsidRPr="00C15BBC">
        <w:rPr>
          <w:rFonts w:cstheme="minorHAnsi"/>
          <w:sz w:val="20"/>
          <w:szCs w:val="20"/>
          <w:lang w:val="es-ES"/>
        </w:rPr>
        <w:t>En este punto, no haremos una descripción detallada de todos los indicadores, pero es importante destacar la heterogeneidad de las métricas, lo que hace necesaria la normalización de los datos</w:t>
      </w:r>
      <w:r w:rsidR="003F5A58">
        <w:rPr>
          <w:rFonts w:cstheme="minorHAnsi"/>
          <w:sz w:val="20"/>
          <w:szCs w:val="20"/>
          <w:lang w:val="es-ES"/>
        </w:rPr>
        <w:t>. Por ejemplo “</w:t>
      </w:r>
      <w:proofErr w:type="spellStart"/>
      <w:r w:rsidR="003F5A58">
        <w:rPr>
          <w:rFonts w:cstheme="minorHAnsi"/>
          <w:sz w:val="20"/>
          <w:szCs w:val="20"/>
          <w:lang w:val="es-ES"/>
        </w:rPr>
        <w:t>Sewage</w:t>
      </w:r>
      <w:proofErr w:type="spellEnd"/>
      <w:r w:rsidR="003F5A58">
        <w:rPr>
          <w:rFonts w:cstheme="minorHAnsi"/>
          <w:sz w:val="20"/>
          <w:szCs w:val="20"/>
          <w:lang w:val="es-ES"/>
        </w:rPr>
        <w:t xml:space="preserve"> </w:t>
      </w:r>
      <w:proofErr w:type="spellStart"/>
      <w:r w:rsidR="003F5A58">
        <w:rPr>
          <w:rFonts w:cstheme="minorHAnsi"/>
          <w:sz w:val="20"/>
          <w:szCs w:val="20"/>
          <w:lang w:val="es-ES"/>
        </w:rPr>
        <w:t>treatment</w:t>
      </w:r>
      <w:proofErr w:type="spellEnd"/>
      <w:r w:rsidR="003F5A58">
        <w:rPr>
          <w:rFonts w:cstheme="minorHAnsi"/>
          <w:sz w:val="20"/>
          <w:szCs w:val="20"/>
          <w:lang w:val="es-ES"/>
        </w:rPr>
        <w:t xml:space="preserve">, </w:t>
      </w:r>
      <w:proofErr w:type="spellStart"/>
      <w:r w:rsidR="003F5A58">
        <w:rPr>
          <w:rFonts w:cstheme="minorHAnsi"/>
          <w:sz w:val="20"/>
          <w:szCs w:val="20"/>
          <w:lang w:val="es-ES"/>
        </w:rPr>
        <w:t>additional</w:t>
      </w:r>
      <w:proofErr w:type="spellEnd"/>
      <w:r w:rsidR="003F5A58">
        <w:rPr>
          <w:rFonts w:cstheme="minorHAnsi"/>
          <w:sz w:val="20"/>
          <w:szCs w:val="20"/>
          <w:lang w:val="es-ES"/>
        </w:rPr>
        <w:t>” tiene un formato de índice 0 - 100 mientras que “</w:t>
      </w:r>
      <w:proofErr w:type="spellStart"/>
      <w:r w:rsidR="003F5A58">
        <w:rPr>
          <w:rFonts w:cstheme="minorHAnsi"/>
          <w:sz w:val="20"/>
          <w:szCs w:val="20"/>
          <w:lang w:val="es-ES"/>
        </w:rPr>
        <w:t>Infant</w:t>
      </w:r>
      <w:proofErr w:type="spellEnd"/>
      <w:r w:rsidR="003F5A58">
        <w:rPr>
          <w:rFonts w:cstheme="minorHAnsi"/>
          <w:sz w:val="20"/>
          <w:szCs w:val="20"/>
          <w:lang w:val="es-ES"/>
        </w:rPr>
        <w:t xml:space="preserve"> </w:t>
      </w:r>
      <w:proofErr w:type="spellStart"/>
      <w:r w:rsidR="003F5A58">
        <w:rPr>
          <w:rFonts w:cstheme="minorHAnsi"/>
          <w:sz w:val="20"/>
          <w:szCs w:val="20"/>
          <w:lang w:val="es-ES"/>
        </w:rPr>
        <w:t>mortality</w:t>
      </w:r>
      <w:proofErr w:type="spellEnd"/>
      <w:r w:rsidR="003F5A58">
        <w:rPr>
          <w:rFonts w:cstheme="minorHAnsi"/>
          <w:sz w:val="20"/>
          <w:szCs w:val="20"/>
          <w:lang w:val="es-ES"/>
        </w:rPr>
        <w:t>” tiene un rango de 0 - 9.70 y se refiere a número de eventos en un periodo de tiempo.</w:t>
      </w:r>
    </w:p>
    <w:p w14:paraId="34045D3B" w14:textId="77777777" w:rsidR="007F48DB" w:rsidRDefault="007F48DB" w:rsidP="00366D9E">
      <w:pPr>
        <w:spacing w:line="240" w:lineRule="auto"/>
        <w:ind w:firstLine="0"/>
        <w:rPr>
          <w:rFonts w:cstheme="minorHAnsi"/>
          <w:sz w:val="20"/>
          <w:szCs w:val="20"/>
          <w:lang w:val="es-ES"/>
        </w:rPr>
      </w:pPr>
    </w:p>
    <w:p w14:paraId="51273993" w14:textId="08E6A152" w:rsidR="003F5A58" w:rsidRDefault="00921B1A" w:rsidP="00921B1A">
      <w:pPr>
        <w:pStyle w:val="Heading2"/>
        <w:rPr>
          <w:rFonts w:cstheme="minorHAnsi"/>
          <w:b w:val="0"/>
          <w:bCs w:val="0"/>
          <w:sz w:val="20"/>
          <w:szCs w:val="20"/>
          <w:lang w:val="es-ES"/>
        </w:rPr>
      </w:pPr>
      <w:bookmarkStart w:id="14" w:name="_Toc177028018"/>
      <w:bookmarkStart w:id="15" w:name="_Toc177028180"/>
      <w:r>
        <w:rPr>
          <w:lang w:val="es-ES"/>
        </w:rPr>
        <w:lastRenderedPageBreak/>
        <w:t xml:space="preserve">I.4. </w:t>
      </w:r>
      <w:proofErr w:type="spellStart"/>
      <w:r w:rsidR="003F5A58">
        <w:rPr>
          <w:lang w:val="es-ES"/>
        </w:rPr>
        <w:t>Outliers</w:t>
      </w:r>
      <w:proofErr w:type="spellEnd"/>
      <w:r w:rsidR="003F5A58">
        <w:rPr>
          <w:lang w:val="es-ES"/>
        </w:rPr>
        <w:t>:</w:t>
      </w:r>
      <w:bookmarkEnd w:id="14"/>
      <w:bookmarkEnd w:id="15"/>
    </w:p>
    <w:p w14:paraId="2CF8B13B" w14:textId="7A03EFD0" w:rsidR="003F5A58" w:rsidRDefault="00C15BBC" w:rsidP="00366D9E">
      <w:pPr>
        <w:spacing w:line="240" w:lineRule="auto"/>
        <w:ind w:firstLine="0"/>
        <w:rPr>
          <w:rFonts w:cstheme="minorHAnsi"/>
          <w:sz w:val="20"/>
          <w:szCs w:val="20"/>
          <w:lang w:val="es-ES"/>
        </w:rPr>
      </w:pPr>
      <w:r w:rsidRPr="00C15BBC">
        <w:rPr>
          <w:rFonts w:cstheme="minorHAnsi"/>
          <w:sz w:val="20"/>
          <w:szCs w:val="20"/>
          <w:lang w:val="es-ES"/>
        </w:rPr>
        <w:t>Los "</w:t>
      </w:r>
      <w:proofErr w:type="spellStart"/>
      <w:r w:rsidRPr="00C15BBC">
        <w:rPr>
          <w:rFonts w:cstheme="minorHAnsi"/>
          <w:sz w:val="20"/>
          <w:szCs w:val="20"/>
          <w:lang w:val="es-ES"/>
        </w:rPr>
        <w:t>outliers</w:t>
      </w:r>
      <w:proofErr w:type="spellEnd"/>
      <w:r w:rsidRPr="00C15BBC">
        <w:rPr>
          <w:rFonts w:cstheme="minorHAnsi"/>
          <w:sz w:val="20"/>
          <w:szCs w:val="20"/>
          <w:lang w:val="es-ES"/>
        </w:rPr>
        <w:t>" son datos extremos que se alejan significativamente de la media en una distribución. Normalmente, estos valores son indicativos de posibles errores en la medición</w:t>
      </w:r>
      <w:r w:rsidR="003F5A58">
        <w:rPr>
          <w:rFonts w:cstheme="minorHAnsi"/>
          <w:sz w:val="20"/>
          <w:szCs w:val="20"/>
          <w:lang w:val="es-ES"/>
        </w:rPr>
        <w:t xml:space="preserve">. </w:t>
      </w:r>
      <w:r w:rsidR="003F5A58" w:rsidRPr="009D0F44">
        <w:rPr>
          <w:rFonts w:cstheme="minorHAnsi"/>
          <w:sz w:val="20"/>
          <w:szCs w:val="20"/>
          <w:lang w:val="es-ES"/>
        </w:rPr>
        <w:t>Un análisis mediante Z-Score permite medir cu</w:t>
      </w:r>
      <w:r>
        <w:rPr>
          <w:rFonts w:cstheme="minorHAnsi"/>
          <w:sz w:val="20"/>
          <w:szCs w:val="20"/>
          <w:lang w:val="es-ES"/>
        </w:rPr>
        <w:t>á</w:t>
      </w:r>
      <w:r w:rsidR="003F5A58" w:rsidRPr="009D0F44">
        <w:rPr>
          <w:rFonts w:cstheme="minorHAnsi"/>
          <w:sz w:val="20"/>
          <w:szCs w:val="20"/>
          <w:lang w:val="es-ES"/>
        </w:rPr>
        <w:t xml:space="preserve">ntas desviaciones estándar se encuentra un dato por encima o por debajo de la media de la distribución. </w:t>
      </w:r>
    </w:p>
    <w:p w14:paraId="5BB3E552" w14:textId="77777777" w:rsidR="003F5A58" w:rsidRDefault="003F5A58" w:rsidP="00366D9E">
      <w:pPr>
        <w:spacing w:line="240" w:lineRule="auto"/>
        <w:ind w:firstLine="0"/>
        <w:rPr>
          <w:rFonts w:cstheme="minorHAnsi"/>
          <w:sz w:val="20"/>
          <w:szCs w:val="20"/>
          <w:lang w:val="es-ES"/>
        </w:rPr>
      </w:pPr>
    </w:p>
    <w:p w14:paraId="50C58F72" w14:textId="0AAC1EC9" w:rsidR="003F5A58" w:rsidRDefault="003F5A58" w:rsidP="00366D9E">
      <w:pPr>
        <w:spacing w:line="240" w:lineRule="auto"/>
        <w:ind w:firstLine="0"/>
        <w:rPr>
          <w:rFonts w:cstheme="minorHAnsi"/>
          <w:sz w:val="20"/>
          <w:szCs w:val="20"/>
          <w:lang w:val="es-ES"/>
        </w:rPr>
      </w:pPr>
      <w:r w:rsidRPr="009D0F44">
        <w:rPr>
          <w:rFonts w:cstheme="minorHAnsi"/>
          <w:sz w:val="20"/>
          <w:szCs w:val="20"/>
          <w:lang w:val="es-ES"/>
        </w:rPr>
        <w:t>Z = (X – μ)</w:t>
      </w:r>
      <w:r>
        <w:rPr>
          <w:rFonts w:cstheme="minorHAnsi"/>
          <w:sz w:val="20"/>
          <w:szCs w:val="20"/>
          <w:lang w:val="es-ES"/>
        </w:rPr>
        <w:t xml:space="preserve"> </w:t>
      </w:r>
      <w:r w:rsidRPr="009D0F44">
        <w:rPr>
          <w:rFonts w:cstheme="minorHAnsi"/>
          <w:sz w:val="20"/>
          <w:szCs w:val="20"/>
          <w:lang w:val="es-ES"/>
        </w:rPr>
        <w:t>/</w:t>
      </w:r>
      <w:r>
        <w:rPr>
          <w:rFonts w:cstheme="minorHAnsi"/>
          <w:sz w:val="20"/>
          <w:szCs w:val="20"/>
          <w:lang w:val="es-ES"/>
        </w:rPr>
        <w:t xml:space="preserve"> </w:t>
      </w:r>
      <w:r w:rsidRPr="009D0F44">
        <w:rPr>
          <w:rFonts w:cstheme="minorHAnsi"/>
          <w:sz w:val="20"/>
          <w:szCs w:val="20"/>
          <w:lang w:val="es-ES"/>
        </w:rPr>
        <w:t>σ</w:t>
      </w:r>
      <w:r w:rsidR="00773677">
        <w:rPr>
          <w:rFonts w:cstheme="minorHAnsi"/>
          <w:sz w:val="20"/>
          <w:szCs w:val="20"/>
          <w:lang w:val="es-ES"/>
        </w:rPr>
        <w:t>; donde u</w:t>
      </w:r>
      <w:r w:rsidRPr="009D0F44">
        <w:rPr>
          <w:rFonts w:cstheme="minorHAnsi"/>
          <w:sz w:val="20"/>
          <w:szCs w:val="20"/>
          <w:lang w:val="es-ES"/>
        </w:rPr>
        <w:t xml:space="preserve">n Z-Score superior a 3 o inferior a -3 generalmente se considera un </w:t>
      </w:r>
      <w:proofErr w:type="spellStart"/>
      <w:r w:rsidRPr="009D0F44">
        <w:rPr>
          <w:rFonts w:cstheme="minorHAnsi"/>
          <w:sz w:val="20"/>
          <w:szCs w:val="20"/>
          <w:lang w:val="es-ES"/>
        </w:rPr>
        <w:t>outlier</w:t>
      </w:r>
      <w:proofErr w:type="spellEnd"/>
      <w:r w:rsidRPr="009D0F44">
        <w:rPr>
          <w:rFonts w:cstheme="minorHAnsi"/>
          <w:sz w:val="20"/>
          <w:szCs w:val="20"/>
          <w:lang w:val="es-ES"/>
        </w:rPr>
        <w:t>.</w:t>
      </w:r>
    </w:p>
    <w:p w14:paraId="064EFE76" w14:textId="77777777" w:rsidR="00773677" w:rsidRDefault="00773677" w:rsidP="00366D9E">
      <w:pPr>
        <w:spacing w:line="240" w:lineRule="auto"/>
        <w:ind w:firstLine="0"/>
        <w:rPr>
          <w:rFonts w:cstheme="minorHAnsi"/>
          <w:sz w:val="20"/>
          <w:szCs w:val="20"/>
          <w:lang w:val="es-ES"/>
        </w:rPr>
      </w:pPr>
    </w:p>
    <w:p w14:paraId="40ED161D" w14:textId="344CF67A" w:rsidR="00773677" w:rsidRDefault="00773677" w:rsidP="00366D9E">
      <w:pPr>
        <w:spacing w:line="240" w:lineRule="auto"/>
        <w:ind w:firstLine="0"/>
        <w:rPr>
          <w:rFonts w:cstheme="minorHAnsi"/>
          <w:sz w:val="20"/>
          <w:szCs w:val="20"/>
          <w:lang w:val="es-ES"/>
        </w:rPr>
      </w:pPr>
      <w:r>
        <w:rPr>
          <w:rFonts w:cstheme="minorHAnsi"/>
          <w:sz w:val="20"/>
          <w:szCs w:val="20"/>
          <w:lang w:val="es-ES"/>
        </w:rPr>
        <w:t xml:space="preserve">Otro método para detectar valores atípicos es el análisis del rango intercuartílico (IQR). Véase </w:t>
      </w:r>
      <w:r>
        <w:rPr>
          <w:rFonts w:cstheme="minorHAnsi"/>
          <w:b/>
          <w:bCs/>
          <w:sz w:val="20"/>
          <w:szCs w:val="20"/>
          <w:lang w:val="es-ES"/>
        </w:rPr>
        <w:t xml:space="preserve">Figura 00.5 </w:t>
      </w:r>
      <w:r>
        <w:rPr>
          <w:rFonts w:cstheme="minorHAnsi"/>
          <w:sz w:val="20"/>
          <w:szCs w:val="20"/>
          <w:lang w:val="es-ES"/>
        </w:rPr>
        <w:t xml:space="preserve">y </w:t>
      </w:r>
      <w:r>
        <w:rPr>
          <w:rFonts w:cstheme="minorHAnsi"/>
          <w:b/>
          <w:bCs/>
          <w:sz w:val="20"/>
          <w:szCs w:val="20"/>
          <w:lang w:val="es-ES"/>
        </w:rPr>
        <w:t xml:space="preserve">Figura 00.6 </w:t>
      </w:r>
      <w:r>
        <w:rPr>
          <w:rFonts w:cstheme="minorHAnsi"/>
          <w:sz w:val="20"/>
          <w:szCs w:val="20"/>
          <w:lang w:val="es-ES"/>
        </w:rPr>
        <w:t>del Anexo.</w:t>
      </w:r>
    </w:p>
    <w:p w14:paraId="39E14798" w14:textId="77777777" w:rsidR="00773677" w:rsidRDefault="00773677" w:rsidP="00366D9E">
      <w:pPr>
        <w:spacing w:line="240" w:lineRule="auto"/>
        <w:ind w:firstLine="0"/>
        <w:rPr>
          <w:rFonts w:cstheme="minorHAnsi"/>
          <w:sz w:val="20"/>
          <w:szCs w:val="20"/>
          <w:lang w:val="es-ES"/>
        </w:rPr>
      </w:pPr>
    </w:p>
    <w:p w14:paraId="59718F05" w14:textId="6DB3273D" w:rsidR="002E4E36" w:rsidRDefault="00C15BBC" w:rsidP="00366D9E">
      <w:pPr>
        <w:spacing w:line="240" w:lineRule="auto"/>
        <w:ind w:firstLine="0"/>
        <w:rPr>
          <w:rFonts w:cstheme="minorHAnsi"/>
          <w:sz w:val="20"/>
          <w:szCs w:val="20"/>
          <w:lang w:val="es-ES"/>
        </w:rPr>
      </w:pPr>
      <w:r w:rsidRPr="00C15BBC">
        <w:rPr>
          <w:rFonts w:cstheme="minorHAnsi"/>
          <w:sz w:val="20"/>
          <w:szCs w:val="20"/>
          <w:lang w:val="es-ES"/>
        </w:rPr>
        <w:t xml:space="preserve">La </w:t>
      </w:r>
      <w:r w:rsidRPr="00C15BBC">
        <w:rPr>
          <w:rFonts w:cstheme="minorHAnsi"/>
          <w:b/>
          <w:bCs/>
          <w:sz w:val="20"/>
          <w:szCs w:val="20"/>
          <w:lang w:val="es-ES"/>
        </w:rPr>
        <w:t>Figura 00.7</w:t>
      </w:r>
      <w:r w:rsidRPr="00C15BBC">
        <w:rPr>
          <w:rFonts w:cstheme="minorHAnsi"/>
          <w:sz w:val="20"/>
          <w:szCs w:val="20"/>
          <w:lang w:val="es-ES"/>
        </w:rPr>
        <w:t xml:space="preserve"> muestra un gráfico box-</w:t>
      </w:r>
      <w:proofErr w:type="spellStart"/>
      <w:r w:rsidRPr="00C15BBC">
        <w:rPr>
          <w:rFonts w:cstheme="minorHAnsi"/>
          <w:sz w:val="20"/>
          <w:szCs w:val="20"/>
          <w:lang w:val="es-ES"/>
        </w:rPr>
        <w:t>plot</w:t>
      </w:r>
      <w:proofErr w:type="spellEnd"/>
      <w:r w:rsidRPr="00C15BBC">
        <w:rPr>
          <w:rFonts w:cstheme="minorHAnsi"/>
          <w:sz w:val="20"/>
          <w:szCs w:val="20"/>
          <w:lang w:val="es-ES"/>
        </w:rPr>
        <w:t xml:space="preserve"> de cada indicador por país y su referencia a la media de la UE. Los puntos más alejados, por encima o por debajo de los "bigotes", representan regiones de cada país en las que el indicador correspondiente muestra un valor inusual.</w:t>
      </w:r>
    </w:p>
    <w:p w14:paraId="7767B7CC" w14:textId="77777777" w:rsidR="00C15BBC" w:rsidRPr="00C15BBC" w:rsidRDefault="00C15BBC" w:rsidP="00366D9E">
      <w:pPr>
        <w:spacing w:line="240" w:lineRule="auto"/>
        <w:ind w:firstLine="0"/>
        <w:rPr>
          <w:rFonts w:cstheme="minorHAnsi"/>
          <w:sz w:val="20"/>
          <w:szCs w:val="20"/>
          <w:lang w:val="es-ES"/>
        </w:rPr>
      </w:pPr>
    </w:p>
    <w:p w14:paraId="0444D68B" w14:textId="3E7C2853" w:rsidR="002E4E36" w:rsidRDefault="00C15BBC" w:rsidP="00366D9E">
      <w:pPr>
        <w:spacing w:line="240" w:lineRule="auto"/>
        <w:ind w:firstLine="0"/>
        <w:rPr>
          <w:rFonts w:cstheme="minorHAnsi"/>
          <w:sz w:val="20"/>
          <w:szCs w:val="20"/>
          <w:lang w:val="es-ES"/>
        </w:rPr>
      </w:pPr>
      <w:r w:rsidRPr="00C15BBC">
        <w:rPr>
          <w:rFonts w:cstheme="minorHAnsi"/>
          <w:sz w:val="20"/>
          <w:szCs w:val="20"/>
          <w:lang w:val="es-ES"/>
        </w:rPr>
        <w:t>En este trabajo, se ha decidido no tratar estos valores atípicos como errores. Por un lado, confiamos en el trabajo de los estadísticos de Eurostat. Por otro lado, es razonable pensar que existen unas pocas regiones en cada país con datos significativamente diferentes a la media debido a razones geográficas o sociales.</w:t>
      </w:r>
    </w:p>
    <w:p w14:paraId="625BD907" w14:textId="77777777" w:rsidR="00C15BBC" w:rsidRPr="00C15BBC" w:rsidRDefault="00C15BBC" w:rsidP="00366D9E">
      <w:pPr>
        <w:spacing w:line="240" w:lineRule="auto"/>
        <w:ind w:firstLine="0"/>
        <w:rPr>
          <w:rFonts w:cstheme="minorHAnsi"/>
          <w:sz w:val="20"/>
          <w:szCs w:val="20"/>
          <w:lang w:val="es-ES"/>
        </w:rPr>
      </w:pPr>
    </w:p>
    <w:p w14:paraId="4762C865" w14:textId="630F441A" w:rsidR="002E4E36" w:rsidRDefault="002E4E36" w:rsidP="00366D9E">
      <w:pPr>
        <w:spacing w:line="240" w:lineRule="auto"/>
        <w:ind w:firstLine="0"/>
        <w:rPr>
          <w:rFonts w:cstheme="minorHAnsi"/>
          <w:sz w:val="20"/>
          <w:szCs w:val="20"/>
          <w:lang w:val="es-ES"/>
        </w:rPr>
      </w:pPr>
      <w:r>
        <w:rPr>
          <w:rFonts w:cstheme="minorHAnsi"/>
          <w:sz w:val="20"/>
          <w:szCs w:val="20"/>
          <w:lang w:val="es-ES"/>
        </w:rPr>
        <w:t>En total</w:t>
      </w:r>
      <w:r w:rsidR="00C15BBC">
        <w:rPr>
          <w:rFonts w:cstheme="minorHAnsi"/>
          <w:sz w:val="20"/>
          <w:szCs w:val="20"/>
          <w:lang w:val="es-ES"/>
        </w:rPr>
        <w:t>,</w:t>
      </w:r>
      <w:r>
        <w:rPr>
          <w:rFonts w:cstheme="minorHAnsi"/>
          <w:sz w:val="20"/>
          <w:szCs w:val="20"/>
          <w:lang w:val="es-ES"/>
        </w:rPr>
        <w:t xml:space="preserve"> se observan </w:t>
      </w:r>
      <w:proofErr w:type="spellStart"/>
      <w:r>
        <w:rPr>
          <w:rFonts w:cstheme="minorHAnsi"/>
          <w:sz w:val="20"/>
          <w:szCs w:val="20"/>
          <w:lang w:val="es-ES"/>
        </w:rPr>
        <w:t>outliers</w:t>
      </w:r>
      <w:proofErr w:type="spellEnd"/>
      <w:r>
        <w:rPr>
          <w:rFonts w:cstheme="minorHAnsi"/>
          <w:sz w:val="20"/>
          <w:szCs w:val="20"/>
          <w:lang w:val="es-ES"/>
        </w:rPr>
        <w:t xml:space="preserve"> en 31 regiones de 11 países. </w:t>
      </w:r>
      <w:r w:rsidR="00D53AA4">
        <w:rPr>
          <w:rFonts w:cstheme="minorHAnsi"/>
          <w:sz w:val="20"/>
          <w:szCs w:val="20"/>
          <w:lang w:val="es-ES"/>
        </w:rPr>
        <w:t xml:space="preserve">En el </w:t>
      </w:r>
      <w:r>
        <w:rPr>
          <w:rFonts w:cstheme="minorHAnsi"/>
          <w:sz w:val="20"/>
          <w:szCs w:val="20"/>
          <w:lang w:val="es-ES"/>
        </w:rPr>
        <w:t xml:space="preserve">mapa representado por la </w:t>
      </w:r>
      <w:r>
        <w:rPr>
          <w:rFonts w:cstheme="minorHAnsi"/>
          <w:b/>
          <w:bCs/>
          <w:sz w:val="20"/>
          <w:szCs w:val="20"/>
          <w:lang w:val="es-ES"/>
        </w:rPr>
        <w:t>Figura 00.8</w:t>
      </w:r>
      <w:r>
        <w:rPr>
          <w:rFonts w:cstheme="minorHAnsi"/>
          <w:sz w:val="20"/>
          <w:szCs w:val="20"/>
          <w:lang w:val="es-ES"/>
        </w:rPr>
        <w:t xml:space="preserve"> se observa que la mayoría se concentran en regiones muy específicas:</w:t>
      </w:r>
    </w:p>
    <w:p w14:paraId="6DD0DCFD" w14:textId="77777777" w:rsidR="002E4E36" w:rsidRDefault="002E4E36" w:rsidP="00366D9E">
      <w:pPr>
        <w:spacing w:line="240" w:lineRule="auto"/>
        <w:ind w:firstLine="0"/>
        <w:rPr>
          <w:rFonts w:cstheme="minorHAnsi"/>
          <w:sz w:val="20"/>
          <w:szCs w:val="20"/>
          <w:lang w:val="es-ES"/>
        </w:rPr>
      </w:pPr>
    </w:p>
    <w:p w14:paraId="0B238ED1" w14:textId="77777777" w:rsidR="002E4E36" w:rsidRPr="009D0F44" w:rsidRDefault="002E4E36" w:rsidP="00366D9E">
      <w:pPr>
        <w:pStyle w:val="ListParagraph"/>
        <w:numPr>
          <w:ilvl w:val="0"/>
          <w:numId w:val="4"/>
        </w:numPr>
        <w:spacing w:line="240" w:lineRule="auto"/>
        <w:rPr>
          <w:rFonts w:cstheme="minorHAnsi"/>
          <w:sz w:val="20"/>
          <w:szCs w:val="20"/>
          <w:lang w:val="es-ES"/>
        </w:rPr>
      </w:pPr>
      <w:r w:rsidRPr="009D0F44">
        <w:rPr>
          <w:rFonts w:cstheme="minorHAnsi"/>
          <w:sz w:val="20"/>
          <w:szCs w:val="20"/>
          <w:lang w:val="es-ES"/>
        </w:rPr>
        <w:t xml:space="preserve">Europa del Este y Balcanes: </w:t>
      </w:r>
      <w:proofErr w:type="spellStart"/>
      <w:r w:rsidRPr="009D0F44">
        <w:rPr>
          <w:rFonts w:cstheme="minorHAnsi"/>
          <w:sz w:val="20"/>
          <w:szCs w:val="20"/>
          <w:lang w:val="es-ES"/>
        </w:rPr>
        <w:t>Bulgaría</w:t>
      </w:r>
      <w:proofErr w:type="spellEnd"/>
      <w:r w:rsidRPr="009D0F44">
        <w:rPr>
          <w:rFonts w:cstheme="minorHAnsi"/>
          <w:sz w:val="20"/>
          <w:szCs w:val="20"/>
          <w:lang w:val="es-ES"/>
        </w:rPr>
        <w:t xml:space="preserve">, </w:t>
      </w:r>
      <w:proofErr w:type="spellStart"/>
      <w:r w:rsidRPr="009D0F44">
        <w:rPr>
          <w:rFonts w:cstheme="minorHAnsi"/>
          <w:sz w:val="20"/>
          <w:szCs w:val="20"/>
          <w:lang w:val="es-ES"/>
        </w:rPr>
        <w:t>Rumaía</w:t>
      </w:r>
      <w:proofErr w:type="spellEnd"/>
      <w:r w:rsidRPr="009D0F44">
        <w:rPr>
          <w:rFonts w:cstheme="minorHAnsi"/>
          <w:sz w:val="20"/>
          <w:szCs w:val="20"/>
          <w:lang w:val="es-ES"/>
        </w:rPr>
        <w:t>, Croacia</w:t>
      </w:r>
    </w:p>
    <w:p w14:paraId="6E2AA284" w14:textId="77777777" w:rsidR="002E4E36" w:rsidRPr="009D0F44" w:rsidRDefault="002E4E36" w:rsidP="00366D9E">
      <w:pPr>
        <w:pStyle w:val="ListParagraph"/>
        <w:numPr>
          <w:ilvl w:val="0"/>
          <w:numId w:val="4"/>
        </w:numPr>
        <w:spacing w:line="240" w:lineRule="auto"/>
        <w:rPr>
          <w:rFonts w:cstheme="minorHAnsi"/>
          <w:sz w:val="20"/>
          <w:szCs w:val="20"/>
          <w:lang w:val="es-ES"/>
        </w:rPr>
      </w:pPr>
      <w:r w:rsidRPr="009D0F44">
        <w:rPr>
          <w:rFonts w:cstheme="minorHAnsi"/>
          <w:sz w:val="20"/>
          <w:szCs w:val="20"/>
          <w:lang w:val="es-ES"/>
        </w:rPr>
        <w:t>Irlanda</w:t>
      </w:r>
    </w:p>
    <w:p w14:paraId="4BB28BD1" w14:textId="565C01C3" w:rsidR="00366D9E" w:rsidRDefault="002E4E36" w:rsidP="00366D9E">
      <w:pPr>
        <w:pStyle w:val="ListParagraph"/>
        <w:numPr>
          <w:ilvl w:val="0"/>
          <w:numId w:val="4"/>
        </w:numPr>
        <w:spacing w:line="240" w:lineRule="auto"/>
        <w:rPr>
          <w:rFonts w:cstheme="minorHAnsi"/>
          <w:sz w:val="20"/>
          <w:szCs w:val="20"/>
          <w:lang w:val="es-ES"/>
        </w:rPr>
      </w:pPr>
      <w:r w:rsidRPr="009D0F44">
        <w:rPr>
          <w:rFonts w:cstheme="minorHAnsi"/>
          <w:sz w:val="20"/>
          <w:szCs w:val="20"/>
          <w:lang w:val="es-ES"/>
        </w:rPr>
        <w:t>Territorios de ultramar de Francia y Portugal</w:t>
      </w:r>
    </w:p>
    <w:p w14:paraId="1F0F3628" w14:textId="77777777" w:rsidR="002C64AE" w:rsidRDefault="002C64AE" w:rsidP="002C64AE">
      <w:pPr>
        <w:pStyle w:val="ListParagraph"/>
        <w:spacing w:line="240" w:lineRule="auto"/>
        <w:ind w:firstLine="0"/>
        <w:rPr>
          <w:rFonts w:cstheme="minorHAnsi"/>
          <w:sz w:val="20"/>
          <w:szCs w:val="20"/>
          <w:lang w:val="es-ES"/>
        </w:rPr>
      </w:pPr>
    </w:p>
    <w:p w14:paraId="1BF6E06C" w14:textId="77777777" w:rsidR="00C15BBC" w:rsidRDefault="00C15BBC" w:rsidP="00C15BBC">
      <w:pPr>
        <w:pStyle w:val="ListParagraph"/>
        <w:spacing w:line="240" w:lineRule="auto"/>
        <w:ind w:firstLine="0"/>
        <w:rPr>
          <w:rFonts w:cstheme="minorHAnsi"/>
          <w:sz w:val="20"/>
          <w:szCs w:val="20"/>
          <w:lang w:val="es-ES"/>
        </w:rPr>
      </w:pPr>
    </w:p>
    <w:p w14:paraId="53227962" w14:textId="5A63B06C" w:rsidR="00063939" w:rsidRDefault="00921B1A" w:rsidP="00921B1A">
      <w:pPr>
        <w:pStyle w:val="Heading2"/>
        <w:rPr>
          <w:rFonts w:cstheme="minorHAnsi"/>
          <w:b w:val="0"/>
          <w:bCs w:val="0"/>
          <w:sz w:val="20"/>
          <w:szCs w:val="20"/>
          <w:lang w:val="es-ES"/>
        </w:rPr>
      </w:pPr>
      <w:bookmarkStart w:id="16" w:name="_Toc177028019"/>
      <w:bookmarkStart w:id="17" w:name="_Toc177028181"/>
      <w:r>
        <w:rPr>
          <w:lang w:val="es-ES"/>
        </w:rPr>
        <w:t xml:space="preserve">I.5. </w:t>
      </w:r>
      <w:r w:rsidR="002E4E36">
        <w:rPr>
          <w:lang w:val="es-ES"/>
        </w:rPr>
        <w:t>Distribución de los indicadores:</w:t>
      </w:r>
      <w:bookmarkEnd w:id="16"/>
      <w:bookmarkEnd w:id="17"/>
    </w:p>
    <w:p w14:paraId="0EA05B46" w14:textId="64943C3C" w:rsidR="00063939" w:rsidRDefault="00063939" w:rsidP="00366D9E">
      <w:pPr>
        <w:spacing w:line="240" w:lineRule="auto"/>
        <w:ind w:firstLine="0"/>
        <w:rPr>
          <w:rFonts w:cstheme="minorHAnsi"/>
          <w:sz w:val="20"/>
          <w:szCs w:val="20"/>
          <w:lang w:val="es-ES"/>
        </w:rPr>
      </w:pPr>
      <w:r>
        <w:rPr>
          <w:rFonts w:cstheme="minorHAnsi"/>
          <w:sz w:val="20"/>
          <w:szCs w:val="20"/>
          <w:lang w:val="es-ES"/>
        </w:rPr>
        <w:t xml:space="preserve">Los gráficos de distribución representados en la </w:t>
      </w:r>
      <w:r>
        <w:rPr>
          <w:rFonts w:cstheme="minorHAnsi"/>
          <w:b/>
          <w:bCs/>
          <w:sz w:val="20"/>
          <w:szCs w:val="20"/>
          <w:lang w:val="es-ES"/>
        </w:rPr>
        <w:t>Figura 00.9</w:t>
      </w:r>
      <w:r>
        <w:rPr>
          <w:rFonts w:cstheme="minorHAnsi"/>
          <w:sz w:val="20"/>
          <w:szCs w:val="20"/>
          <w:lang w:val="es-ES"/>
        </w:rPr>
        <w:t xml:space="preserve"> del Anexo, nos permite recalcar la heterogeneidad de los rangos y la existencia de valores atípicos en</w:t>
      </w:r>
      <w:r w:rsidR="00C15BBC">
        <w:rPr>
          <w:rFonts w:cstheme="minorHAnsi"/>
          <w:sz w:val="20"/>
          <w:szCs w:val="20"/>
          <w:lang w:val="es-ES"/>
        </w:rPr>
        <w:t xml:space="preserve"> algunos</w:t>
      </w:r>
      <w:r>
        <w:rPr>
          <w:rFonts w:cstheme="minorHAnsi"/>
          <w:sz w:val="20"/>
          <w:szCs w:val="20"/>
          <w:lang w:val="es-ES"/>
        </w:rPr>
        <w:t xml:space="preserve"> indicadores.</w:t>
      </w:r>
    </w:p>
    <w:p w14:paraId="724369E3" w14:textId="77777777" w:rsidR="00921B1A" w:rsidRDefault="00921B1A" w:rsidP="00366D9E">
      <w:pPr>
        <w:spacing w:line="240" w:lineRule="auto"/>
        <w:ind w:firstLine="0"/>
        <w:rPr>
          <w:rFonts w:cstheme="minorHAnsi"/>
          <w:sz w:val="20"/>
          <w:szCs w:val="20"/>
          <w:lang w:val="es-ES"/>
        </w:rPr>
      </w:pPr>
    </w:p>
    <w:p w14:paraId="4FE602E3" w14:textId="77777777" w:rsidR="00063939" w:rsidRDefault="00063939" w:rsidP="00366D9E">
      <w:pPr>
        <w:spacing w:line="240" w:lineRule="auto"/>
        <w:ind w:firstLine="0"/>
        <w:rPr>
          <w:rFonts w:cstheme="minorHAnsi"/>
          <w:sz w:val="20"/>
          <w:szCs w:val="20"/>
          <w:lang w:val="es-ES"/>
        </w:rPr>
      </w:pPr>
    </w:p>
    <w:p w14:paraId="11F17106" w14:textId="66C4C480" w:rsidR="00063939" w:rsidRDefault="00921B1A" w:rsidP="00921B1A">
      <w:pPr>
        <w:pStyle w:val="Heading2"/>
        <w:rPr>
          <w:rFonts w:cstheme="minorHAnsi"/>
          <w:b w:val="0"/>
          <w:bCs w:val="0"/>
          <w:sz w:val="20"/>
          <w:szCs w:val="20"/>
          <w:lang w:val="es-ES"/>
        </w:rPr>
      </w:pPr>
      <w:bookmarkStart w:id="18" w:name="_Toc177028020"/>
      <w:bookmarkStart w:id="19" w:name="_Toc177028182"/>
      <w:r>
        <w:rPr>
          <w:lang w:val="es-ES"/>
        </w:rPr>
        <w:t xml:space="preserve">I.6. </w:t>
      </w:r>
      <w:r w:rsidR="00063939">
        <w:rPr>
          <w:lang w:val="es-ES"/>
        </w:rPr>
        <w:t>Correlación entre indicadores:</w:t>
      </w:r>
      <w:bookmarkEnd w:id="18"/>
      <w:bookmarkEnd w:id="19"/>
    </w:p>
    <w:p w14:paraId="58C9F182" w14:textId="72FCFAE1" w:rsidR="008A4F4F" w:rsidRDefault="00027A2B" w:rsidP="00027A2B">
      <w:pPr>
        <w:spacing w:line="240" w:lineRule="auto"/>
        <w:ind w:firstLine="0"/>
        <w:rPr>
          <w:rFonts w:cstheme="minorHAnsi"/>
          <w:sz w:val="20"/>
          <w:szCs w:val="20"/>
          <w:lang w:val="es-ES"/>
        </w:rPr>
      </w:pPr>
      <w:r w:rsidRPr="00027A2B">
        <w:rPr>
          <w:rFonts w:cstheme="minorHAnsi"/>
          <w:sz w:val="20"/>
          <w:szCs w:val="20"/>
          <w:lang w:val="es-ES"/>
        </w:rPr>
        <w:t xml:space="preserve">En el mapa de calor representado en la </w:t>
      </w:r>
      <w:r w:rsidRPr="00027A2B">
        <w:rPr>
          <w:rFonts w:cstheme="minorHAnsi"/>
          <w:b/>
          <w:bCs/>
          <w:sz w:val="20"/>
          <w:szCs w:val="20"/>
          <w:lang w:val="es-ES"/>
        </w:rPr>
        <w:t>Figura 00.10</w:t>
      </w:r>
      <w:r w:rsidRPr="00027A2B">
        <w:rPr>
          <w:rFonts w:cstheme="minorHAnsi"/>
          <w:sz w:val="20"/>
          <w:szCs w:val="20"/>
          <w:lang w:val="es-ES"/>
        </w:rPr>
        <w:t xml:space="preserve"> del Anexo, se observan las correlaciones entre indicadores en una escala de -1 a 1. Los valores más cercanos a 1 (rojo más intenso) indican correlaciones positivas más fuertes; los valores más cercanos a -1 (azul más intenso) indican correlaciones negativas más fuertes; y los valores más cercanos a 0 (colores más tenues) indican poca o nula correlación. En general, se observan correlaciones positivas fuertes entre grupos de indicadores de la misma naturaleza. </w:t>
      </w:r>
      <w:r w:rsidR="004236B8">
        <w:rPr>
          <w:rFonts w:cstheme="minorHAnsi"/>
          <w:sz w:val="20"/>
          <w:szCs w:val="20"/>
          <w:lang w:val="es-ES"/>
        </w:rPr>
        <w:t xml:space="preserve"> </w:t>
      </w:r>
      <w:r>
        <w:rPr>
          <w:rFonts w:cstheme="minorHAnsi"/>
          <w:sz w:val="20"/>
          <w:szCs w:val="20"/>
          <w:lang w:val="es-ES"/>
        </w:rPr>
        <w:t>A</w:t>
      </w:r>
      <w:r w:rsidR="004236B8">
        <w:rPr>
          <w:rFonts w:cstheme="minorHAnsi"/>
          <w:sz w:val="20"/>
          <w:szCs w:val="20"/>
          <w:lang w:val="es-ES"/>
        </w:rPr>
        <w:t>lgunos indicadores</w:t>
      </w:r>
      <w:r>
        <w:rPr>
          <w:rFonts w:cstheme="minorHAnsi"/>
          <w:sz w:val="20"/>
          <w:szCs w:val="20"/>
          <w:lang w:val="es-ES"/>
        </w:rPr>
        <w:t>, como</w:t>
      </w:r>
      <w:r w:rsidR="004236B8">
        <w:rPr>
          <w:rFonts w:cstheme="minorHAnsi"/>
          <w:sz w:val="20"/>
          <w:szCs w:val="20"/>
          <w:lang w:val="es-ES"/>
        </w:rPr>
        <w:t xml:space="preserve"> </w:t>
      </w:r>
      <w:r>
        <w:rPr>
          <w:rFonts w:cstheme="minorHAnsi"/>
          <w:sz w:val="20"/>
          <w:szCs w:val="20"/>
          <w:lang w:val="es-ES"/>
        </w:rPr>
        <w:t xml:space="preserve">“Money </w:t>
      </w:r>
      <w:proofErr w:type="spellStart"/>
      <w:r>
        <w:rPr>
          <w:rFonts w:cstheme="minorHAnsi"/>
          <w:sz w:val="20"/>
          <w:szCs w:val="20"/>
          <w:lang w:val="es-ES"/>
        </w:rPr>
        <w:t>Stolen</w:t>
      </w:r>
      <w:proofErr w:type="spellEnd"/>
      <w:r>
        <w:rPr>
          <w:rFonts w:cstheme="minorHAnsi"/>
          <w:sz w:val="20"/>
          <w:szCs w:val="20"/>
          <w:lang w:val="es-ES"/>
        </w:rPr>
        <w:t>” o “</w:t>
      </w:r>
      <w:proofErr w:type="spellStart"/>
      <w:r>
        <w:rPr>
          <w:rFonts w:cstheme="minorHAnsi"/>
          <w:sz w:val="20"/>
          <w:szCs w:val="20"/>
          <w:lang w:val="es-ES"/>
        </w:rPr>
        <w:t>Subjective</w:t>
      </w:r>
      <w:proofErr w:type="spellEnd"/>
      <w:r>
        <w:rPr>
          <w:rFonts w:cstheme="minorHAnsi"/>
          <w:sz w:val="20"/>
          <w:szCs w:val="20"/>
          <w:lang w:val="es-ES"/>
        </w:rPr>
        <w:t xml:space="preserve"> </w:t>
      </w:r>
      <w:proofErr w:type="spellStart"/>
      <w:r>
        <w:rPr>
          <w:rFonts w:cstheme="minorHAnsi"/>
          <w:sz w:val="20"/>
          <w:szCs w:val="20"/>
          <w:lang w:val="es-ES"/>
        </w:rPr>
        <w:t>health</w:t>
      </w:r>
      <w:proofErr w:type="spellEnd"/>
      <w:r>
        <w:rPr>
          <w:rFonts w:cstheme="minorHAnsi"/>
          <w:sz w:val="20"/>
          <w:szCs w:val="20"/>
          <w:lang w:val="es-ES"/>
        </w:rPr>
        <w:t xml:space="preserve"> </w:t>
      </w:r>
      <w:proofErr w:type="gramStart"/>
      <w:r>
        <w:rPr>
          <w:rFonts w:cstheme="minorHAnsi"/>
          <w:sz w:val="20"/>
          <w:szCs w:val="20"/>
          <w:lang w:val="es-ES"/>
        </w:rPr>
        <w:t>status</w:t>
      </w:r>
      <w:proofErr w:type="gramEnd"/>
      <w:r>
        <w:rPr>
          <w:rFonts w:cstheme="minorHAnsi"/>
          <w:sz w:val="20"/>
          <w:szCs w:val="20"/>
          <w:lang w:val="es-ES"/>
        </w:rPr>
        <w:t xml:space="preserve">”, </w:t>
      </w:r>
      <w:r w:rsidRPr="00027A2B">
        <w:rPr>
          <w:rFonts w:cstheme="minorHAnsi"/>
          <w:sz w:val="20"/>
          <w:szCs w:val="20"/>
          <w:lang w:val="es-ES"/>
        </w:rPr>
        <w:t>presentan muy poca correlación con el resto. Estas relaciones deberán ser observadas nuevamente después de la normalización de los datos.</w:t>
      </w:r>
    </w:p>
    <w:p w14:paraId="2251E906" w14:textId="77777777" w:rsidR="002C64AE" w:rsidRDefault="002C64AE" w:rsidP="00027A2B">
      <w:pPr>
        <w:spacing w:line="240" w:lineRule="auto"/>
        <w:ind w:firstLine="0"/>
        <w:rPr>
          <w:rFonts w:cstheme="minorHAnsi"/>
          <w:sz w:val="20"/>
          <w:szCs w:val="20"/>
          <w:lang w:val="es-ES"/>
        </w:rPr>
      </w:pPr>
    </w:p>
    <w:p w14:paraId="3B8DE63D" w14:textId="77777777" w:rsidR="002C64AE" w:rsidRDefault="002C64AE" w:rsidP="00027A2B">
      <w:pPr>
        <w:spacing w:line="240" w:lineRule="auto"/>
        <w:ind w:firstLine="0"/>
        <w:rPr>
          <w:rFonts w:cstheme="minorHAnsi"/>
          <w:sz w:val="20"/>
          <w:szCs w:val="20"/>
          <w:lang w:val="es-ES"/>
        </w:rPr>
      </w:pPr>
    </w:p>
    <w:p w14:paraId="558E06D1" w14:textId="77777777" w:rsidR="002C64AE" w:rsidRDefault="002C64AE" w:rsidP="00027A2B">
      <w:pPr>
        <w:spacing w:line="240" w:lineRule="auto"/>
        <w:ind w:firstLine="0"/>
        <w:rPr>
          <w:rFonts w:cstheme="minorHAnsi"/>
          <w:sz w:val="20"/>
          <w:szCs w:val="20"/>
          <w:lang w:val="es-ES"/>
        </w:rPr>
      </w:pPr>
    </w:p>
    <w:p w14:paraId="0B3A925A" w14:textId="77777777" w:rsidR="002C64AE" w:rsidRDefault="002C64AE" w:rsidP="00027A2B">
      <w:pPr>
        <w:spacing w:line="240" w:lineRule="auto"/>
        <w:ind w:firstLine="0"/>
        <w:rPr>
          <w:rFonts w:cstheme="minorHAnsi"/>
          <w:sz w:val="20"/>
          <w:szCs w:val="20"/>
          <w:lang w:val="es-ES"/>
        </w:rPr>
      </w:pPr>
    </w:p>
    <w:p w14:paraId="2149A013" w14:textId="77777777" w:rsidR="007F48DB" w:rsidRDefault="007F48DB" w:rsidP="00027A2B">
      <w:pPr>
        <w:spacing w:line="240" w:lineRule="auto"/>
        <w:ind w:firstLine="0"/>
        <w:rPr>
          <w:rFonts w:cstheme="minorHAnsi"/>
          <w:sz w:val="20"/>
          <w:szCs w:val="20"/>
          <w:lang w:val="es-ES"/>
        </w:rPr>
      </w:pPr>
    </w:p>
    <w:p w14:paraId="1CF65139" w14:textId="77777777" w:rsidR="007F48DB" w:rsidRDefault="007F48DB" w:rsidP="00027A2B">
      <w:pPr>
        <w:spacing w:line="240" w:lineRule="auto"/>
        <w:ind w:firstLine="0"/>
        <w:rPr>
          <w:rFonts w:cstheme="minorHAnsi"/>
          <w:sz w:val="20"/>
          <w:szCs w:val="20"/>
          <w:lang w:val="es-ES"/>
        </w:rPr>
      </w:pPr>
    </w:p>
    <w:p w14:paraId="20B32A6B" w14:textId="77777777" w:rsidR="007F48DB" w:rsidRDefault="007F48DB" w:rsidP="00027A2B">
      <w:pPr>
        <w:spacing w:line="240" w:lineRule="auto"/>
        <w:ind w:firstLine="0"/>
        <w:rPr>
          <w:rFonts w:cstheme="minorHAnsi"/>
          <w:sz w:val="20"/>
          <w:szCs w:val="20"/>
          <w:lang w:val="es-ES"/>
        </w:rPr>
      </w:pPr>
    </w:p>
    <w:p w14:paraId="52276B0C" w14:textId="77777777" w:rsidR="002C64AE" w:rsidRDefault="002C64AE" w:rsidP="00027A2B">
      <w:pPr>
        <w:spacing w:line="240" w:lineRule="auto"/>
        <w:ind w:firstLine="0"/>
        <w:rPr>
          <w:rFonts w:cstheme="minorHAnsi"/>
          <w:sz w:val="20"/>
          <w:szCs w:val="20"/>
          <w:lang w:val="es-ES"/>
        </w:rPr>
      </w:pPr>
    </w:p>
    <w:p w14:paraId="0AAC7655" w14:textId="77777777" w:rsidR="002C64AE" w:rsidRDefault="002C64AE" w:rsidP="00027A2B">
      <w:pPr>
        <w:spacing w:line="240" w:lineRule="auto"/>
        <w:ind w:firstLine="0"/>
        <w:rPr>
          <w:rFonts w:cstheme="minorHAnsi"/>
          <w:sz w:val="20"/>
          <w:szCs w:val="20"/>
          <w:lang w:val="es-ES"/>
        </w:rPr>
      </w:pPr>
    </w:p>
    <w:p w14:paraId="5DEAB419" w14:textId="77777777" w:rsidR="00C906DB" w:rsidRDefault="00C906DB" w:rsidP="00366D9E">
      <w:pPr>
        <w:pStyle w:val="CaptionCallout"/>
        <w:spacing w:line="240" w:lineRule="auto"/>
        <w:rPr>
          <w:color w:val="2E74B5" w:themeColor="accent5" w:themeShade="BF"/>
          <w:sz w:val="24"/>
          <w:szCs w:val="24"/>
          <w:lang w:val="es-ES"/>
        </w:rPr>
      </w:pPr>
    </w:p>
    <w:p w14:paraId="7DF3446F" w14:textId="2F475092" w:rsidR="008A4F4F" w:rsidRPr="00E34484" w:rsidRDefault="008A4F4F" w:rsidP="00E34484">
      <w:pPr>
        <w:pStyle w:val="Heading1"/>
        <w:jc w:val="left"/>
        <w:rPr>
          <w:color w:val="4472C4" w:themeColor="accent1"/>
          <w:lang w:val="es-ES"/>
        </w:rPr>
      </w:pPr>
      <w:bookmarkStart w:id="20" w:name="_Toc177028021"/>
      <w:bookmarkStart w:id="21" w:name="_Toc177028183"/>
      <w:r w:rsidRPr="00E34484">
        <w:rPr>
          <w:color w:val="4472C4" w:themeColor="accent1"/>
          <w:lang w:val="es-ES"/>
        </w:rPr>
        <w:lastRenderedPageBreak/>
        <w:t>Fase II. Limpieza y normalización</w:t>
      </w:r>
      <w:bookmarkEnd w:id="20"/>
      <w:bookmarkEnd w:id="21"/>
    </w:p>
    <w:p w14:paraId="613A8E69" w14:textId="77777777" w:rsidR="00921B1A" w:rsidRDefault="00921B1A" w:rsidP="00366D9E">
      <w:pPr>
        <w:pStyle w:val="CaptionCallout"/>
        <w:spacing w:line="240" w:lineRule="auto"/>
        <w:rPr>
          <w:color w:val="2E74B5" w:themeColor="accent5" w:themeShade="BF"/>
          <w:sz w:val="24"/>
          <w:szCs w:val="24"/>
          <w:lang w:val="es-ES"/>
        </w:rPr>
      </w:pPr>
    </w:p>
    <w:p w14:paraId="5CB44EFA" w14:textId="77777777" w:rsidR="008A4F4F" w:rsidRDefault="008A4F4F" w:rsidP="00366D9E">
      <w:pPr>
        <w:pStyle w:val="NoIndent"/>
        <w:spacing w:line="240" w:lineRule="auto"/>
        <w:rPr>
          <w:sz w:val="20"/>
          <w:szCs w:val="20"/>
          <w:lang w:val="es-ES"/>
        </w:rPr>
      </w:pPr>
      <w:r w:rsidRPr="002E08A8">
        <w:rPr>
          <w:b/>
          <w:bCs/>
          <w:sz w:val="20"/>
          <w:szCs w:val="20"/>
          <w:lang w:val="es-ES"/>
        </w:rPr>
        <w:t xml:space="preserve">Anexo: </w:t>
      </w:r>
    </w:p>
    <w:p w14:paraId="0C46BCD7" w14:textId="1508703B" w:rsidR="008A4F4F" w:rsidRPr="002E08A8" w:rsidRDefault="008A4F4F" w:rsidP="00366D9E">
      <w:pPr>
        <w:pStyle w:val="NoIndent"/>
        <w:numPr>
          <w:ilvl w:val="0"/>
          <w:numId w:val="3"/>
        </w:numPr>
        <w:spacing w:line="240" w:lineRule="auto"/>
        <w:rPr>
          <w:sz w:val="20"/>
          <w:szCs w:val="20"/>
          <w:lang w:val="es-ES"/>
        </w:rPr>
      </w:pPr>
      <w:r w:rsidRPr="002E08A8">
        <w:rPr>
          <w:rFonts w:cstheme="minorHAnsi"/>
          <w:sz w:val="20"/>
          <w:szCs w:val="20"/>
          <w:lang w:val="es-ES"/>
        </w:rPr>
        <w:t>01_limpieza_</w:t>
      </w:r>
      <w:proofErr w:type="gramStart"/>
      <w:r w:rsidRPr="002E08A8">
        <w:rPr>
          <w:rFonts w:cstheme="minorHAnsi"/>
          <w:sz w:val="20"/>
          <w:szCs w:val="20"/>
          <w:lang w:val="es-ES"/>
        </w:rPr>
        <w:t>normalizacion.ipynb</w:t>
      </w:r>
      <w:proofErr w:type="gramEnd"/>
    </w:p>
    <w:p w14:paraId="10C74CCA" w14:textId="756B0FF0" w:rsidR="008A4F4F" w:rsidRPr="002E08A8" w:rsidRDefault="008A4F4F" w:rsidP="00366D9E">
      <w:pPr>
        <w:pStyle w:val="NoIndent"/>
        <w:numPr>
          <w:ilvl w:val="0"/>
          <w:numId w:val="3"/>
        </w:numPr>
        <w:spacing w:line="240" w:lineRule="auto"/>
        <w:rPr>
          <w:sz w:val="20"/>
          <w:szCs w:val="20"/>
          <w:lang w:val="es-ES"/>
        </w:rPr>
      </w:pPr>
      <w:r w:rsidRPr="002E08A8">
        <w:rPr>
          <w:rFonts w:cstheme="minorHAnsi"/>
          <w:sz w:val="20"/>
          <w:szCs w:val="20"/>
          <w:lang w:val="es-ES"/>
        </w:rPr>
        <w:t>01_limpieza_normalizacion.html</w:t>
      </w:r>
    </w:p>
    <w:p w14:paraId="1C2C31AA" w14:textId="77777777" w:rsidR="00285294" w:rsidRDefault="00285294" w:rsidP="00366D9E">
      <w:pPr>
        <w:spacing w:line="240" w:lineRule="auto"/>
        <w:ind w:firstLine="0"/>
        <w:rPr>
          <w:rFonts w:cstheme="minorHAnsi"/>
          <w:sz w:val="20"/>
          <w:szCs w:val="20"/>
          <w:lang w:val="es-ES"/>
        </w:rPr>
      </w:pPr>
    </w:p>
    <w:p w14:paraId="73532101" w14:textId="67DB8514" w:rsidR="00285294" w:rsidRDefault="002E08A8" w:rsidP="00366D9E">
      <w:pPr>
        <w:spacing w:line="240" w:lineRule="auto"/>
        <w:ind w:firstLine="0"/>
        <w:rPr>
          <w:rFonts w:cstheme="minorHAnsi"/>
          <w:sz w:val="20"/>
          <w:szCs w:val="20"/>
          <w:lang w:val="es-ES"/>
        </w:rPr>
      </w:pPr>
      <w:r w:rsidRPr="002E08A8">
        <w:rPr>
          <w:rFonts w:cstheme="minorHAnsi"/>
          <w:sz w:val="20"/>
          <w:szCs w:val="20"/>
          <w:lang w:val="es-ES"/>
        </w:rPr>
        <w:t>Primero estandarizamos y renombramos los indicadores: eliminamos signos de puntuación, espacios, y abreviamos algunos nombres que eran demasiado largos.</w:t>
      </w:r>
    </w:p>
    <w:p w14:paraId="3B227EF0" w14:textId="77777777" w:rsidR="00921B1A" w:rsidRDefault="00921B1A" w:rsidP="00366D9E">
      <w:pPr>
        <w:spacing w:line="240" w:lineRule="auto"/>
        <w:ind w:firstLine="0"/>
        <w:rPr>
          <w:rFonts w:cstheme="minorHAnsi"/>
          <w:sz w:val="20"/>
          <w:szCs w:val="20"/>
          <w:lang w:val="es-ES"/>
        </w:rPr>
      </w:pPr>
    </w:p>
    <w:p w14:paraId="49ED2601" w14:textId="77777777" w:rsidR="002E08A8" w:rsidRPr="002E08A8" w:rsidRDefault="002E08A8" w:rsidP="00366D9E">
      <w:pPr>
        <w:spacing w:line="240" w:lineRule="auto"/>
        <w:ind w:firstLine="0"/>
        <w:rPr>
          <w:rFonts w:cstheme="minorHAnsi"/>
          <w:sz w:val="20"/>
          <w:szCs w:val="20"/>
          <w:lang w:val="es-ES"/>
        </w:rPr>
      </w:pPr>
    </w:p>
    <w:p w14:paraId="1B53A8A2" w14:textId="309CE5B9" w:rsidR="00285294" w:rsidRDefault="00921B1A" w:rsidP="00921B1A">
      <w:pPr>
        <w:pStyle w:val="Heading2"/>
        <w:rPr>
          <w:rFonts w:cstheme="minorHAnsi"/>
          <w:b w:val="0"/>
          <w:bCs w:val="0"/>
          <w:sz w:val="20"/>
          <w:szCs w:val="20"/>
          <w:lang w:val="es-ES"/>
        </w:rPr>
      </w:pPr>
      <w:bookmarkStart w:id="22" w:name="_Toc177028022"/>
      <w:bookmarkStart w:id="23" w:name="_Toc177028184"/>
      <w:r>
        <w:rPr>
          <w:lang w:val="es-ES"/>
        </w:rPr>
        <w:t xml:space="preserve">II.1. </w:t>
      </w:r>
      <w:r w:rsidR="00285294">
        <w:rPr>
          <w:lang w:val="es-ES"/>
        </w:rPr>
        <w:t>Imputación de datos perdidos</w:t>
      </w:r>
      <w:r w:rsidR="004436B1">
        <w:rPr>
          <w:lang w:val="es-ES"/>
        </w:rPr>
        <w:t>:</w:t>
      </w:r>
      <w:bookmarkEnd w:id="22"/>
      <w:bookmarkEnd w:id="23"/>
    </w:p>
    <w:p w14:paraId="6E56F8F2" w14:textId="62EC34CA" w:rsidR="00285294" w:rsidRPr="002E08A8" w:rsidRDefault="002E08A8" w:rsidP="00366D9E">
      <w:pPr>
        <w:spacing w:line="240" w:lineRule="auto"/>
        <w:ind w:firstLine="0"/>
        <w:rPr>
          <w:rFonts w:cstheme="minorHAnsi"/>
          <w:sz w:val="20"/>
          <w:szCs w:val="20"/>
          <w:lang w:val="es-ES"/>
        </w:rPr>
      </w:pPr>
      <w:r w:rsidRPr="002E08A8">
        <w:rPr>
          <w:rFonts w:cstheme="minorHAnsi"/>
          <w:sz w:val="20"/>
          <w:szCs w:val="20"/>
          <w:lang w:val="es-ES"/>
        </w:rPr>
        <w:t xml:space="preserve">Descartamos la eliminación de datos, ya que cada registro representa una región y no podemos eliminar una región entera por </w:t>
      </w:r>
      <w:r>
        <w:rPr>
          <w:rFonts w:cstheme="minorHAnsi"/>
          <w:sz w:val="20"/>
          <w:szCs w:val="20"/>
          <w:lang w:val="es-ES"/>
        </w:rPr>
        <w:t>un dato perdido</w:t>
      </w:r>
      <w:r w:rsidRPr="002E08A8">
        <w:rPr>
          <w:rFonts w:cstheme="minorHAnsi"/>
          <w:sz w:val="20"/>
          <w:szCs w:val="20"/>
          <w:lang w:val="es-ES"/>
        </w:rPr>
        <w:t xml:space="preserve">. Además, ningún indicador presenta un porcentaje de datos </w:t>
      </w:r>
      <w:r>
        <w:rPr>
          <w:rFonts w:cstheme="minorHAnsi"/>
          <w:sz w:val="20"/>
          <w:szCs w:val="20"/>
          <w:lang w:val="es-ES"/>
        </w:rPr>
        <w:t>perdidos</w:t>
      </w:r>
      <w:r w:rsidRPr="002E08A8">
        <w:rPr>
          <w:rFonts w:cstheme="minorHAnsi"/>
          <w:sz w:val="20"/>
          <w:szCs w:val="20"/>
          <w:lang w:val="es-ES"/>
        </w:rPr>
        <w:t xml:space="preserve"> lo suficientemente alto como para justificar su eliminación. Por lo tanto, </w:t>
      </w:r>
      <w:r>
        <w:rPr>
          <w:rFonts w:cstheme="minorHAnsi"/>
          <w:sz w:val="20"/>
          <w:szCs w:val="20"/>
          <w:lang w:val="es-ES"/>
        </w:rPr>
        <w:t>se procede</w:t>
      </w:r>
      <w:r w:rsidRPr="002E08A8">
        <w:rPr>
          <w:rFonts w:cstheme="minorHAnsi"/>
          <w:sz w:val="20"/>
          <w:szCs w:val="20"/>
          <w:lang w:val="es-ES"/>
        </w:rPr>
        <w:t xml:space="preserve"> a imputar.</w:t>
      </w:r>
    </w:p>
    <w:p w14:paraId="4926D3D8" w14:textId="77777777" w:rsidR="002E08A8" w:rsidRDefault="002E08A8" w:rsidP="00366D9E">
      <w:pPr>
        <w:spacing w:line="240" w:lineRule="auto"/>
        <w:ind w:firstLine="0"/>
        <w:rPr>
          <w:rFonts w:cstheme="minorHAnsi"/>
          <w:sz w:val="20"/>
          <w:szCs w:val="20"/>
          <w:lang w:val="es-ES"/>
        </w:rPr>
      </w:pPr>
    </w:p>
    <w:p w14:paraId="0C22BC73" w14:textId="1036EBDD" w:rsidR="00285294" w:rsidRPr="00DF1EFA" w:rsidRDefault="00DF1EFA" w:rsidP="00366D9E">
      <w:pPr>
        <w:spacing w:line="240" w:lineRule="auto"/>
        <w:ind w:firstLine="0"/>
        <w:rPr>
          <w:rFonts w:cstheme="minorHAnsi"/>
          <w:sz w:val="20"/>
          <w:szCs w:val="20"/>
          <w:lang w:val="es-ES"/>
        </w:rPr>
      </w:pPr>
      <w:r w:rsidRPr="00DF1EFA">
        <w:rPr>
          <w:rFonts w:cstheme="minorHAnsi"/>
          <w:sz w:val="20"/>
          <w:szCs w:val="20"/>
          <w:lang w:val="es-ES"/>
        </w:rPr>
        <w:t>Existen muchas estrategias para la imputación de datos, como el uso de la media de la muestra, k-vecinos más cercanos, regresiones y técnicas de aprendizaje automático, entre otras. En este trabajo optamos por la imputación simple por la media, debido a que es un método sencillo y fácilmente interpretable.</w:t>
      </w:r>
      <w:r>
        <w:rPr>
          <w:rFonts w:cstheme="minorHAnsi"/>
          <w:sz w:val="20"/>
          <w:szCs w:val="20"/>
          <w:lang w:val="es-ES"/>
        </w:rPr>
        <w:t xml:space="preserve"> </w:t>
      </w:r>
      <w:r w:rsidR="00D53AA4">
        <w:rPr>
          <w:rFonts w:cstheme="minorHAnsi"/>
          <w:sz w:val="20"/>
          <w:szCs w:val="20"/>
          <w:lang w:val="es-ES"/>
        </w:rPr>
        <w:t>Sin embargo</w:t>
      </w:r>
      <w:r>
        <w:rPr>
          <w:rFonts w:cstheme="minorHAnsi"/>
          <w:sz w:val="20"/>
          <w:szCs w:val="20"/>
          <w:lang w:val="es-ES"/>
        </w:rPr>
        <w:t>, n</w:t>
      </w:r>
      <w:r w:rsidRPr="00DF1EFA">
        <w:rPr>
          <w:rFonts w:cstheme="minorHAnsi"/>
          <w:sz w:val="20"/>
          <w:szCs w:val="20"/>
          <w:lang w:val="es-ES"/>
        </w:rPr>
        <w:t xml:space="preserve">o sería razonable imputar utilizando la media de toda la muestra, ya que pueden existir diferencias significativas entre países. Imputamos el dato </w:t>
      </w:r>
      <w:r>
        <w:rPr>
          <w:rFonts w:cstheme="minorHAnsi"/>
          <w:sz w:val="20"/>
          <w:szCs w:val="20"/>
          <w:lang w:val="es-ES"/>
        </w:rPr>
        <w:t>perdido</w:t>
      </w:r>
      <w:r w:rsidRPr="00DF1EFA">
        <w:rPr>
          <w:rFonts w:cstheme="minorHAnsi"/>
          <w:sz w:val="20"/>
          <w:szCs w:val="20"/>
          <w:lang w:val="es-ES"/>
        </w:rPr>
        <w:t xml:space="preserve"> de un indicador</w:t>
      </w:r>
      <w:r w:rsidR="00D53AA4">
        <w:rPr>
          <w:rFonts w:cstheme="minorHAnsi"/>
          <w:sz w:val="20"/>
          <w:szCs w:val="20"/>
          <w:lang w:val="es-ES"/>
        </w:rPr>
        <w:t>,</w:t>
      </w:r>
      <w:r w:rsidRPr="00DF1EFA">
        <w:rPr>
          <w:rFonts w:cstheme="minorHAnsi"/>
          <w:sz w:val="20"/>
          <w:szCs w:val="20"/>
          <w:lang w:val="es-ES"/>
        </w:rPr>
        <w:t xml:space="preserve"> en una región</w:t>
      </w:r>
      <w:r w:rsidR="00D53AA4">
        <w:rPr>
          <w:rFonts w:cstheme="minorHAnsi"/>
          <w:sz w:val="20"/>
          <w:szCs w:val="20"/>
          <w:lang w:val="es-ES"/>
        </w:rPr>
        <w:t>,</w:t>
      </w:r>
      <w:r w:rsidRPr="00DF1EFA">
        <w:rPr>
          <w:rFonts w:cstheme="minorHAnsi"/>
          <w:sz w:val="20"/>
          <w:szCs w:val="20"/>
          <w:lang w:val="es-ES"/>
        </w:rPr>
        <w:t xml:space="preserve"> utilizando la media del país al </w:t>
      </w:r>
      <w:r w:rsidR="00D53AA4">
        <w:rPr>
          <w:rFonts w:cstheme="minorHAnsi"/>
          <w:sz w:val="20"/>
          <w:szCs w:val="20"/>
          <w:lang w:val="es-ES"/>
        </w:rPr>
        <w:t>cual</w:t>
      </w:r>
      <w:r w:rsidRPr="00DF1EFA">
        <w:rPr>
          <w:rFonts w:cstheme="minorHAnsi"/>
          <w:sz w:val="20"/>
          <w:szCs w:val="20"/>
          <w:lang w:val="es-ES"/>
        </w:rPr>
        <w:t xml:space="preserve"> pertenece esa región.</w:t>
      </w:r>
    </w:p>
    <w:p w14:paraId="2C233A16" w14:textId="77777777" w:rsidR="00285294" w:rsidRDefault="00285294" w:rsidP="00366D9E">
      <w:pPr>
        <w:spacing w:line="240" w:lineRule="auto"/>
        <w:ind w:firstLine="0"/>
        <w:rPr>
          <w:rFonts w:cstheme="minorHAnsi"/>
          <w:sz w:val="20"/>
          <w:szCs w:val="20"/>
          <w:lang w:val="es-ES"/>
        </w:rPr>
      </w:pPr>
    </w:p>
    <w:p w14:paraId="5F2EE1C8" w14:textId="630F2D54" w:rsidR="00285294" w:rsidRDefault="00285294" w:rsidP="00366D9E">
      <w:pPr>
        <w:spacing w:line="240" w:lineRule="auto"/>
        <w:ind w:firstLine="0"/>
        <w:rPr>
          <w:rFonts w:cstheme="minorHAnsi"/>
          <w:sz w:val="20"/>
          <w:szCs w:val="20"/>
          <w:lang w:val="es-ES"/>
        </w:rPr>
      </w:pPr>
      <w:r>
        <w:rPr>
          <w:rFonts w:cstheme="minorHAnsi"/>
          <w:sz w:val="20"/>
          <w:szCs w:val="20"/>
          <w:lang w:val="es-ES"/>
        </w:rPr>
        <w:t>A</w:t>
      </w:r>
      <w:r w:rsidRPr="009D0F44">
        <w:rPr>
          <w:rFonts w:cstheme="minorHAnsi"/>
          <w:sz w:val="20"/>
          <w:szCs w:val="20"/>
          <w:lang w:val="es-ES"/>
        </w:rPr>
        <w:t xml:space="preserve">lgunos indicadores </w:t>
      </w:r>
      <w:r w:rsidR="00DF1EFA">
        <w:rPr>
          <w:rFonts w:cstheme="minorHAnsi"/>
          <w:sz w:val="20"/>
          <w:szCs w:val="20"/>
          <w:lang w:val="es-ES"/>
        </w:rPr>
        <w:t>presenta</w:t>
      </w:r>
      <w:r w:rsidR="00D53AA4">
        <w:rPr>
          <w:rFonts w:cstheme="minorHAnsi"/>
          <w:sz w:val="20"/>
          <w:szCs w:val="20"/>
          <w:lang w:val="es-ES"/>
        </w:rPr>
        <w:t>n</w:t>
      </w:r>
      <w:r w:rsidR="00DF1EFA">
        <w:rPr>
          <w:rFonts w:cstheme="minorHAnsi"/>
          <w:sz w:val="20"/>
          <w:szCs w:val="20"/>
          <w:lang w:val="es-ES"/>
        </w:rPr>
        <w:t xml:space="preserve"> un</w:t>
      </w:r>
      <w:r w:rsidRPr="009D0F44">
        <w:rPr>
          <w:rFonts w:cstheme="minorHAnsi"/>
          <w:sz w:val="20"/>
          <w:szCs w:val="20"/>
          <w:lang w:val="es-ES"/>
        </w:rPr>
        <w:t xml:space="preserve"> 100% </w:t>
      </w:r>
      <w:r w:rsidR="00DF1EFA">
        <w:rPr>
          <w:rFonts w:cstheme="minorHAnsi"/>
          <w:sz w:val="20"/>
          <w:szCs w:val="20"/>
          <w:lang w:val="es-ES"/>
        </w:rPr>
        <w:t xml:space="preserve">de </w:t>
      </w:r>
      <w:r w:rsidRPr="009D0F44">
        <w:rPr>
          <w:rFonts w:cstheme="minorHAnsi"/>
          <w:sz w:val="20"/>
          <w:szCs w:val="20"/>
          <w:lang w:val="es-ES"/>
        </w:rPr>
        <w:t xml:space="preserve">datos perdidos en </w:t>
      </w:r>
      <w:r w:rsidR="00DF1EFA">
        <w:rPr>
          <w:rFonts w:cstheme="minorHAnsi"/>
          <w:sz w:val="20"/>
          <w:szCs w:val="20"/>
          <w:lang w:val="es-ES"/>
        </w:rPr>
        <w:t>ciertos</w:t>
      </w:r>
      <w:r w:rsidRPr="009D0F44">
        <w:rPr>
          <w:rFonts w:cstheme="minorHAnsi"/>
          <w:sz w:val="20"/>
          <w:szCs w:val="20"/>
          <w:lang w:val="es-ES"/>
        </w:rPr>
        <w:t xml:space="preserve"> pa</w:t>
      </w:r>
      <w:r w:rsidR="00DF1EFA">
        <w:rPr>
          <w:rFonts w:cstheme="minorHAnsi"/>
          <w:sz w:val="20"/>
          <w:szCs w:val="20"/>
          <w:lang w:val="es-ES"/>
        </w:rPr>
        <w:t>íses,</w:t>
      </w:r>
      <w:r w:rsidR="00DF1EFA" w:rsidRPr="00DF1EFA">
        <w:rPr>
          <w:lang w:val="es-ES"/>
        </w:rPr>
        <w:t xml:space="preserve"> </w:t>
      </w:r>
      <w:r w:rsidR="00DF1EFA" w:rsidRPr="00DF1EFA">
        <w:rPr>
          <w:rFonts w:cstheme="minorHAnsi"/>
          <w:sz w:val="20"/>
          <w:szCs w:val="20"/>
          <w:lang w:val="es-ES"/>
        </w:rPr>
        <w:t>especialmente en países pequeños con una o pocas regiones (</w:t>
      </w:r>
      <w:r w:rsidR="00D53AA4">
        <w:rPr>
          <w:rFonts w:cstheme="minorHAnsi"/>
          <w:sz w:val="20"/>
          <w:szCs w:val="20"/>
          <w:lang w:val="es-ES"/>
        </w:rPr>
        <w:t>exceptuando</w:t>
      </w:r>
      <w:r w:rsidR="00DF1EFA" w:rsidRPr="00DF1EFA">
        <w:rPr>
          <w:rFonts w:cstheme="minorHAnsi"/>
          <w:sz w:val="20"/>
          <w:szCs w:val="20"/>
          <w:lang w:val="es-ES"/>
        </w:rPr>
        <w:t xml:space="preserve"> </w:t>
      </w:r>
      <w:r w:rsidR="00DF1EFA">
        <w:rPr>
          <w:rFonts w:cstheme="minorHAnsi"/>
          <w:sz w:val="20"/>
          <w:szCs w:val="20"/>
          <w:lang w:val="es-ES"/>
        </w:rPr>
        <w:t xml:space="preserve">el caso de </w:t>
      </w:r>
      <w:r w:rsidR="00DF1EFA" w:rsidRPr="00DF1EFA">
        <w:rPr>
          <w:rFonts w:cstheme="minorHAnsi"/>
          <w:sz w:val="20"/>
          <w:szCs w:val="20"/>
          <w:lang w:val="es-ES"/>
        </w:rPr>
        <w:t>España). En estos casos, imputamos utilizando la media de la UE:</w:t>
      </w:r>
    </w:p>
    <w:p w14:paraId="4657ED44" w14:textId="77777777" w:rsidR="00285294" w:rsidRPr="009D0F44" w:rsidRDefault="00285294" w:rsidP="00366D9E">
      <w:pPr>
        <w:spacing w:line="240" w:lineRule="auto"/>
        <w:ind w:firstLine="0"/>
        <w:rPr>
          <w:rFonts w:cstheme="minorHAnsi"/>
          <w:sz w:val="20"/>
          <w:szCs w:val="20"/>
          <w:lang w:val="es-ES"/>
        </w:rPr>
      </w:pPr>
    </w:p>
    <w:p w14:paraId="2498AB5F" w14:textId="77777777" w:rsidR="00285294" w:rsidRPr="009D0F44" w:rsidRDefault="00285294" w:rsidP="00366D9E">
      <w:pPr>
        <w:pStyle w:val="ListParagraph"/>
        <w:numPr>
          <w:ilvl w:val="0"/>
          <w:numId w:val="5"/>
        </w:numPr>
        <w:spacing w:line="240" w:lineRule="auto"/>
        <w:rPr>
          <w:rFonts w:cstheme="minorHAnsi"/>
          <w:sz w:val="20"/>
          <w:szCs w:val="20"/>
          <w:lang w:val="es-ES"/>
        </w:rPr>
      </w:pPr>
      <w:proofErr w:type="spellStart"/>
      <w:r w:rsidRPr="009D0F44">
        <w:rPr>
          <w:rFonts w:cstheme="minorHAnsi"/>
          <w:sz w:val="20"/>
          <w:szCs w:val="20"/>
          <w:lang w:val="es-ES"/>
        </w:rPr>
        <w:t>digital_skills_above_basic</w:t>
      </w:r>
      <w:proofErr w:type="spellEnd"/>
      <w:r w:rsidRPr="009D0F44">
        <w:rPr>
          <w:rFonts w:cstheme="minorHAnsi"/>
          <w:sz w:val="20"/>
          <w:szCs w:val="20"/>
          <w:lang w:val="es-ES"/>
        </w:rPr>
        <w:t>:</w:t>
      </w:r>
    </w:p>
    <w:p w14:paraId="0FF31CB4" w14:textId="77777777" w:rsidR="00285294" w:rsidRPr="009D0F44" w:rsidRDefault="00285294" w:rsidP="00366D9E">
      <w:pPr>
        <w:pStyle w:val="ListParagraph"/>
        <w:numPr>
          <w:ilvl w:val="1"/>
          <w:numId w:val="5"/>
        </w:numPr>
        <w:spacing w:line="240" w:lineRule="auto"/>
        <w:rPr>
          <w:rFonts w:cstheme="minorHAnsi"/>
          <w:sz w:val="20"/>
          <w:szCs w:val="20"/>
          <w:lang w:val="es-ES"/>
        </w:rPr>
      </w:pPr>
      <w:r w:rsidRPr="009D0F44">
        <w:rPr>
          <w:rFonts w:cstheme="minorHAnsi"/>
          <w:sz w:val="20"/>
          <w:szCs w:val="20"/>
          <w:lang w:val="es-ES"/>
        </w:rPr>
        <w:t>CY: Chipre</w:t>
      </w:r>
    </w:p>
    <w:p w14:paraId="7CA0D9E9" w14:textId="77777777" w:rsidR="00285294" w:rsidRPr="009D0F44" w:rsidRDefault="00285294" w:rsidP="00366D9E">
      <w:pPr>
        <w:pStyle w:val="ListParagraph"/>
        <w:numPr>
          <w:ilvl w:val="1"/>
          <w:numId w:val="5"/>
        </w:numPr>
        <w:spacing w:line="240" w:lineRule="auto"/>
        <w:rPr>
          <w:rFonts w:cstheme="minorHAnsi"/>
          <w:sz w:val="20"/>
          <w:szCs w:val="20"/>
          <w:lang w:val="es-ES"/>
        </w:rPr>
      </w:pPr>
      <w:r w:rsidRPr="009D0F44">
        <w:rPr>
          <w:rFonts w:cstheme="minorHAnsi"/>
          <w:sz w:val="20"/>
          <w:szCs w:val="20"/>
          <w:lang w:val="es-ES"/>
        </w:rPr>
        <w:t>EE: Estonia</w:t>
      </w:r>
    </w:p>
    <w:p w14:paraId="41D4CC83" w14:textId="77777777" w:rsidR="00285294" w:rsidRPr="009D0F44" w:rsidRDefault="00285294" w:rsidP="00366D9E">
      <w:pPr>
        <w:pStyle w:val="ListParagraph"/>
        <w:numPr>
          <w:ilvl w:val="1"/>
          <w:numId w:val="5"/>
        </w:numPr>
        <w:spacing w:line="240" w:lineRule="auto"/>
        <w:rPr>
          <w:rFonts w:cstheme="minorHAnsi"/>
          <w:sz w:val="20"/>
          <w:szCs w:val="20"/>
          <w:lang w:val="es-ES"/>
        </w:rPr>
      </w:pPr>
      <w:r w:rsidRPr="009D0F44">
        <w:rPr>
          <w:rFonts w:cstheme="minorHAnsi"/>
          <w:sz w:val="20"/>
          <w:szCs w:val="20"/>
          <w:lang w:val="es-ES"/>
        </w:rPr>
        <w:t>LU: Luxemburgo</w:t>
      </w:r>
    </w:p>
    <w:p w14:paraId="1BB683A6" w14:textId="77777777" w:rsidR="00285294" w:rsidRPr="009D0F44" w:rsidRDefault="00285294" w:rsidP="00366D9E">
      <w:pPr>
        <w:pStyle w:val="ListParagraph"/>
        <w:numPr>
          <w:ilvl w:val="1"/>
          <w:numId w:val="5"/>
        </w:numPr>
        <w:spacing w:line="240" w:lineRule="auto"/>
        <w:rPr>
          <w:rFonts w:cstheme="minorHAnsi"/>
          <w:sz w:val="20"/>
          <w:szCs w:val="20"/>
          <w:lang w:val="es-ES"/>
        </w:rPr>
      </w:pPr>
      <w:r w:rsidRPr="009D0F44">
        <w:rPr>
          <w:rFonts w:cstheme="minorHAnsi"/>
          <w:sz w:val="20"/>
          <w:szCs w:val="20"/>
          <w:lang w:val="es-ES"/>
        </w:rPr>
        <w:t>LV: Letonia</w:t>
      </w:r>
    </w:p>
    <w:p w14:paraId="43E54AC6" w14:textId="77777777" w:rsidR="00285294" w:rsidRPr="009D0F44" w:rsidRDefault="00285294" w:rsidP="00366D9E">
      <w:pPr>
        <w:pStyle w:val="ListParagraph"/>
        <w:numPr>
          <w:ilvl w:val="1"/>
          <w:numId w:val="5"/>
        </w:numPr>
        <w:spacing w:line="240" w:lineRule="auto"/>
        <w:rPr>
          <w:rFonts w:cstheme="minorHAnsi"/>
          <w:sz w:val="20"/>
          <w:szCs w:val="20"/>
          <w:lang w:val="es-ES"/>
        </w:rPr>
      </w:pPr>
      <w:r w:rsidRPr="009D0F44">
        <w:rPr>
          <w:rFonts w:cstheme="minorHAnsi"/>
          <w:sz w:val="20"/>
          <w:szCs w:val="20"/>
          <w:lang w:val="es-ES"/>
        </w:rPr>
        <w:t>MT: Malta</w:t>
      </w:r>
    </w:p>
    <w:p w14:paraId="4E72751B" w14:textId="77777777" w:rsidR="00285294" w:rsidRDefault="00285294" w:rsidP="00366D9E">
      <w:pPr>
        <w:pStyle w:val="ListParagraph"/>
        <w:numPr>
          <w:ilvl w:val="0"/>
          <w:numId w:val="5"/>
        </w:numPr>
        <w:spacing w:line="240" w:lineRule="auto"/>
        <w:rPr>
          <w:rFonts w:cstheme="minorHAnsi"/>
          <w:sz w:val="20"/>
          <w:szCs w:val="20"/>
        </w:rPr>
      </w:pPr>
      <w:proofErr w:type="spellStart"/>
      <w:r w:rsidRPr="009D0F44">
        <w:rPr>
          <w:rFonts w:cstheme="minorHAnsi"/>
          <w:sz w:val="20"/>
          <w:szCs w:val="20"/>
        </w:rPr>
        <w:t>low_achieving_reading_level</w:t>
      </w:r>
      <w:proofErr w:type="spellEnd"/>
      <w:r w:rsidRPr="009D0F44">
        <w:rPr>
          <w:rFonts w:cstheme="minorHAnsi"/>
          <w:sz w:val="20"/>
          <w:szCs w:val="20"/>
        </w:rPr>
        <w:t>: España</w:t>
      </w:r>
    </w:p>
    <w:p w14:paraId="4C51693C" w14:textId="77777777" w:rsidR="00D53AA4" w:rsidRPr="00D53AA4" w:rsidRDefault="00D53AA4" w:rsidP="00D53AA4">
      <w:pPr>
        <w:spacing w:line="240" w:lineRule="auto"/>
        <w:ind w:left="410" w:firstLine="0"/>
        <w:rPr>
          <w:rFonts w:cstheme="minorHAnsi"/>
          <w:sz w:val="20"/>
          <w:szCs w:val="20"/>
        </w:rPr>
      </w:pPr>
    </w:p>
    <w:p w14:paraId="64962C78" w14:textId="77777777" w:rsidR="00285294" w:rsidRPr="009D0F44" w:rsidRDefault="00285294" w:rsidP="00366D9E">
      <w:pPr>
        <w:pStyle w:val="ListParagraph"/>
        <w:spacing w:line="240" w:lineRule="auto"/>
        <w:ind w:left="770" w:firstLine="0"/>
        <w:rPr>
          <w:rFonts w:cstheme="minorHAnsi"/>
          <w:sz w:val="20"/>
          <w:szCs w:val="20"/>
        </w:rPr>
      </w:pPr>
    </w:p>
    <w:p w14:paraId="15CEABFD" w14:textId="22A36B4D" w:rsidR="00DF1EFA" w:rsidRDefault="00DF1EFA" w:rsidP="00366D9E">
      <w:pPr>
        <w:spacing w:line="240" w:lineRule="auto"/>
        <w:ind w:firstLine="0"/>
        <w:rPr>
          <w:rFonts w:cstheme="minorHAnsi"/>
          <w:sz w:val="20"/>
          <w:szCs w:val="20"/>
          <w:lang w:val="es-ES"/>
        </w:rPr>
      </w:pPr>
      <w:r w:rsidRPr="00DF1EFA">
        <w:rPr>
          <w:rFonts w:cstheme="minorHAnsi"/>
          <w:sz w:val="20"/>
          <w:szCs w:val="20"/>
          <w:lang w:val="es-ES"/>
        </w:rPr>
        <w:t xml:space="preserve">La estrategia consiste en realizar la imputación en dos fases: primero, imputar los valores </w:t>
      </w:r>
      <w:r>
        <w:rPr>
          <w:rFonts w:cstheme="minorHAnsi"/>
          <w:sz w:val="20"/>
          <w:szCs w:val="20"/>
          <w:lang w:val="es-ES"/>
        </w:rPr>
        <w:t>perdidos</w:t>
      </w:r>
      <w:r w:rsidRPr="00DF1EFA">
        <w:rPr>
          <w:rFonts w:cstheme="minorHAnsi"/>
          <w:sz w:val="20"/>
          <w:szCs w:val="20"/>
          <w:lang w:val="es-ES"/>
        </w:rPr>
        <w:t xml:space="preserve"> dejando aparte los países donde hay alguna variable completamente vacía, y en una segunda fase, imputar los valores </w:t>
      </w:r>
      <w:r>
        <w:rPr>
          <w:rFonts w:cstheme="minorHAnsi"/>
          <w:sz w:val="20"/>
          <w:szCs w:val="20"/>
          <w:lang w:val="es-ES"/>
        </w:rPr>
        <w:t>perdidos</w:t>
      </w:r>
      <w:r w:rsidRPr="00DF1EFA">
        <w:rPr>
          <w:rFonts w:cstheme="minorHAnsi"/>
          <w:sz w:val="20"/>
          <w:szCs w:val="20"/>
          <w:lang w:val="es-ES"/>
        </w:rPr>
        <w:t xml:space="preserve"> de estos países considerando la media de la muestra</w:t>
      </w:r>
      <w:r w:rsidR="00D53AA4">
        <w:rPr>
          <w:rFonts w:cstheme="minorHAnsi"/>
          <w:sz w:val="20"/>
          <w:szCs w:val="20"/>
          <w:lang w:val="es-ES"/>
        </w:rPr>
        <w:t xml:space="preserve"> restante (y ya sin datos perdidos)</w:t>
      </w:r>
      <w:r w:rsidR="00D53AA4" w:rsidRPr="00DF1EFA">
        <w:rPr>
          <w:rFonts w:cstheme="minorHAnsi"/>
          <w:sz w:val="20"/>
          <w:szCs w:val="20"/>
          <w:lang w:val="es-ES"/>
        </w:rPr>
        <w:t>.</w:t>
      </w:r>
    </w:p>
    <w:p w14:paraId="22B02551" w14:textId="77777777" w:rsidR="002C64AE" w:rsidRPr="00DF1EFA" w:rsidRDefault="002C64AE" w:rsidP="00366D9E">
      <w:pPr>
        <w:spacing w:line="240" w:lineRule="auto"/>
        <w:ind w:firstLine="0"/>
        <w:rPr>
          <w:rFonts w:cstheme="minorHAnsi"/>
          <w:sz w:val="20"/>
          <w:szCs w:val="20"/>
          <w:lang w:val="es-ES"/>
        </w:rPr>
      </w:pPr>
    </w:p>
    <w:p w14:paraId="492FF5F1" w14:textId="77777777" w:rsidR="004436B1" w:rsidRDefault="004436B1" w:rsidP="00366D9E">
      <w:pPr>
        <w:spacing w:line="240" w:lineRule="auto"/>
        <w:ind w:firstLine="0"/>
        <w:rPr>
          <w:rFonts w:cstheme="minorHAnsi"/>
          <w:sz w:val="20"/>
          <w:szCs w:val="20"/>
          <w:lang w:val="es-ES"/>
        </w:rPr>
      </w:pPr>
    </w:p>
    <w:p w14:paraId="37ACC366" w14:textId="39798A6A" w:rsidR="00BF3F0F" w:rsidRDefault="00921B1A" w:rsidP="00921B1A">
      <w:pPr>
        <w:pStyle w:val="Heading2"/>
        <w:rPr>
          <w:rFonts w:cstheme="minorHAnsi"/>
          <w:b w:val="0"/>
          <w:bCs w:val="0"/>
          <w:sz w:val="20"/>
          <w:szCs w:val="20"/>
          <w:lang w:val="es-ES"/>
        </w:rPr>
      </w:pPr>
      <w:bookmarkStart w:id="24" w:name="_Toc177028023"/>
      <w:bookmarkStart w:id="25" w:name="_Toc177028185"/>
      <w:r>
        <w:rPr>
          <w:lang w:val="es-ES"/>
        </w:rPr>
        <w:t xml:space="preserve">II.2. </w:t>
      </w:r>
      <w:r w:rsidR="004436B1">
        <w:rPr>
          <w:lang w:val="es-ES"/>
        </w:rPr>
        <w:t xml:space="preserve">Consistencia del </w:t>
      </w:r>
      <w:proofErr w:type="spellStart"/>
      <w:r w:rsidR="004436B1">
        <w:rPr>
          <w:lang w:val="es-ES"/>
        </w:rPr>
        <w:t>dataset</w:t>
      </w:r>
      <w:proofErr w:type="spellEnd"/>
      <w:r w:rsidR="004436B1">
        <w:rPr>
          <w:lang w:val="es-ES"/>
        </w:rPr>
        <w:t>:</w:t>
      </w:r>
      <w:bookmarkEnd w:id="24"/>
      <w:bookmarkEnd w:id="25"/>
    </w:p>
    <w:p w14:paraId="737A8984" w14:textId="725824C3" w:rsidR="00BF3F0F" w:rsidRDefault="00BF3F0F" w:rsidP="00366D9E">
      <w:pPr>
        <w:spacing w:line="240" w:lineRule="auto"/>
        <w:ind w:firstLine="0"/>
        <w:rPr>
          <w:rFonts w:cstheme="minorHAnsi"/>
          <w:sz w:val="20"/>
          <w:szCs w:val="20"/>
          <w:lang w:val="es-ES"/>
        </w:rPr>
      </w:pPr>
      <w:r w:rsidRPr="00BF3F0F">
        <w:rPr>
          <w:rFonts w:cstheme="minorHAnsi"/>
          <w:sz w:val="20"/>
          <w:szCs w:val="20"/>
          <w:lang w:val="es-ES"/>
        </w:rPr>
        <w:t xml:space="preserve">Antes de proceder </w:t>
      </w:r>
      <w:r w:rsidR="00BD4B45">
        <w:rPr>
          <w:rFonts w:cstheme="minorHAnsi"/>
          <w:sz w:val="20"/>
          <w:szCs w:val="20"/>
          <w:lang w:val="es-ES"/>
        </w:rPr>
        <w:t>a la construcción del índice</w:t>
      </w:r>
      <w:r w:rsidRPr="00BF3F0F">
        <w:rPr>
          <w:rFonts w:cstheme="minorHAnsi"/>
          <w:sz w:val="20"/>
          <w:szCs w:val="20"/>
          <w:lang w:val="es-ES"/>
        </w:rPr>
        <w:t xml:space="preserve">, es fundamental evaluar la consistencia y adecuación de los datos mediante pruebas estadísticas específicas. </w:t>
      </w:r>
      <w:r w:rsidR="00DF1EFA">
        <w:rPr>
          <w:rFonts w:cstheme="minorHAnsi"/>
          <w:sz w:val="20"/>
          <w:szCs w:val="20"/>
          <w:lang w:val="es-ES"/>
        </w:rPr>
        <w:t>Para ello</w:t>
      </w:r>
      <w:r w:rsidRPr="00BF3F0F">
        <w:rPr>
          <w:rFonts w:cstheme="minorHAnsi"/>
          <w:sz w:val="20"/>
          <w:szCs w:val="20"/>
          <w:lang w:val="es-ES"/>
        </w:rPr>
        <w:t>, se utiliza</w:t>
      </w:r>
      <w:r w:rsidR="00DF1EFA">
        <w:rPr>
          <w:rFonts w:cstheme="minorHAnsi"/>
          <w:sz w:val="20"/>
          <w:szCs w:val="20"/>
          <w:lang w:val="es-ES"/>
        </w:rPr>
        <w:t>n</w:t>
      </w:r>
      <w:r w:rsidRPr="00BF3F0F">
        <w:rPr>
          <w:rFonts w:cstheme="minorHAnsi"/>
          <w:sz w:val="20"/>
          <w:szCs w:val="20"/>
          <w:lang w:val="es-ES"/>
        </w:rPr>
        <w:t xml:space="preserve"> dos herramientas: </w:t>
      </w:r>
      <w:proofErr w:type="gramStart"/>
      <w:r w:rsidRPr="00BF3F0F">
        <w:rPr>
          <w:rFonts w:cstheme="minorHAnsi"/>
          <w:sz w:val="20"/>
          <w:szCs w:val="20"/>
          <w:lang w:val="es-ES"/>
        </w:rPr>
        <w:t xml:space="preserve">el </w:t>
      </w:r>
      <w:r w:rsidRPr="00BF3F0F">
        <w:rPr>
          <w:rFonts w:cstheme="minorHAnsi"/>
          <w:b/>
          <w:bCs/>
          <w:sz w:val="20"/>
          <w:szCs w:val="20"/>
          <w:lang w:val="es-ES"/>
        </w:rPr>
        <w:t>test</w:t>
      </w:r>
      <w:proofErr w:type="gramEnd"/>
      <w:r w:rsidRPr="00BF3F0F">
        <w:rPr>
          <w:rFonts w:cstheme="minorHAnsi"/>
          <w:b/>
          <w:bCs/>
          <w:sz w:val="20"/>
          <w:szCs w:val="20"/>
          <w:lang w:val="es-ES"/>
        </w:rPr>
        <w:t xml:space="preserve"> de esfericidad de Bartlett</w:t>
      </w:r>
      <w:r w:rsidRPr="00BF3F0F">
        <w:rPr>
          <w:rFonts w:cstheme="minorHAnsi"/>
          <w:sz w:val="20"/>
          <w:szCs w:val="20"/>
          <w:lang w:val="es-ES"/>
        </w:rPr>
        <w:t xml:space="preserve"> y el </w:t>
      </w:r>
      <w:r w:rsidRPr="00BF3F0F">
        <w:rPr>
          <w:rFonts w:cstheme="minorHAnsi"/>
          <w:b/>
          <w:bCs/>
          <w:sz w:val="20"/>
          <w:szCs w:val="20"/>
          <w:lang w:val="es-ES"/>
        </w:rPr>
        <w:t>Índice de Adecuación Muestral de Kaiser-Meyer-</w:t>
      </w:r>
      <w:proofErr w:type="spellStart"/>
      <w:r w:rsidRPr="00BF3F0F">
        <w:rPr>
          <w:rFonts w:cstheme="minorHAnsi"/>
          <w:b/>
          <w:bCs/>
          <w:sz w:val="20"/>
          <w:szCs w:val="20"/>
          <w:lang w:val="es-ES"/>
        </w:rPr>
        <w:t>Olkin</w:t>
      </w:r>
      <w:proofErr w:type="spellEnd"/>
      <w:r w:rsidRPr="00BF3F0F">
        <w:rPr>
          <w:rFonts w:cstheme="minorHAnsi"/>
          <w:b/>
          <w:bCs/>
          <w:sz w:val="20"/>
          <w:szCs w:val="20"/>
          <w:lang w:val="es-ES"/>
        </w:rPr>
        <w:t xml:space="preserve"> (KMO)</w:t>
      </w:r>
      <w:r w:rsidRPr="00BF3F0F">
        <w:rPr>
          <w:rFonts w:cstheme="minorHAnsi"/>
          <w:sz w:val="20"/>
          <w:szCs w:val="20"/>
          <w:lang w:val="es-ES"/>
        </w:rPr>
        <w:t>. Ambas pruebas permiten verificar si el conjunto de indicadores es adecuado para ser combinado en un único índice.</w:t>
      </w:r>
      <w:r w:rsidR="00BD4B45">
        <w:rPr>
          <w:rFonts w:cstheme="minorHAnsi"/>
          <w:sz w:val="20"/>
          <w:szCs w:val="20"/>
          <w:lang w:val="es-ES"/>
        </w:rPr>
        <w:t xml:space="preserve"> </w:t>
      </w:r>
    </w:p>
    <w:p w14:paraId="17A7F639" w14:textId="77777777" w:rsidR="00DF1EFA" w:rsidRDefault="00DF1EFA" w:rsidP="00366D9E">
      <w:pPr>
        <w:spacing w:line="240" w:lineRule="auto"/>
        <w:ind w:firstLine="0"/>
        <w:rPr>
          <w:rFonts w:cstheme="minorHAnsi"/>
          <w:sz w:val="20"/>
          <w:szCs w:val="20"/>
          <w:lang w:val="es-ES"/>
        </w:rPr>
      </w:pPr>
    </w:p>
    <w:p w14:paraId="5E927175" w14:textId="5EA01249" w:rsidR="00514E9F" w:rsidRDefault="00514E9F" w:rsidP="00366D9E">
      <w:pPr>
        <w:spacing w:line="240" w:lineRule="auto"/>
        <w:ind w:firstLine="0"/>
        <w:rPr>
          <w:rFonts w:cstheme="minorHAnsi"/>
          <w:sz w:val="20"/>
          <w:szCs w:val="20"/>
          <w:lang w:val="es-ES"/>
        </w:rPr>
      </w:pPr>
      <w:r>
        <w:rPr>
          <w:rFonts w:cstheme="minorHAnsi"/>
          <w:sz w:val="20"/>
          <w:szCs w:val="20"/>
          <w:lang w:val="es-ES"/>
        </w:rPr>
        <w:t>Utiliza</w:t>
      </w:r>
      <w:r w:rsidRPr="00D53AA4">
        <w:rPr>
          <w:rFonts w:cstheme="minorHAnsi"/>
          <w:sz w:val="20"/>
          <w:szCs w:val="20"/>
          <w:lang w:val="es-ES"/>
        </w:rPr>
        <w:t xml:space="preserve">mos </w:t>
      </w:r>
      <w:r w:rsidR="00D53AA4" w:rsidRPr="00D53AA4">
        <w:rPr>
          <w:rFonts w:cstheme="minorHAnsi"/>
          <w:sz w:val="20"/>
          <w:szCs w:val="20"/>
          <w:lang w:val="es-ES"/>
        </w:rPr>
        <w:t>la prueba</w:t>
      </w:r>
      <w:r w:rsidR="00BD4B45" w:rsidRPr="00D53AA4">
        <w:rPr>
          <w:rFonts w:cstheme="minorHAnsi"/>
          <w:sz w:val="20"/>
          <w:szCs w:val="20"/>
          <w:lang w:val="es-ES"/>
        </w:rPr>
        <w:t xml:space="preserve"> de esfericidad de Bartlett p</w:t>
      </w:r>
      <w:r w:rsidR="00BD4B45" w:rsidRPr="00BD4B45">
        <w:rPr>
          <w:rFonts w:cstheme="minorHAnsi"/>
          <w:sz w:val="20"/>
          <w:szCs w:val="20"/>
          <w:lang w:val="es-ES"/>
        </w:rPr>
        <w:t>ara determinar si l</w:t>
      </w:r>
      <w:r>
        <w:rPr>
          <w:rFonts w:cstheme="minorHAnsi"/>
          <w:sz w:val="20"/>
          <w:szCs w:val="20"/>
          <w:lang w:val="es-ES"/>
        </w:rPr>
        <w:t xml:space="preserve">os indicadores </w:t>
      </w:r>
      <w:r w:rsidR="00BD4B45" w:rsidRPr="00BD4B45">
        <w:rPr>
          <w:rFonts w:cstheme="minorHAnsi"/>
          <w:sz w:val="20"/>
          <w:szCs w:val="20"/>
          <w:lang w:val="es-ES"/>
        </w:rPr>
        <w:t>están suficientemente correlacionad</w:t>
      </w:r>
      <w:r>
        <w:rPr>
          <w:rFonts w:cstheme="minorHAnsi"/>
          <w:sz w:val="20"/>
          <w:szCs w:val="20"/>
          <w:lang w:val="es-ES"/>
        </w:rPr>
        <w:t>o</w:t>
      </w:r>
      <w:r w:rsidR="00BD4B45" w:rsidRPr="00BD4B45">
        <w:rPr>
          <w:rFonts w:cstheme="minorHAnsi"/>
          <w:sz w:val="20"/>
          <w:szCs w:val="20"/>
          <w:lang w:val="es-ES"/>
        </w:rPr>
        <w:t xml:space="preserve">s </w:t>
      </w:r>
      <w:r>
        <w:rPr>
          <w:rFonts w:cstheme="minorHAnsi"/>
          <w:sz w:val="20"/>
          <w:szCs w:val="20"/>
          <w:lang w:val="es-ES"/>
        </w:rPr>
        <w:t>entre sí</w:t>
      </w:r>
      <w:r w:rsidR="00BD4B45" w:rsidRPr="00BD4B45">
        <w:rPr>
          <w:rFonts w:cstheme="minorHAnsi"/>
          <w:sz w:val="20"/>
          <w:szCs w:val="20"/>
          <w:lang w:val="es-ES"/>
        </w:rPr>
        <w:t xml:space="preserve">. </w:t>
      </w:r>
      <w:r>
        <w:rPr>
          <w:rFonts w:cstheme="minorHAnsi"/>
          <w:sz w:val="20"/>
          <w:szCs w:val="20"/>
          <w:lang w:val="es-ES"/>
        </w:rPr>
        <w:t>La prueba c</w:t>
      </w:r>
      <w:r w:rsidR="00BD4B45" w:rsidRPr="00BD4B45">
        <w:rPr>
          <w:rFonts w:cstheme="minorHAnsi"/>
          <w:sz w:val="20"/>
          <w:szCs w:val="20"/>
          <w:lang w:val="es-ES"/>
        </w:rPr>
        <w:t>ompara la matriz de correlaci</w:t>
      </w:r>
      <w:r>
        <w:rPr>
          <w:rFonts w:cstheme="minorHAnsi"/>
          <w:sz w:val="20"/>
          <w:szCs w:val="20"/>
          <w:lang w:val="es-ES"/>
        </w:rPr>
        <w:t xml:space="preserve">ones de Pearson </w:t>
      </w:r>
      <w:r w:rsidR="00BD4B45" w:rsidRPr="00BD4B45">
        <w:rPr>
          <w:rFonts w:cstheme="minorHAnsi"/>
          <w:sz w:val="20"/>
          <w:szCs w:val="20"/>
          <w:lang w:val="es-ES"/>
        </w:rPr>
        <w:t xml:space="preserve">con una matriz identidad, donde las correlaciones fuera de la diagonal principal son cero. </w:t>
      </w:r>
      <w:r>
        <w:rPr>
          <w:rFonts w:cstheme="minorHAnsi"/>
          <w:sz w:val="20"/>
          <w:szCs w:val="20"/>
          <w:lang w:val="es-ES"/>
        </w:rPr>
        <w:t>El estadístico</w:t>
      </w:r>
      <w:r w:rsidR="00BD4B45" w:rsidRPr="00BD4B45">
        <w:rPr>
          <w:rFonts w:cstheme="minorHAnsi"/>
          <w:sz w:val="20"/>
          <w:szCs w:val="20"/>
          <w:lang w:val="es-ES"/>
        </w:rPr>
        <w:t xml:space="preserve"> de prueba resultante sigue una </w:t>
      </w:r>
      <w:r w:rsidR="00BD4B45" w:rsidRPr="00BD4B45">
        <w:rPr>
          <w:rFonts w:cstheme="minorHAnsi"/>
          <w:sz w:val="20"/>
          <w:szCs w:val="20"/>
          <w:lang w:val="es-ES"/>
        </w:rPr>
        <w:lastRenderedPageBreak/>
        <w:t>distribución Chi-cuadrado. Si el valor p es menor que el nivel de significancia (por ejemplo, 0.05), se rechaza la hipótesis nula de que l</w:t>
      </w:r>
      <w:r>
        <w:rPr>
          <w:rFonts w:cstheme="minorHAnsi"/>
          <w:sz w:val="20"/>
          <w:szCs w:val="20"/>
          <w:lang w:val="es-ES"/>
        </w:rPr>
        <w:t>os indicadores</w:t>
      </w:r>
      <w:r w:rsidR="00BD4B45" w:rsidRPr="00BD4B45">
        <w:rPr>
          <w:rFonts w:cstheme="minorHAnsi"/>
          <w:sz w:val="20"/>
          <w:szCs w:val="20"/>
          <w:lang w:val="es-ES"/>
        </w:rPr>
        <w:t xml:space="preserve"> no están correlacionad</w:t>
      </w:r>
      <w:r>
        <w:rPr>
          <w:rFonts w:cstheme="minorHAnsi"/>
          <w:sz w:val="20"/>
          <w:szCs w:val="20"/>
          <w:lang w:val="es-ES"/>
        </w:rPr>
        <w:t>o</w:t>
      </w:r>
      <w:r w:rsidR="00BD4B45" w:rsidRPr="00BD4B45">
        <w:rPr>
          <w:rFonts w:cstheme="minorHAnsi"/>
          <w:sz w:val="20"/>
          <w:szCs w:val="20"/>
          <w:lang w:val="es-ES"/>
        </w:rPr>
        <w:t>s</w:t>
      </w:r>
      <w:r>
        <w:rPr>
          <w:rFonts w:cstheme="minorHAnsi"/>
          <w:sz w:val="20"/>
          <w:szCs w:val="20"/>
          <w:lang w:val="es-ES"/>
        </w:rPr>
        <w:t xml:space="preserve">. En nuestro caso la prueba </w:t>
      </w:r>
      <w:r w:rsidRPr="00514E9F">
        <w:rPr>
          <w:rFonts w:cstheme="minorHAnsi"/>
          <w:sz w:val="20"/>
          <w:szCs w:val="20"/>
          <w:lang w:val="es-ES"/>
        </w:rPr>
        <w:t>arroj</w:t>
      </w:r>
      <w:r w:rsidR="00DF1EFA">
        <w:rPr>
          <w:rFonts w:cstheme="minorHAnsi"/>
          <w:sz w:val="20"/>
          <w:szCs w:val="20"/>
          <w:lang w:val="es-ES"/>
        </w:rPr>
        <w:t>a</w:t>
      </w:r>
      <w:r w:rsidRPr="00514E9F">
        <w:rPr>
          <w:rFonts w:cstheme="minorHAnsi"/>
          <w:sz w:val="20"/>
          <w:szCs w:val="20"/>
          <w:lang w:val="es-ES"/>
        </w:rPr>
        <w:t xml:space="preserve"> un estadístico de</w:t>
      </w:r>
      <w:r>
        <w:rPr>
          <w:rFonts w:cstheme="minorHAnsi"/>
          <w:sz w:val="20"/>
          <w:szCs w:val="20"/>
          <w:lang w:val="es-ES"/>
        </w:rPr>
        <w:t xml:space="preserve"> </w:t>
      </w:r>
      <w:r w:rsidRPr="00514E9F">
        <w:rPr>
          <w:rFonts w:cstheme="minorHAnsi"/>
          <w:sz w:val="20"/>
          <w:szCs w:val="20"/>
          <w:lang w:val="es-ES"/>
        </w:rPr>
        <w:t>12691.98 con un valor p de 0.0. Este resultado indica que la hipótesis nula debe ser rechazada</w:t>
      </w:r>
      <w:r w:rsidR="00DF1EFA">
        <w:rPr>
          <w:rFonts w:cstheme="minorHAnsi"/>
          <w:sz w:val="20"/>
          <w:szCs w:val="20"/>
          <w:lang w:val="es-ES"/>
        </w:rPr>
        <w:t xml:space="preserve">, </w:t>
      </w:r>
      <w:r w:rsidR="00DF1EFA" w:rsidRPr="00DF1EFA">
        <w:rPr>
          <w:rFonts w:cstheme="minorHAnsi"/>
          <w:sz w:val="20"/>
          <w:szCs w:val="20"/>
          <w:lang w:val="es-ES"/>
        </w:rPr>
        <w:t>lo que nos permite concluir que los indicadores están significativamente correlacionados entre sí.</w:t>
      </w:r>
    </w:p>
    <w:p w14:paraId="1386427B" w14:textId="77777777" w:rsidR="00DF1EFA" w:rsidRDefault="00DF1EFA" w:rsidP="00366D9E">
      <w:pPr>
        <w:spacing w:line="240" w:lineRule="auto"/>
        <w:ind w:firstLine="0"/>
        <w:rPr>
          <w:rFonts w:cstheme="minorHAnsi"/>
          <w:sz w:val="20"/>
          <w:szCs w:val="20"/>
          <w:lang w:val="es-ES"/>
        </w:rPr>
      </w:pPr>
    </w:p>
    <w:p w14:paraId="3EEB6AC1" w14:textId="0A65833E" w:rsidR="00921B1A" w:rsidRDefault="00514E9F" w:rsidP="00366D9E">
      <w:pPr>
        <w:spacing w:line="240" w:lineRule="auto"/>
        <w:ind w:firstLine="0"/>
        <w:rPr>
          <w:rFonts w:cstheme="minorHAnsi"/>
          <w:sz w:val="20"/>
          <w:szCs w:val="20"/>
          <w:lang w:val="es-ES"/>
        </w:rPr>
      </w:pPr>
      <w:r w:rsidRPr="00D53AA4">
        <w:rPr>
          <w:rFonts w:cstheme="minorHAnsi"/>
          <w:sz w:val="20"/>
          <w:szCs w:val="20"/>
          <w:lang w:val="es-ES"/>
        </w:rPr>
        <w:t>El Índice de Adecuación Muestral de Kaiser-Meyer-</w:t>
      </w:r>
      <w:proofErr w:type="spellStart"/>
      <w:r w:rsidRPr="00D53AA4">
        <w:rPr>
          <w:rFonts w:cstheme="minorHAnsi"/>
          <w:sz w:val="20"/>
          <w:szCs w:val="20"/>
          <w:lang w:val="es-ES"/>
        </w:rPr>
        <w:t>Olkin</w:t>
      </w:r>
      <w:proofErr w:type="spellEnd"/>
      <w:r w:rsidRPr="00D53AA4">
        <w:rPr>
          <w:rFonts w:cstheme="minorHAnsi"/>
          <w:sz w:val="20"/>
          <w:szCs w:val="20"/>
          <w:lang w:val="es-ES"/>
        </w:rPr>
        <w:t xml:space="preserve"> (KMO) compara la correlación observada entre pares de indicadores con sus correlaciones parciales, es decir, después de eliminar el efecto de otros indicadores. Un valor KMO superior a 0.5 y cercano a 1 indica que la</w:t>
      </w:r>
      <w:r w:rsidRPr="00514E9F">
        <w:rPr>
          <w:rFonts w:cstheme="minorHAnsi"/>
          <w:sz w:val="20"/>
          <w:szCs w:val="20"/>
          <w:lang w:val="es-ES"/>
        </w:rPr>
        <w:t>s variables están bien correlacionadas y es adecuado construir un índice compuesto. En este caso, el índice global es aproximadamente 0.89, lo que sugiere que las correlaciones entre los indicadores son fuertes y apropiadas para la combinación en un índice compuesto.</w:t>
      </w:r>
    </w:p>
    <w:p w14:paraId="786ED965" w14:textId="77777777" w:rsidR="00921B1A" w:rsidRDefault="00921B1A" w:rsidP="00366D9E">
      <w:pPr>
        <w:spacing w:line="240" w:lineRule="auto"/>
        <w:ind w:firstLine="0"/>
        <w:rPr>
          <w:rFonts w:cstheme="minorHAnsi"/>
          <w:sz w:val="20"/>
          <w:szCs w:val="20"/>
          <w:lang w:val="es-ES"/>
        </w:rPr>
      </w:pPr>
    </w:p>
    <w:p w14:paraId="64500A7D" w14:textId="77777777" w:rsidR="00DF1EFA" w:rsidRDefault="00DF1EFA" w:rsidP="00366D9E">
      <w:pPr>
        <w:spacing w:line="240" w:lineRule="auto"/>
        <w:ind w:firstLine="0"/>
        <w:rPr>
          <w:rFonts w:cstheme="minorHAnsi"/>
          <w:sz w:val="20"/>
          <w:szCs w:val="20"/>
          <w:lang w:val="es-ES"/>
        </w:rPr>
      </w:pPr>
    </w:p>
    <w:p w14:paraId="3220BCF0" w14:textId="2AA7988C" w:rsidR="001B0903" w:rsidRDefault="00921B1A" w:rsidP="00921B1A">
      <w:pPr>
        <w:pStyle w:val="Heading2"/>
        <w:rPr>
          <w:rFonts w:cstheme="minorHAnsi"/>
          <w:b w:val="0"/>
          <w:bCs w:val="0"/>
          <w:sz w:val="20"/>
          <w:szCs w:val="20"/>
          <w:lang w:val="es-ES"/>
        </w:rPr>
      </w:pPr>
      <w:bookmarkStart w:id="26" w:name="_Toc177028024"/>
      <w:bookmarkStart w:id="27" w:name="_Toc177028186"/>
      <w:r>
        <w:rPr>
          <w:lang w:val="es-ES"/>
        </w:rPr>
        <w:t xml:space="preserve">II.3. </w:t>
      </w:r>
      <w:r w:rsidR="001B0903">
        <w:rPr>
          <w:lang w:val="es-ES"/>
        </w:rPr>
        <w:t>Normalización:</w:t>
      </w:r>
      <w:bookmarkEnd w:id="26"/>
      <w:bookmarkEnd w:id="27"/>
    </w:p>
    <w:p w14:paraId="0EAD2DAB" w14:textId="41ABC519" w:rsidR="001B0903" w:rsidRPr="001B0903" w:rsidRDefault="001B0903" w:rsidP="00366D9E">
      <w:pPr>
        <w:spacing w:line="240" w:lineRule="auto"/>
        <w:ind w:firstLine="0"/>
        <w:rPr>
          <w:rFonts w:cstheme="minorHAnsi"/>
          <w:sz w:val="20"/>
          <w:szCs w:val="20"/>
          <w:lang w:val="es-ES"/>
        </w:rPr>
      </w:pPr>
      <w:r w:rsidRPr="001B0903">
        <w:rPr>
          <w:rFonts w:cstheme="minorHAnsi"/>
          <w:sz w:val="20"/>
          <w:szCs w:val="20"/>
          <w:lang w:val="es-ES"/>
        </w:rPr>
        <w:t xml:space="preserve">Para normalizar los datos en una escala de 0 a 100, </w:t>
      </w:r>
      <w:r w:rsidR="00DF1EFA">
        <w:rPr>
          <w:rFonts w:cstheme="minorHAnsi"/>
          <w:sz w:val="20"/>
          <w:szCs w:val="20"/>
          <w:lang w:val="es-ES"/>
        </w:rPr>
        <w:t>utilizamos</w:t>
      </w:r>
      <w:r w:rsidRPr="001B0903">
        <w:rPr>
          <w:rFonts w:cstheme="minorHAnsi"/>
          <w:sz w:val="20"/>
          <w:szCs w:val="20"/>
          <w:lang w:val="es-ES"/>
        </w:rPr>
        <w:t xml:space="preserve"> el método de normalización </w:t>
      </w:r>
      <w:r w:rsidR="00D53AA4">
        <w:rPr>
          <w:rFonts w:cstheme="minorHAnsi"/>
          <w:sz w:val="20"/>
          <w:szCs w:val="20"/>
          <w:lang w:val="es-ES"/>
        </w:rPr>
        <w:t>“</w:t>
      </w:r>
      <w:r w:rsidRPr="001B0903">
        <w:rPr>
          <w:rFonts w:cstheme="minorHAnsi"/>
          <w:sz w:val="20"/>
          <w:szCs w:val="20"/>
          <w:lang w:val="es-ES"/>
        </w:rPr>
        <w:t>min-</w:t>
      </w:r>
      <w:proofErr w:type="spellStart"/>
      <w:r w:rsidRPr="001B0903">
        <w:rPr>
          <w:rFonts w:cstheme="minorHAnsi"/>
          <w:sz w:val="20"/>
          <w:szCs w:val="20"/>
          <w:lang w:val="es-ES"/>
        </w:rPr>
        <w:t>max</w:t>
      </w:r>
      <w:proofErr w:type="spellEnd"/>
      <w:r w:rsidR="00D53AA4">
        <w:rPr>
          <w:rFonts w:cstheme="minorHAnsi"/>
          <w:sz w:val="20"/>
          <w:szCs w:val="20"/>
          <w:lang w:val="es-ES"/>
        </w:rPr>
        <w:t>”</w:t>
      </w:r>
      <w:r w:rsidRPr="001B0903">
        <w:rPr>
          <w:rFonts w:cstheme="minorHAnsi"/>
          <w:sz w:val="20"/>
          <w:szCs w:val="20"/>
          <w:lang w:val="es-ES"/>
        </w:rPr>
        <w:t>, que ajusta los valores a un rango específico basado en los valores mínimo y máximo de cada indicador. Esta normalización se realiza teniendo en cuenta la orientación del indicador: si está orientado "positivamente" o "negativamente". Por ejemplo, para un indicador orientado negativamente, como el número de fallecimientos por accidentes de tráfico, los valores más altos se normalizarán hacia el extremo inferior de la escala (cercano a 0), mientras que los valores más bajos se normalizarán hacia el extremo superior (cercano a 100). En contraste, para un indicador orientado positivamente, como el índice de satisfacción con la calidad del agua, los valores más altos se normalizarán hacia el extremo superior (cercano a 100), y los valores más bajos hacia el extremo inferior (cercano a 0). Este enfoque asegura que todos los indicadores sean comparables en una escala uniforme</w:t>
      </w:r>
      <w:r>
        <w:rPr>
          <w:rFonts w:cstheme="minorHAnsi"/>
          <w:sz w:val="20"/>
          <w:szCs w:val="20"/>
          <w:lang w:val="es-ES"/>
        </w:rPr>
        <w:t>. La fórmula es la siguiente:</w:t>
      </w:r>
    </w:p>
    <w:p w14:paraId="010DF83C" w14:textId="77777777" w:rsidR="001B0903" w:rsidRDefault="001B0903" w:rsidP="00366D9E">
      <w:pPr>
        <w:spacing w:line="240" w:lineRule="auto"/>
        <w:ind w:firstLine="0"/>
        <w:rPr>
          <w:rFonts w:cstheme="minorHAnsi"/>
          <w:b/>
          <w:bCs/>
          <w:sz w:val="20"/>
          <w:szCs w:val="20"/>
          <w:lang w:val="es-ES"/>
        </w:rPr>
      </w:pPr>
    </w:p>
    <w:p w14:paraId="6F6E59C5" w14:textId="7776D5F8" w:rsidR="001B0903" w:rsidRDefault="001B0903" w:rsidP="00366D9E">
      <w:pPr>
        <w:spacing w:line="240" w:lineRule="auto"/>
        <w:ind w:firstLine="0"/>
        <w:rPr>
          <w:rFonts w:cstheme="minorHAnsi"/>
          <w:b/>
          <w:bCs/>
          <w:sz w:val="20"/>
          <w:szCs w:val="20"/>
          <w:lang w:val="es-ES"/>
        </w:rPr>
      </w:pPr>
      <w:r w:rsidRPr="009D0F44">
        <w:rPr>
          <w:rFonts w:cstheme="minorHAnsi"/>
          <w:noProof/>
          <w:sz w:val="20"/>
          <w:szCs w:val="20"/>
        </w:rPr>
        <w:drawing>
          <wp:inline distT="0" distB="0" distL="0" distR="0" wp14:anchorId="24FB9198" wp14:editId="67C1E80E">
            <wp:extent cx="3784821" cy="1423035"/>
            <wp:effectExtent l="0" t="0" r="6350" b="5715"/>
            <wp:docPr id="103706403"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6403" name="Picture 1" descr="A math equations with numbers and symbols&#10;&#10;Description automatically generated with medium confidence"/>
                    <pic:cNvPicPr/>
                  </pic:nvPicPr>
                  <pic:blipFill>
                    <a:blip r:embed="rId11"/>
                    <a:stretch>
                      <a:fillRect/>
                    </a:stretch>
                  </pic:blipFill>
                  <pic:spPr>
                    <a:xfrm>
                      <a:off x="0" y="0"/>
                      <a:ext cx="3875033" cy="1456953"/>
                    </a:xfrm>
                    <a:prstGeom prst="rect">
                      <a:avLst/>
                    </a:prstGeom>
                  </pic:spPr>
                </pic:pic>
              </a:graphicData>
            </a:graphic>
          </wp:inline>
        </w:drawing>
      </w:r>
    </w:p>
    <w:p w14:paraId="30B8A2DC" w14:textId="77777777" w:rsidR="00366D9E" w:rsidRPr="001B0903" w:rsidRDefault="00366D9E" w:rsidP="00366D9E">
      <w:pPr>
        <w:spacing w:line="240" w:lineRule="auto"/>
        <w:ind w:firstLine="0"/>
        <w:rPr>
          <w:rFonts w:cstheme="minorHAnsi"/>
          <w:b/>
          <w:bCs/>
          <w:sz w:val="20"/>
          <w:szCs w:val="20"/>
          <w:lang w:val="es-ES"/>
        </w:rPr>
      </w:pPr>
    </w:p>
    <w:p w14:paraId="3FAEF015" w14:textId="77777777" w:rsidR="00D53AA4" w:rsidRDefault="00D53AA4" w:rsidP="00366D9E">
      <w:pPr>
        <w:spacing w:line="240" w:lineRule="auto"/>
        <w:ind w:firstLine="0"/>
        <w:rPr>
          <w:rFonts w:cstheme="minorHAnsi"/>
          <w:sz w:val="20"/>
          <w:szCs w:val="20"/>
          <w:lang w:val="es-ES"/>
        </w:rPr>
      </w:pPr>
    </w:p>
    <w:p w14:paraId="413D6ACB" w14:textId="6AEECF42" w:rsidR="00A82684" w:rsidRDefault="001B0903" w:rsidP="00366D9E">
      <w:pPr>
        <w:spacing w:line="240" w:lineRule="auto"/>
        <w:ind w:firstLine="0"/>
        <w:rPr>
          <w:rFonts w:cstheme="minorHAnsi"/>
          <w:sz w:val="20"/>
          <w:szCs w:val="20"/>
          <w:lang w:val="es-ES"/>
        </w:rPr>
      </w:pPr>
      <w:r>
        <w:rPr>
          <w:rFonts w:cstheme="minorHAnsi"/>
          <w:sz w:val="20"/>
          <w:szCs w:val="20"/>
          <w:lang w:val="es-ES"/>
        </w:rPr>
        <w:t xml:space="preserve">Las </w:t>
      </w:r>
      <w:r>
        <w:rPr>
          <w:rFonts w:cstheme="minorHAnsi"/>
          <w:b/>
          <w:bCs/>
          <w:sz w:val="20"/>
          <w:szCs w:val="20"/>
          <w:lang w:val="es-ES"/>
        </w:rPr>
        <w:t>Figura</w:t>
      </w:r>
      <w:r w:rsidR="00D53AA4">
        <w:rPr>
          <w:rFonts w:cstheme="minorHAnsi"/>
          <w:b/>
          <w:bCs/>
          <w:sz w:val="20"/>
          <w:szCs w:val="20"/>
          <w:lang w:val="es-ES"/>
        </w:rPr>
        <w:t>s</w:t>
      </w:r>
      <w:r>
        <w:rPr>
          <w:rFonts w:cstheme="minorHAnsi"/>
          <w:b/>
          <w:bCs/>
          <w:sz w:val="20"/>
          <w:szCs w:val="20"/>
          <w:lang w:val="es-ES"/>
        </w:rPr>
        <w:t xml:space="preserve"> 01.1</w:t>
      </w:r>
      <w:r>
        <w:rPr>
          <w:rFonts w:cstheme="minorHAnsi"/>
          <w:sz w:val="20"/>
          <w:szCs w:val="20"/>
          <w:lang w:val="es-ES"/>
        </w:rPr>
        <w:t xml:space="preserve"> </w:t>
      </w:r>
      <w:r w:rsidR="00D53AA4">
        <w:rPr>
          <w:rFonts w:cstheme="minorHAnsi"/>
          <w:sz w:val="20"/>
          <w:szCs w:val="20"/>
          <w:lang w:val="es-ES"/>
        </w:rPr>
        <w:t xml:space="preserve">y </w:t>
      </w:r>
      <w:r w:rsidR="00D53AA4">
        <w:rPr>
          <w:rFonts w:cstheme="minorHAnsi"/>
          <w:b/>
          <w:bCs/>
          <w:sz w:val="20"/>
          <w:szCs w:val="20"/>
          <w:lang w:val="es-ES"/>
        </w:rPr>
        <w:t>01.2</w:t>
      </w:r>
      <w:r>
        <w:rPr>
          <w:rFonts w:cstheme="minorHAnsi"/>
          <w:b/>
          <w:bCs/>
          <w:sz w:val="20"/>
          <w:szCs w:val="20"/>
          <w:lang w:val="es-ES"/>
        </w:rPr>
        <w:t xml:space="preserve"> </w:t>
      </w:r>
      <w:r>
        <w:rPr>
          <w:rFonts w:cstheme="minorHAnsi"/>
          <w:sz w:val="20"/>
          <w:szCs w:val="20"/>
          <w:lang w:val="es-ES"/>
        </w:rPr>
        <w:t>muestran el mapa de correlaciones entre indicadores antes y después de la normalización.</w:t>
      </w:r>
      <w:r w:rsidR="00A82684">
        <w:rPr>
          <w:rFonts w:cstheme="minorHAnsi"/>
          <w:sz w:val="20"/>
          <w:szCs w:val="20"/>
          <w:lang w:val="es-ES"/>
        </w:rPr>
        <w:t xml:space="preserve"> Se observa como muchas correlaciones negativas se vuelven positivas tras la normalización. Un detalle interesante es el indicador “</w:t>
      </w:r>
      <w:proofErr w:type="spellStart"/>
      <w:r w:rsidR="00A82684">
        <w:rPr>
          <w:rFonts w:cstheme="minorHAnsi"/>
          <w:sz w:val="20"/>
          <w:szCs w:val="20"/>
          <w:lang w:val="es-ES"/>
        </w:rPr>
        <w:t>insitutions</w:t>
      </w:r>
      <w:proofErr w:type="spellEnd"/>
      <w:r w:rsidR="00A82684">
        <w:rPr>
          <w:rFonts w:cstheme="minorHAnsi"/>
          <w:sz w:val="20"/>
          <w:szCs w:val="20"/>
          <w:lang w:val="es-ES"/>
        </w:rPr>
        <w:t xml:space="preserve"> </w:t>
      </w:r>
      <w:proofErr w:type="spellStart"/>
      <w:r w:rsidR="00A82684">
        <w:rPr>
          <w:rFonts w:cstheme="minorHAnsi"/>
          <w:sz w:val="20"/>
          <w:szCs w:val="20"/>
          <w:lang w:val="es-ES"/>
        </w:rPr>
        <w:t>corruption</w:t>
      </w:r>
      <w:proofErr w:type="spellEnd"/>
      <w:r w:rsidR="00A82684">
        <w:rPr>
          <w:rFonts w:cstheme="minorHAnsi"/>
          <w:sz w:val="20"/>
          <w:szCs w:val="20"/>
          <w:lang w:val="es-ES"/>
        </w:rPr>
        <w:t>” que surge con una correlación muy negativa con casi todos los indicadores.</w:t>
      </w:r>
    </w:p>
    <w:p w14:paraId="0D2ED02F" w14:textId="77777777" w:rsidR="00A82684" w:rsidRDefault="00A82684" w:rsidP="00366D9E">
      <w:pPr>
        <w:spacing w:line="240" w:lineRule="auto"/>
        <w:ind w:firstLine="0"/>
        <w:rPr>
          <w:rFonts w:cstheme="minorHAnsi"/>
          <w:sz w:val="20"/>
          <w:szCs w:val="20"/>
          <w:lang w:val="es-ES"/>
        </w:rPr>
      </w:pPr>
    </w:p>
    <w:p w14:paraId="35C810A0" w14:textId="5B63D2DF" w:rsidR="00366D9E" w:rsidRDefault="00A82684" w:rsidP="00366D9E">
      <w:pPr>
        <w:spacing w:line="240" w:lineRule="auto"/>
        <w:ind w:firstLine="0"/>
        <w:rPr>
          <w:rFonts w:cstheme="minorHAnsi"/>
          <w:sz w:val="20"/>
          <w:szCs w:val="20"/>
          <w:lang w:val="es-ES"/>
        </w:rPr>
      </w:pPr>
      <w:r>
        <w:rPr>
          <w:rFonts w:cstheme="minorHAnsi"/>
          <w:sz w:val="20"/>
          <w:szCs w:val="20"/>
          <w:lang w:val="es-ES"/>
        </w:rPr>
        <w:t xml:space="preserve">Una alternativa de normalización es la transformación </w:t>
      </w:r>
      <w:r>
        <w:rPr>
          <w:rFonts w:cstheme="minorHAnsi"/>
          <w:b/>
          <w:bCs/>
          <w:sz w:val="20"/>
          <w:szCs w:val="20"/>
          <w:lang w:val="es-ES"/>
        </w:rPr>
        <w:t>Z-Score</w:t>
      </w:r>
      <w:r>
        <w:rPr>
          <w:rFonts w:cstheme="minorHAnsi"/>
          <w:sz w:val="20"/>
          <w:szCs w:val="20"/>
          <w:lang w:val="es-ES"/>
        </w:rPr>
        <w:t xml:space="preserve">, aunque este trabajo </w:t>
      </w:r>
      <w:r w:rsidR="00DF1EFA">
        <w:rPr>
          <w:rFonts w:cstheme="minorHAnsi"/>
          <w:sz w:val="20"/>
          <w:szCs w:val="20"/>
          <w:lang w:val="es-ES"/>
        </w:rPr>
        <w:t>se centra</w:t>
      </w:r>
      <w:r>
        <w:rPr>
          <w:rFonts w:cstheme="minorHAnsi"/>
          <w:sz w:val="20"/>
          <w:szCs w:val="20"/>
          <w:lang w:val="es-ES"/>
        </w:rPr>
        <w:t xml:space="preserve"> en el primer método</w:t>
      </w:r>
      <w:r w:rsidR="00D53AA4">
        <w:rPr>
          <w:rFonts w:cstheme="minorHAnsi"/>
          <w:sz w:val="20"/>
          <w:szCs w:val="20"/>
          <w:lang w:val="es-ES"/>
        </w:rPr>
        <w:t>, se ha de tener en cuenta en futuras líneas de investigación</w:t>
      </w:r>
      <w:r>
        <w:rPr>
          <w:rFonts w:cstheme="minorHAnsi"/>
          <w:sz w:val="20"/>
          <w:szCs w:val="20"/>
          <w:lang w:val="es-ES"/>
        </w:rPr>
        <w:t>.</w:t>
      </w:r>
    </w:p>
    <w:p w14:paraId="0E3A31E6" w14:textId="77777777" w:rsidR="002C64AE" w:rsidRDefault="002C64AE" w:rsidP="00366D9E">
      <w:pPr>
        <w:spacing w:line="240" w:lineRule="auto"/>
        <w:ind w:firstLine="0"/>
        <w:rPr>
          <w:rFonts w:cstheme="minorHAnsi"/>
          <w:sz w:val="20"/>
          <w:szCs w:val="20"/>
          <w:lang w:val="es-ES"/>
        </w:rPr>
      </w:pPr>
    </w:p>
    <w:p w14:paraId="2E6A05D1" w14:textId="77777777" w:rsidR="002C64AE" w:rsidRDefault="002C64AE" w:rsidP="00366D9E">
      <w:pPr>
        <w:spacing w:line="240" w:lineRule="auto"/>
        <w:ind w:firstLine="0"/>
        <w:rPr>
          <w:rFonts w:cstheme="minorHAnsi"/>
          <w:sz w:val="20"/>
          <w:szCs w:val="20"/>
          <w:lang w:val="es-ES"/>
        </w:rPr>
      </w:pPr>
    </w:p>
    <w:p w14:paraId="7AFF7771" w14:textId="77777777" w:rsidR="002C64AE" w:rsidRDefault="002C64AE" w:rsidP="00366D9E">
      <w:pPr>
        <w:spacing w:line="240" w:lineRule="auto"/>
        <w:ind w:firstLine="0"/>
        <w:rPr>
          <w:rFonts w:cstheme="minorHAnsi"/>
          <w:sz w:val="20"/>
          <w:szCs w:val="20"/>
          <w:lang w:val="es-ES"/>
        </w:rPr>
      </w:pPr>
    </w:p>
    <w:p w14:paraId="0D144A6C" w14:textId="77777777" w:rsidR="002C64AE" w:rsidRDefault="002C64AE" w:rsidP="00366D9E">
      <w:pPr>
        <w:spacing w:line="240" w:lineRule="auto"/>
        <w:ind w:firstLine="0"/>
        <w:rPr>
          <w:rFonts w:cstheme="minorHAnsi"/>
          <w:sz w:val="20"/>
          <w:szCs w:val="20"/>
          <w:lang w:val="es-ES"/>
        </w:rPr>
      </w:pPr>
    </w:p>
    <w:p w14:paraId="06776C81" w14:textId="77777777" w:rsidR="002C64AE" w:rsidRDefault="002C64AE" w:rsidP="00366D9E">
      <w:pPr>
        <w:spacing w:line="240" w:lineRule="auto"/>
        <w:ind w:firstLine="0"/>
        <w:rPr>
          <w:rFonts w:cstheme="minorHAnsi"/>
          <w:sz w:val="20"/>
          <w:szCs w:val="20"/>
          <w:lang w:val="es-ES"/>
        </w:rPr>
      </w:pPr>
    </w:p>
    <w:p w14:paraId="30D45877" w14:textId="77777777" w:rsidR="002C64AE" w:rsidRDefault="002C64AE" w:rsidP="00366D9E">
      <w:pPr>
        <w:spacing w:line="240" w:lineRule="auto"/>
        <w:ind w:firstLine="0"/>
        <w:rPr>
          <w:rFonts w:cstheme="minorHAnsi"/>
          <w:sz w:val="20"/>
          <w:szCs w:val="20"/>
          <w:lang w:val="es-ES"/>
        </w:rPr>
      </w:pPr>
    </w:p>
    <w:p w14:paraId="454AE172" w14:textId="77777777" w:rsidR="002C64AE" w:rsidRDefault="002C64AE" w:rsidP="00366D9E">
      <w:pPr>
        <w:spacing w:line="240" w:lineRule="auto"/>
        <w:ind w:firstLine="0"/>
        <w:rPr>
          <w:rFonts w:cstheme="minorHAnsi"/>
          <w:sz w:val="20"/>
          <w:szCs w:val="20"/>
          <w:lang w:val="es-ES"/>
        </w:rPr>
      </w:pPr>
    </w:p>
    <w:p w14:paraId="048A46B1" w14:textId="77777777" w:rsidR="007F48DB" w:rsidRDefault="007F48DB" w:rsidP="00366D9E">
      <w:pPr>
        <w:spacing w:line="240" w:lineRule="auto"/>
        <w:ind w:firstLine="0"/>
        <w:rPr>
          <w:rFonts w:cstheme="minorHAnsi"/>
          <w:sz w:val="20"/>
          <w:szCs w:val="20"/>
          <w:lang w:val="es-ES"/>
        </w:rPr>
      </w:pPr>
    </w:p>
    <w:p w14:paraId="2D07F8FB" w14:textId="77777777" w:rsidR="007F48DB" w:rsidRDefault="007F48DB" w:rsidP="00366D9E">
      <w:pPr>
        <w:spacing w:line="240" w:lineRule="auto"/>
        <w:ind w:firstLine="0"/>
        <w:rPr>
          <w:rFonts w:cstheme="minorHAnsi"/>
          <w:sz w:val="20"/>
          <w:szCs w:val="20"/>
          <w:lang w:val="es-ES"/>
        </w:rPr>
      </w:pPr>
    </w:p>
    <w:p w14:paraId="3DD43CF5" w14:textId="77777777" w:rsidR="007F48DB" w:rsidRDefault="007F48DB" w:rsidP="00366D9E">
      <w:pPr>
        <w:spacing w:line="240" w:lineRule="auto"/>
        <w:ind w:firstLine="0"/>
        <w:rPr>
          <w:rFonts w:cstheme="minorHAnsi"/>
          <w:sz w:val="20"/>
          <w:szCs w:val="20"/>
          <w:lang w:val="es-ES"/>
        </w:rPr>
      </w:pPr>
    </w:p>
    <w:p w14:paraId="537F7B91" w14:textId="01850AA8" w:rsidR="008A4F4F" w:rsidRPr="001B0903" w:rsidRDefault="00A82684" w:rsidP="00366D9E">
      <w:pPr>
        <w:spacing w:line="240" w:lineRule="auto"/>
        <w:ind w:firstLine="0"/>
        <w:rPr>
          <w:rFonts w:cstheme="minorHAnsi"/>
          <w:sz w:val="20"/>
          <w:szCs w:val="20"/>
          <w:lang w:val="es-ES"/>
        </w:rPr>
      </w:pPr>
      <w:r>
        <w:rPr>
          <w:rFonts w:cstheme="minorHAnsi"/>
          <w:sz w:val="20"/>
          <w:szCs w:val="20"/>
          <w:lang w:val="es-ES"/>
        </w:rPr>
        <w:t xml:space="preserve"> </w:t>
      </w:r>
    </w:p>
    <w:p w14:paraId="73022E6E" w14:textId="38FFABEC" w:rsidR="00A82684" w:rsidRDefault="00A82684" w:rsidP="00E34484">
      <w:pPr>
        <w:pStyle w:val="Heading1"/>
        <w:jc w:val="left"/>
        <w:rPr>
          <w:lang w:val="es-ES"/>
        </w:rPr>
      </w:pPr>
      <w:bookmarkStart w:id="28" w:name="_Toc177028025"/>
      <w:bookmarkStart w:id="29" w:name="_Toc177028187"/>
      <w:r w:rsidRPr="00E34484">
        <w:rPr>
          <w:color w:val="4472C4" w:themeColor="accent1"/>
          <w:lang w:val="es-ES"/>
        </w:rPr>
        <w:lastRenderedPageBreak/>
        <w:t>Fase III. Agregación por componentes</w:t>
      </w:r>
      <w:bookmarkEnd w:id="28"/>
      <w:bookmarkEnd w:id="29"/>
    </w:p>
    <w:p w14:paraId="6A8082AA" w14:textId="77777777" w:rsidR="00921B1A" w:rsidRDefault="00921B1A" w:rsidP="00366D9E">
      <w:pPr>
        <w:pStyle w:val="CaptionCallout"/>
        <w:spacing w:line="240" w:lineRule="auto"/>
        <w:rPr>
          <w:color w:val="2E74B5" w:themeColor="accent5" w:themeShade="BF"/>
          <w:sz w:val="24"/>
          <w:szCs w:val="24"/>
          <w:lang w:val="es-ES"/>
        </w:rPr>
      </w:pPr>
    </w:p>
    <w:p w14:paraId="2FC8165F" w14:textId="77777777" w:rsidR="00A82684" w:rsidRPr="00C906DB" w:rsidRDefault="00A82684" w:rsidP="00366D9E">
      <w:pPr>
        <w:pStyle w:val="NoIndent"/>
        <w:spacing w:line="240" w:lineRule="auto"/>
        <w:rPr>
          <w:b/>
          <w:bCs/>
          <w:sz w:val="20"/>
          <w:szCs w:val="20"/>
          <w:lang w:val="es-ES"/>
        </w:rPr>
      </w:pPr>
      <w:r w:rsidRPr="00C906DB">
        <w:rPr>
          <w:b/>
          <w:bCs/>
          <w:sz w:val="20"/>
          <w:szCs w:val="20"/>
          <w:lang w:val="es-ES"/>
        </w:rPr>
        <w:t xml:space="preserve">Anexo: </w:t>
      </w:r>
    </w:p>
    <w:p w14:paraId="2A0F03DE" w14:textId="6188D226" w:rsidR="00A82684" w:rsidRPr="00C906DB" w:rsidRDefault="00A82684" w:rsidP="00366D9E">
      <w:pPr>
        <w:pStyle w:val="NoIndent"/>
        <w:numPr>
          <w:ilvl w:val="0"/>
          <w:numId w:val="3"/>
        </w:numPr>
        <w:spacing w:line="240" w:lineRule="auto"/>
        <w:rPr>
          <w:sz w:val="20"/>
          <w:szCs w:val="20"/>
          <w:lang w:val="es-ES"/>
        </w:rPr>
      </w:pPr>
      <w:r w:rsidRPr="00C906DB">
        <w:rPr>
          <w:rFonts w:cstheme="minorHAnsi"/>
          <w:sz w:val="20"/>
          <w:szCs w:val="20"/>
          <w:lang w:val="es-ES"/>
        </w:rPr>
        <w:t>02_componentes_</w:t>
      </w:r>
      <w:proofErr w:type="gramStart"/>
      <w:r w:rsidRPr="00C906DB">
        <w:rPr>
          <w:rFonts w:cstheme="minorHAnsi"/>
          <w:sz w:val="20"/>
          <w:szCs w:val="20"/>
          <w:lang w:val="es-ES"/>
        </w:rPr>
        <w:t>agregacion.ipynb</w:t>
      </w:r>
      <w:proofErr w:type="gramEnd"/>
    </w:p>
    <w:p w14:paraId="1D142ED2" w14:textId="428DF859" w:rsidR="00A82684" w:rsidRPr="00C906DB" w:rsidRDefault="00A82684" w:rsidP="00366D9E">
      <w:pPr>
        <w:pStyle w:val="NoIndent"/>
        <w:numPr>
          <w:ilvl w:val="0"/>
          <w:numId w:val="3"/>
        </w:numPr>
        <w:spacing w:line="240" w:lineRule="auto"/>
        <w:rPr>
          <w:sz w:val="20"/>
          <w:szCs w:val="20"/>
          <w:lang w:val="es-ES"/>
        </w:rPr>
      </w:pPr>
      <w:r w:rsidRPr="00C906DB">
        <w:rPr>
          <w:rFonts w:cstheme="minorHAnsi"/>
          <w:sz w:val="20"/>
          <w:szCs w:val="20"/>
          <w:lang w:val="es-ES"/>
        </w:rPr>
        <w:t>02_componentes_agregacion.html</w:t>
      </w:r>
    </w:p>
    <w:p w14:paraId="3EBF93EB" w14:textId="77777777" w:rsidR="00702AA6" w:rsidRPr="001C071A" w:rsidRDefault="00702AA6" w:rsidP="00366D9E">
      <w:pPr>
        <w:pStyle w:val="NoIndent"/>
        <w:spacing w:line="240" w:lineRule="auto"/>
        <w:ind w:left="720"/>
        <w:rPr>
          <w:sz w:val="20"/>
          <w:szCs w:val="20"/>
          <w:lang w:val="es-ES"/>
        </w:rPr>
      </w:pPr>
    </w:p>
    <w:p w14:paraId="52CBCA94" w14:textId="1F9DA1F6" w:rsidR="00702AA6" w:rsidRDefault="00702AA6" w:rsidP="00366D9E">
      <w:pPr>
        <w:spacing w:line="240" w:lineRule="auto"/>
        <w:ind w:firstLine="0"/>
        <w:rPr>
          <w:rFonts w:cstheme="minorHAnsi"/>
          <w:sz w:val="20"/>
          <w:szCs w:val="20"/>
          <w:lang w:val="es-ES"/>
        </w:rPr>
      </w:pPr>
      <w:r w:rsidRPr="00702AA6">
        <w:rPr>
          <w:rFonts w:cstheme="minorHAnsi"/>
          <w:sz w:val="20"/>
          <w:szCs w:val="20"/>
          <w:lang w:val="es-ES"/>
        </w:rPr>
        <w:t xml:space="preserve">El </w:t>
      </w:r>
      <w:r w:rsidRPr="00702AA6">
        <w:rPr>
          <w:rFonts w:cstheme="minorHAnsi"/>
          <w:b/>
          <w:bCs/>
          <w:sz w:val="20"/>
          <w:szCs w:val="20"/>
          <w:lang w:val="es-ES"/>
        </w:rPr>
        <w:t>Índice de Progreso Social EU-SPI</w:t>
      </w:r>
      <w:r w:rsidRPr="00702AA6">
        <w:rPr>
          <w:rFonts w:cstheme="minorHAnsi"/>
          <w:sz w:val="20"/>
          <w:szCs w:val="20"/>
          <w:lang w:val="es-ES"/>
        </w:rPr>
        <w:t xml:space="preserve"> utiliza un método de agregación híbrido para combinar los datos de diferentes dimensiones y componentes. Este método incluye:</w:t>
      </w:r>
    </w:p>
    <w:p w14:paraId="1DF3A52C" w14:textId="77777777" w:rsidR="00702AA6" w:rsidRPr="00702AA6" w:rsidRDefault="00702AA6" w:rsidP="00366D9E">
      <w:pPr>
        <w:spacing w:line="240" w:lineRule="auto"/>
        <w:ind w:firstLine="0"/>
        <w:rPr>
          <w:rFonts w:cstheme="minorHAnsi"/>
          <w:sz w:val="20"/>
          <w:szCs w:val="20"/>
          <w:lang w:val="es-ES"/>
        </w:rPr>
      </w:pPr>
    </w:p>
    <w:p w14:paraId="6F27778A" w14:textId="3F2928A0" w:rsidR="00702AA6" w:rsidRPr="00702AA6" w:rsidRDefault="00702AA6" w:rsidP="00366D9E">
      <w:pPr>
        <w:numPr>
          <w:ilvl w:val="0"/>
          <w:numId w:val="10"/>
        </w:numPr>
        <w:spacing w:line="240" w:lineRule="auto"/>
        <w:rPr>
          <w:rFonts w:cstheme="minorHAnsi"/>
          <w:sz w:val="20"/>
          <w:szCs w:val="20"/>
          <w:lang w:val="es-ES"/>
        </w:rPr>
      </w:pPr>
      <w:r w:rsidRPr="00702AA6">
        <w:rPr>
          <w:rFonts w:cstheme="minorHAnsi"/>
          <w:b/>
          <w:bCs/>
          <w:sz w:val="20"/>
          <w:szCs w:val="20"/>
          <w:lang w:val="es-ES"/>
        </w:rPr>
        <w:t>Media aritmética simple</w:t>
      </w:r>
      <w:r w:rsidRPr="00702AA6">
        <w:rPr>
          <w:rFonts w:cstheme="minorHAnsi"/>
          <w:sz w:val="20"/>
          <w:szCs w:val="20"/>
          <w:lang w:val="es-ES"/>
        </w:rPr>
        <w:t xml:space="preserve"> para agregar los</w:t>
      </w:r>
      <w:r>
        <w:rPr>
          <w:rFonts w:cstheme="minorHAnsi"/>
          <w:sz w:val="20"/>
          <w:szCs w:val="20"/>
          <w:lang w:val="es-ES"/>
        </w:rPr>
        <w:t xml:space="preserve"> indicadores en</w:t>
      </w:r>
      <w:r w:rsidRPr="00702AA6">
        <w:rPr>
          <w:rFonts w:cstheme="minorHAnsi"/>
          <w:sz w:val="20"/>
          <w:szCs w:val="20"/>
          <w:lang w:val="es-ES"/>
        </w:rPr>
        <w:t xml:space="preserve"> componentes</w:t>
      </w:r>
      <w:r>
        <w:rPr>
          <w:rFonts w:cstheme="minorHAnsi"/>
          <w:sz w:val="20"/>
          <w:szCs w:val="20"/>
          <w:lang w:val="es-ES"/>
        </w:rPr>
        <w:t>.</w:t>
      </w:r>
    </w:p>
    <w:p w14:paraId="5821D8ED" w14:textId="3A3735C6" w:rsidR="00702AA6" w:rsidRDefault="00702AA6" w:rsidP="00366D9E">
      <w:pPr>
        <w:numPr>
          <w:ilvl w:val="0"/>
          <w:numId w:val="10"/>
        </w:numPr>
        <w:spacing w:line="240" w:lineRule="auto"/>
        <w:rPr>
          <w:rFonts w:cstheme="minorHAnsi"/>
          <w:sz w:val="20"/>
          <w:szCs w:val="20"/>
          <w:lang w:val="es-ES"/>
        </w:rPr>
      </w:pPr>
      <w:r w:rsidRPr="00702AA6">
        <w:rPr>
          <w:rFonts w:cstheme="minorHAnsi"/>
          <w:b/>
          <w:bCs/>
          <w:sz w:val="20"/>
          <w:szCs w:val="20"/>
          <w:lang w:val="es-ES"/>
        </w:rPr>
        <w:t>Media generalizada</w:t>
      </w:r>
      <w:r w:rsidRPr="00702AA6">
        <w:rPr>
          <w:rFonts w:cstheme="minorHAnsi"/>
          <w:sz w:val="20"/>
          <w:szCs w:val="20"/>
          <w:lang w:val="es-ES"/>
        </w:rPr>
        <w:t xml:space="preserve"> para combinar </w:t>
      </w:r>
      <w:r>
        <w:rPr>
          <w:rFonts w:cstheme="minorHAnsi"/>
          <w:sz w:val="20"/>
          <w:szCs w:val="20"/>
          <w:lang w:val="es-ES"/>
        </w:rPr>
        <w:t>los componentes en dimensiones y</w:t>
      </w:r>
      <w:r w:rsidR="00C906DB">
        <w:rPr>
          <w:rFonts w:cstheme="minorHAnsi"/>
          <w:sz w:val="20"/>
          <w:szCs w:val="20"/>
          <w:lang w:val="es-ES"/>
        </w:rPr>
        <w:t>,</w:t>
      </w:r>
      <w:r>
        <w:rPr>
          <w:rFonts w:cstheme="minorHAnsi"/>
          <w:sz w:val="20"/>
          <w:szCs w:val="20"/>
          <w:lang w:val="es-ES"/>
        </w:rPr>
        <w:t xml:space="preserve"> finalmente</w:t>
      </w:r>
      <w:r w:rsidR="00C906DB">
        <w:rPr>
          <w:rFonts w:cstheme="minorHAnsi"/>
          <w:sz w:val="20"/>
          <w:szCs w:val="20"/>
          <w:lang w:val="es-ES"/>
        </w:rPr>
        <w:t>,</w:t>
      </w:r>
      <w:r>
        <w:rPr>
          <w:rFonts w:cstheme="minorHAnsi"/>
          <w:sz w:val="20"/>
          <w:szCs w:val="20"/>
          <w:lang w:val="es-ES"/>
        </w:rPr>
        <w:t xml:space="preserve"> estas en el </w:t>
      </w:r>
      <w:r w:rsidRPr="00702AA6">
        <w:rPr>
          <w:rFonts w:cstheme="minorHAnsi"/>
          <w:sz w:val="20"/>
          <w:szCs w:val="20"/>
          <w:lang w:val="es-ES"/>
        </w:rPr>
        <w:t>índice final.</w:t>
      </w:r>
    </w:p>
    <w:p w14:paraId="51572A65" w14:textId="77777777" w:rsidR="00702AA6" w:rsidRPr="00702AA6" w:rsidRDefault="00702AA6" w:rsidP="00366D9E">
      <w:pPr>
        <w:spacing w:line="240" w:lineRule="auto"/>
        <w:ind w:left="720" w:firstLine="0"/>
        <w:rPr>
          <w:rFonts w:cstheme="minorHAnsi"/>
          <w:sz w:val="20"/>
          <w:szCs w:val="20"/>
          <w:lang w:val="es-ES"/>
        </w:rPr>
      </w:pPr>
    </w:p>
    <w:p w14:paraId="46396EAC" w14:textId="2E2E0B9F" w:rsidR="00921B1A" w:rsidRDefault="00C906DB" w:rsidP="00366D9E">
      <w:pPr>
        <w:spacing w:line="240" w:lineRule="auto"/>
        <w:ind w:firstLine="0"/>
        <w:rPr>
          <w:rFonts w:cstheme="minorHAnsi"/>
          <w:sz w:val="20"/>
          <w:szCs w:val="20"/>
          <w:lang w:val="es-ES"/>
        </w:rPr>
      </w:pPr>
      <w:r w:rsidRPr="00C906DB">
        <w:rPr>
          <w:rFonts w:cstheme="minorHAnsi"/>
          <w:sz w:val="20"/>
          <w:szCs w:val="20"/>
          <w:lang w:val="es-ES"/>
        </w:rPr>
        <w:t>En ambos casos, la Comisión Europea opta por no utilizar ponderaciones</w:t>
      </w:r>
      <w:r w:rsidR="00D53AA4">
        <w:rPr>
          <w:rFonts w:cstheme="minorHAnsi"/>
          <w:sz w:val="20"/>
          <w:szCs w:val="20"/>
          <w:lang w:val="es-ES"/>
        </w:rPr>
        <w:t xml:space="preserve"> (edición 2020)</w:t>
      </w:r>
      <w:r w:rsidR="00572A81">
        <w:rPr>
          <w:rStyle w:val="FootnoteReference"/>
          <w:rFonts w:cstheme="minorHAnsi"/>
          <w:sz w:val="20"/>
          <w:szCs w:val="20"/>
          <w:lang w:val="es-ES"/>
        </w:rPr>
        <w:footnoteReference w:id="6"/>
      </w:r>
      <w:r w:rsidRPr="00C906DB">
        <w:rPr>
          <w:rFonts w:cstheme="minorHAnsi"/>
          <w:sz w:val="20"/>
          <w:szCs w:val="20"/>
          <w:lang w:val="es-ES"/>
        </w:rPr>
        <w:t>, lo que significa que cada indicador tiene el mismo peso en el cálculo del índice. Este enfoque busca reflejar de manera equitativa el desempeño en todas las dimensiones del progreso social, alineando el índice con el objetivo de medir un progreso social equilibrado y uniforme.</w:t>
      </w:r>
    </w:p>
    <w:p w14:paraId="51764592" w14:textId="77777777" w:rsidR="00921B1A" w:rsidRDefault="00921B1A" w:rsidP="00366D9E">
      <w:pPr>
        <w:spacing w:line="240" w:lineRule="auto"/>
        <w:ind w:firstLine="0"/>
        <w:rPr>
          <w:rFonts w:cstheme="minorHAnsi"/>
          <w:sz w:val="20"/>
          <w:szCs w:val="20"/>
          <w:lang w:val="es-ES"/>
        </w:rPr>
      </w:pPr>
    </w:p>
    <w:p w14:paraId="0C4EA7AA" w14:textId="77777777" w:rsidR="00C906DB" w:rsidRPr="00C906DB" w:rsidRDefault="00C906DB" w:rsidP="00366D9E">
      <w:pPr>
        <w:spacing w:line="240" w:lineRule="auto"/>
        <w:ind w:firstLine="0"/>
        <w:rPr>
          <w:rFonts w:cstheme="minorHAnsi"/>
          <w:sz w:val="20"/>
          <w:szCs w:val="20"/>
          <w:lang w:val="es-ES"/>
        </w:rPr>
      </w:pPr>
    </w:p>
    <w:p w14:paraId="6A64D68D" w14:textId="4157D2D9" w:rsidR="00702AA6" w:rsidRPr="00702AA6" w:rsidRDefault="00921B1A" w:rsidP="00921B1A">
      <w:pPr>
        <w:pStyle w:val="Heading2"/>
        <w:rPr>
          <w:rFonts w:cstheme="minorHAnsi"/>
          <w:b w:val="0"/>
          <w:bCs w:val="0"/>
          <w:sz w:val="20"/>
          <w:szCs w:val="20"/>
        </w:rPr>
      </w:pPr>
      <w:bookmarkStart w:id="30" w:name="_Toc177028026"/>
      <w:bookmarkStart w:id="31" w:name="_Toc177028188"/>
      <w:r>
        <w:t xml:space="preserve">III.1. </w:t>
      </w:r>
      <w:proofErr w:type="spellStart"/>
      <w:r w:rsidR="00702AA6" w:rsidRPr="00702AA6">
        <w:t>Principales</w:t>
      </w:r>
      <w:proofErr w:type="spellEnd"/>
      <w:r w:rsidR="00702AA6" w:rsidRPr="00702AA6">
        <w:t xml:space="preserve"> </w:t>
      </w:r>
      <w:proofErr w:type="spellStart"/>
      <w:r w:rsidR="00702AA6" w:rsidRPr="00702AA6">
        <w:t>Consideraciones</w:t>
      </w:r>
      <w:proofErr w:type="spellEnd"/>
      <w:r w:rsidR="00702AA6" w:rsidRPr="00702AA6">
        <w:t>:</w:t>
      </w:r>
      <w:bookmarkEnd w:id="30"/>
      <w:bookmarkEnd w:id="31"/>
    </w:p>
    <w:p w14:paraId="14BB5DE0" w14:textId="77777777" w:rsidR="00702AA6" w:rsidRDefault="00702AA6" w:rsidP="00366D9E">
      <w:pPr>
        <w:numPr>
          <w:ilvl w:val="0"/>
          <w:numId w:val="11"/>
        </w:numPr>
        <w:spacing w:line="240" w:lineRule="auto"/>
        <w:rPr>
          <w:rFonts w:cstheme="minorHAnsi"/>
          <w:sz w:val="20"/>
          <w:szCs w:val="20"/>
          <w:lang w:val="es-ES"/>
        </w:rPr>
      </w:pPr>
      <w:r w:rsidRPr="00702AA6">
        <w:rPr>
          <w:rFonts w:cstheme="minorHAnsi"/>
          <w:b/>
          <w:bCs/>
          <w:sz w:val="20"/>
          <w:szCs w:val="20"/>
          <w:lang w:val="es-ES"/>
        </w:rPr>
        <w:t>Desempeño Equitativo</w:t>
      </w:r>
      <w:r w:rsidRPr="00702AA6">
        <w:rPr>
          <w:rFonts w:cstheme="minorHAnsi"/>
          <w:sz w:val="20"/>
          <w:szCs w:val="20"/>
          <w:lang w:val="es-ES"/>
        </w:rPr>
        <w:t>: Se considera que una región proporciona un nivel adecuado de progreso social solo si obtiene un desempeño satisfactorio en todas las dimensiones evaluadas. Esto asegura que el índice no favorezca a regiones que solo destacan en ciertas áreas mientras descuida otras.</w:t>
      </w:r>
    </w:p>
    <w:p w14:paraId="2B290608" w14:textId="77777777" w:rsidR="00702AA6" w:rsidRPr="00702AA6" w:rsidRDefault="00702AA6" w:rsidP="00366D9E">
      <w:pPr>
        <w:spacing w:line="240" w:lineRule="auto"/>
        <w:ind w:left="720" w:firstLine="0"/>
        <w:rPr>
          <w:rFonts w:cstheme="minorHAnsi"/>
          <w:sz w:val="20"/>
          <w:szCs w:val="20"/>
          <w:lang w:val="es-ES"/>
        </w:rPr>
      </w:pPr>
    </w:p>
    <w:p w14:paraId="4A95E2F7" w14:textId="607E7764" w:rsidR="002C64AE" w:rsidRPr="002C64AE" w:rsidRDefault="00702AA6" w:rsidP="00541B06">
      <w:pPr>
        <w:numPr>
          <w:ilvl w:val="0"/>
          <w:numId w:val="11"/>
        </w:numPr>
        <w:spacing w:line="240" w:lineRule="auto"/>
        <w:rPr>
          <w:rFonts w:cstheme="minorHAnsi"/>
          <w:sz w:val="20"/>
          <w:szCs w:val="20"/>
          <w:lang w:val="es-ES"/>
        </w:rPr>
      </w:pPr>
      <w:r w:rsidRPr="002C64AE">
        <w:rPr>
          <w:rFonts w:cstheme="minorHAnsi"/>
          <w:b/>
          <w:bCs/>
          <w:sz w:val="20"/>
          <w:szCs w:val="20"/>
          <w:lang w:val="es-ES"/>
        </w:rPr>
        <w:t>Evitar Compensaciones</w:t>
      </w:r>
      <w:r w:rsidRPr="002C64AE">
        <w:rPr>
          <w:rFonts w:cstheme="minorHAnsi"/>
          <w:sz w:val="20"/>
          <w:szCs w:val="20"/>
          <w:lang w:val="es-ES"/>
        </w:rPr>
        <w:t>: Al no utilizar ponderaciones, se evita que un alto desempeño en una dimensión pueda compensar un bajo desempeño en otra. Sin ponderaciones, no hay riesgo de que una dimensión "menos importante" sea compensada por una "más importante", lo que podría ocurrir si se emplearan pesos. Este método garantiza que todas las dimensiones sean igualmente importantes en la evaluación del progreso social.</w:t>
      </w:r>
    </w:p>
    <w:p w14:paraId="357AFF03" w14:textId="77777777" w:rsidR="002C64AE" w:rsidRDefault="002C64AE" w:rsidP="002C64AE">
      <w:pPr>
        <w:spacing w:line="240" w:lineRule="auto"/>
        <w:ind w:left="720" w:firstLine="0"/>
        <w:rPr>
          <w:rFonts w:cstheme="minorHAnsi"/>
          <w:sz w:val="20"/>
          <w:szCs w:val="20"/>
          <w:lang w:val="es-ES"/>
        </w:rPr>
      </w:pPr>
    </w:p>
    <w:p w14:paraId="27BE9074" w14:textId="77777777" w:rsidR="00702AA6" w:rsidRPr="00702AA6" w:rsidRDefault="00702AA6" w:rsidP="00366D9E">
      <w:pPr>
        <w:spacing w:line="240" w:lineRule="auto"/>
        <w:ind w:firstLine="0"/>
        <w:rPr>
          <w:rFonts w:cstheme="minorHAnsi"/>
          <w:sz w:val="20"/>
          <w:szCs w:val="20"/>
          <w:lang w:val="es-ES"/>
        </w:rPr>
      </w:pPr>
    </w:p>
    <w:p w14:paraId="4A383808" w14:textId="5C0A3D6B" w:rsidR="00702AA6" w:rsidRDefault="00921B1A" w:rsidP="00921B1A">
      <w:pPr>
        <w:pStyle w:val="Heading2"/>
        <w:rPr>
          <w:rFonts w:cstheme="minorHAnsi"/>
          <w:b w:val="0"/>
          <w:bCs w:val="0"/>
          <w:sz w:val="20"/>
          <w:szCs w:val="20"/>
          <w:lang w:val="es-ES"/>
        </w:rPr>
      </w:pPr>
      <w:bookmarkStart w:id="32" w:name="_Toc177028027"/>
      <w:bookmarkStart w:id="33" w:name="_Toc177028189"/>
      <w:r>
        <w:rPr>
          <w:lang w:val="es-ES"/>
        </w:rPr>
        <w:t xml:space="preserve">III.2. </w:t>
      </w:r>
      <w:r w:rsidR="00C906DB">
        <w:rPr>
          <w:lang w:val="es-ES"/>
        </w:rPr>
        <w:t>Cálculo</w:t>
      </w:r>
      <w:r w:rsidR="00702AA6">
        <w:rPr>
          <w:lang w:val="es-ES"/>
        </w:rPr>
        <w:t xml:space="preserve"> de la Media Generalizada:</w:t>
      </w:r>
      <w:bookmarkEnd w:id="32"/>
      <w:bookmarkEnd w:id="33"/>
    </w:p>
    <w:p w14:paraId="550198C3" w14:textId="77777777" w:rsidR="00702AA6" w:rsidRPr="009D0F44" w:rsidRDefault="00702AA6" w:rsidP="00366D9E">
      <w:pPr>
        <w:spacing w:line="240" w:lineRule="auto"/>
        <w:ind w:firstLine="0"/>
        <w:rPr>
          <w:rFonts w:cstheme="minorHAnsi"/>
          <w:sz w:val="20"/>
          <w:szCs w:val="20"/>
          <w:lang w:val="es-ES"/>
        </w:rPr>
      </w:pPr>
      <w:r w:rsidRPr="009D0F44">
        <w:rPr>
          <w:rFonts w:cstheme="minorHAnsi"/>
          <w:sz w:val="20"/>
          <w:szCs w:val="20"/>
          <w:lang w:val="es-ES"/>
        </w:rPr>
        <w:t>El índice correspondiente a una región, denotado por</w:t>
      </w:r>
      <w:r w:rsidRPr="00C906DB">
        <w:rPr>
          <w:rFonts w:ascii="Times New Roman" w:hAnsi="Times New Roman" w:cs="Times New Roman"/>
          <w:i/>
          <w:iCs/>
          <w:sz w:val="20"/>
          <w:szCs w:val="20"/>
          <w:lang w:val="es-ES"/>
        </w:rPr>
        <w:t xml:space="preserve"> </w:t>
      </w:r>
      <w:proofErr w:type="spellStart"/>
      <w:r w:rsidRPr="00C906DB">
        <w:rPr>
          <w:rFonts w:ascii="Times New Roman" w:hAnsi="Times New Roman" w:cs="Times New Roman"/>
          <w:b/>
          <w:bCs/>
          <w:i/>
          <w:iCs/>
          <w:sz w:val="20"/>
          <w:szCs w:val="20"/>
          <w:lang w:val="es-ES"/>
        </w:rPr>
        <w:t>I</w:t>
      </w:r>
      <w:r w:rsidRPr="00C906DB">
        <w:rPr>
          <w:rFonts w:ascii="Times New Roman" w:hAnsi="Times New Roman" w:cs="Times New Roman"/>
          <w:b/>
          <w:bCs/>
          <w:i/>
          <w:iCs/>
          <w:sz w:val="20"/>
          <w:szCs w:val="20"/>
          <w:vertAlign w:val="subscript"/>
          <w:lang w:val="es-ES"/>
        </w:rPr>
        <w:t>j</w:t>
      </w:r>
      <w:proofErr w:type="spellEnd"/>
      <w:r w:rsidRPr="009D0F44">
        <w:rPr>
          <w:rFonts w:cstheme="minorHAnsi"/>
          <w:b/>
          <w:bCs/>
          <w:i/>
          <w:iCs/>
          <w:sz w:val="20"/>
          <w:szCs w:val="20"/>
          <w:lang w:val="es-ES"/>
        </w:rPr>
        <w:t xml:space="preserve"> </w:t>
      </w:r>
      <w:r w:rsidRPr="009D0F44">
        <w:rPr>
          <w:rFonts w:cstheme="minorHAnsi"/>
          <w:sz w:val="20"/>
          <w:szCs w:val="20"/>
          <w:lang w:val="es-ES"/>
        </w:rPr>
        <w:t xml:space="preserve">se calcula como la media generalizada no ponderada de orden </w:t>
      </w:r>
      <w:r w:rsidRPr="009D0F44">
        <w:rPr>
          <w:rFonts w:cstheme="minorHAnsi"/>
          <w:b/>
          <w:bCs/>
          <w:sz w:val="20"/>
          <w:szCs w:val="20"/>
        </w:rPr>
        <w:t>β</w:t>
      </w:r>
      <w:r w:rsidRPr="009D0F44">
        <w:rPr>
          <w:rFonts w:cstheme="minorHAnsi"/>
          <w:sz w:val="20"/>
          <w:szCs w:val="20"/>
          <w:lang w:val="es-ES"/>
        </w:rPr>
        <w:t xml:space="preserve"> de </w:t>
      </w:r>
      <w:r w:rsidRPr="009D0F44">
        <w:rPr>
          <w:rFonts w:cstheme="minorHAnsi"/>
          <w:b/>
          <w:bCs/>
          <w:sz w:val="20"/>
          <w:szCs w:val="20"/>
          <w:lang w:val="es-ES"/>
        </w:rPr>
        <w:t>q</w:t>
      </w:r>
      <w:r w:rsidRPr="009D0F44">
        <w:rPr>
          <w:rFonts w:cstheme="minorHAnsi"/>
          <w:b/>
          <w:bCs/>
          <w:i/>
          <w:iCs/>
          <w:sz w:val="20"/>
          <w:szCs w:val="20"/>
          <w:lang w:val="es-ES"/>
        </w:rPr>
        <w:t xml:space="preserve"> </w:t>
      </w:r>
      <w:r w:rsidRPr="009D0F44">
        <w:rPr>
          <w:rFonts w:cstheme="minorHAnsi"/>
          <w:sz w:val="20"/>
          <w:szCs w:val="20"/>
          <w:lang w:val="es-ES"/>
        </w:rPr>
        <w:t>indicadores, componentes o dimensiones</w:t>
      </w:r>
    </w:p>
    <w:p w14:paraId="12EF976D" w14:textId="77777777" w:rsidR="00702AA6" w:rsidRDefault="00702AA6" w:rsidP="00366D9E">
      <w:pPr>
        <w:spacing w:line="240" w:lineRule="auto"/>
        <w:ind w:firstLine="0"/>
        <w:rPr>
          <w:rFonts w:cstheme="minorHAnsi"/>
          <w:b/>
          <w:bCs/>
          <w:sz w:val="20"/>
          <w:szCs w:val="20"/>
          <w:lang w:val="es-ES"/>
        </w:rPr>
      </w:pPr>
    </w:p>
    <w:p w14:paraId="4B5431B7" w14:textId="78042526" w:rsidR="00702AA6" w:rsidRDefault="00702AA6" w:rsidP="00366D9E">
      <w:pPr>
        <w:spacing w:line="240" w:lineRule="auto"/>
        <w:ind w:firstLine="0"/>
        <w:rPr>
          <w:rFonts w:cstheme="minorHAnsi"/>
          <w:b/>
          <w:bCs/>
          <w:sz w:val="20"/>
          <w:szCs w:val="20"/>
          <w:lang w:val="es-ES"/>
        </w:rPr>
      </w:pPr>
      <w:r w:rsidRPr="009D0F44">
        <w:rPr>
          <w:rFonts w:cstheme="minorHAnsi"/>
          <w:noProof/>
          <w:sz w:val="20"/>
          <w:szCs w:val="20"/>
          <w:lang w:val="es-ES"/>
        </w:rPr>
        <w:drawing>
          <wp:inline distT="0" distB="0" distL="0" distR="0" wp14:anchorId="521223AE" wp14:editId="36D966AC">
            <wp:extent cx="3498574" cy="1303655"/>
            <wp:effectExtent l="0" t="0" r="6985" b="0"/>
            <wp:docPr id="388826707"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26707" name="Picture 1" descr="A math equations and formulas&#10;&#10;Description automatically generated with medium confidence"/>
                    <pic:cNvPicPr/>
                  </pic:nvPicPr>
                  <pic:blipFill>
                    <a:blip r:embed="rId12"/>
                    <a:stretch>
                      <a:fillRect/>
                    </a:stretch>
                  </pic:blipFill>
                  <pic:spPr>
                    <a:xfrm>
                      <a:off x="0" y="0"/>
                      <a:ext cx="3526196" cy="1313948"/>
                    </a:xfrm>
                    <a:prstGeom prst="rect">
                      <a:avLst/>
                    </a:prstGeom>
                  </pic:spPr>
                </pic:pic>
              </a:graphicData>
            </a:graphic>
          </wp:inline>
        </w:drawing>
      </w:r>
    </w:p>
    <w:p w14:paraId="13BCBBDD" w14:textId="77777777" w:rsidR="00702AA6" w:rsidRPr="00702AA6" w:rsidRDefault="00702AA6" w:rsidP="00366D9E">
      <w:pPr>
        <w:spacing w:line="240" w:lineRule="auto"/>
        <w:ind w:firstLine="0"/>
        <w:rPr>
          <w:rFonts w:cstheme="minorHAnsi"/>
          <w:b/>
          <w:bCs/>
          <w:sz w:val="20"/>
          <w:szCs w:val="20"/>
          <w:lang w:val="es-ES"/>
        </w:rPr>
      </w:pPr>
    </w:p>
    <w:p w14:paraId="057BA5B9" w14:textId="77777777" w:rsidR="00572A81" w:rsidRDefault="00572A81" w:rsidP="00366D9E">
      <w:pPr>
        <w:spacing w:line="240" w:lineRule="auto"/>
        <w:ind w:firstLine="0"/>
        <w:rPr>
          <w:rFonts w:cstheme="minorHAnsi"/>
          <w:sz w:val="20"/>
          <w:szCs w:val="20"/>
          <w:lang w:val="es-ES"/>
        </w:rPr>
      </w:pPr>
    </w:p>
    <w:p w14:paraId="6407AC09" w14:textId="080D68D7" w:rsidR="00702AA6" w:rsidRDefault="00702AA6" w:rsidP="00366D9E">
      <w:pPr>
        <w:spacing w:line="240" w:lineRule="auto"/>
        <w:ind w:firstLine="0"/>
        <w:rPr>
          <w:rFonts w:cstheme="minorHAnsi"/>
          <w:sz w:val="20"/>
          <w:szCs w:val="20"/>
          <w:lang w:val="es-ES"/>
        </w:rPr>
      </w:pPr>
      <w:r w:rsidRPr="009D0F44">
        <w:rPr>
          <w:rFonts w:cstheme="minorHAnsi"/>
          <w:sz w:val="20"/>
          <w:szCs w:val="20"/>
          <w:lang w:val="es-ES"/>
        </w:rPr>
        <w:lastRenderedPageBreak/>
        <w:t xml:space="preserve">En la ecuación, </w:t>
      </w:r>
      <w:r w:rsidRPr="00C906DB">
        <w:rPr>
          <w:rFonts w:cstheme="minorHAnsi"/>
          <w:b/>
          <w:bCs/>
          <w:sz w:val="20"/>
          <w:szCs w:val="20"/>
        </w:rPr>
        <w:t>β</w:t>
      </w:r>
      <w:r w:rsidRPr="009D0F44">
        <w:rPr>
          <w:rFonts w:cstheme="minorHAnsi"/>
          <w:sz w:val="20"/>
          <w:szCs w:val="20"/>
          <w:lang w:val="es-ES"/>
        </w:rPr>
        <w:t xml:space="preserve"> representa una constante que se puede establecer en diferentes niveles para ajustar el grado de </w:t>
      </w:r>
      <w:proofErr w:type="spellStart"/>
      <w:r w:rsidRPr="009D0F44">
        <w:rPr>
          <w:rFonts w:cstheme="minorHAnsi"/>
          <w:sz w:val="20"/>
          <w:szCs w:val="20"/>
          <w:lang w:val="es-ES"/>
        </w:rPr>
        <w:t>compensibilidad</w:t>
      </w:r>
      <w:proofErr w:type="spellEnd"/>
      <w:r w:rsidRPr="009D0F44">
        <w:rPr>
          <w:rFonts w:cstheme="minorHAnsi"/>
          <w:sz w:val="20"/>
          <w:szCs w:val="20"/>
          <w:lang w:val="es-ES"/>
        </w:rPr>
        <w:t xml:space="preserve"> entre los elementos en el índice. Cuando </w:t>
      </w:r>
      <w:r w:rsidRPr="009D0F44">
        <w:rPr>
          <w:rFonts w:cstheme="minorHAnsi"/>
          <w:b/>
          <w:bCs/>
          <w:sz w:val="20"/>
          <w:szCs w:val="20"/>
        </w:rPr>
        <w:t>β</w:t>
      </w:r>
      <w:r w:rsidRPr="009D0F44">
        <w:rPr>
          <w:rFonts w:cstheme="minorHAnsi"/>
          <w:b/>
          <w:bCs/>
          <w:sz w:val="20"/>
          <w:szCs w:val="20"/>
          <w:lang w:val="es-ES"/>
        </w:rPr>
        <w:t xml:space="preserve"> = 1</w:t>
      </w:r>
      <w:r w:rsidRPr="009D0F44">
        <w:rPr>
          <w:rFonts w:cstheme="minorHAnsi"/>
          <w:sz w:val="20"/>
          <w:szCs w:val="20"/>
          <w:lang w:val="es-ES"/>
        </w:rPr>
        <w:t xml:space="preserve">, la media generalizada es igual a la media aritmética y la compensación entre categorías es perfecta. Para </w:t>
      </w:r>
      <w:r w:rsidRPr="009D0F44">
        <w:rPr>
          <w:rFonts w:cstheme="minorHAnsi"/>
          <w:b/>
          <w:bCs/>
          <w:sz w:val="20"/>
          <w:szCs w:val="20"/>
        </w:rPr>
        <w:t>β</w:t>
      </w:r>
      <w:r w:rsidRPr="009D0F44">
        <w:rPr>
          <w:rFonts w:cstheme="minorHAnsi"/>
          <w:b/>
          <w:bCs/>
          <w:sz w:val="20"/>
          <w:szCs w:val="20"/>
          <w:lang w:val="es-ES"/>
        </w:rPr>
        <w:t xml:space="preserve"> = 0</w:t>
      </w:r>
      <w:r w:rsidRPr="009D0F44">
        <w:rPr>
          <w:rFonts w:cstheme="minorHAnsi"/>
          <w:sz w:val="20"/>
          <w:szCs w:val="20"/>
          <w:lang w:val="es-ES"/>
        </w:rPr>
        <w:t xml:space="preserve">, la media generalizada es la media geométrica, por lo que una calificación muy baja en una categoría afecta severamente la calificación general. Para </w:t>
      </w:r>
      <w:r w:rsidRPr="009D0F44">
        <w:rPr>
          <w:rFonts w:cstheme="minorHAnsi"/>
          <w:b/>
          <w:bCs/>
          <w:sz w:val="20"/>
          <w:szCs w:val="20"/>
        </w:rPr>
        <w:t>β</w:t>
      </w:r>
      <w:r w:rsidRPr="009D0F44">
        <w:rPr>
          <w:rFonts w:cstheme="minorHAnsi"/>
          <w:b/>
          <w:bCs/>
          <w:sz w:val="20"/>
          <w:szCs w:val="20"/>
          <w:lang w:val="es-ES"/>
        </w:rPr>
        <w:t xml:space="preserve"> = 0.5</w:t>
      </w:r>
      <w:r w:rsidRPr="009D0F44">
        <w:rPr>
          <w:rFonts w:cstheme="minorHAnsi"/>
          <w:sz w:val="20"/>
          <w:szCs w:val="20"/>
          <w:lang w:val="es-ES"/>
        </w:rPr>
        <w:t xml:space="preserve"> la agregación permite alguna compensación, pero no totalmente.</w:t>
      </w:r>
    </w:p>
    <w:p w14:paraId="155FC4EA" w14:textId="77777777" w:rsidR="00702AA6" w:rsidRPr="009D0F44" w:rsidRDefault="00702AA6" w:rsidP="00366D9E">
      <w:pPr>
        <w:spacing w:line="240" w:lineRule="auto"/>
        <w:ind w:firstLine="0"/>
        <w:rPr>
          <w:rFonts w:cstheme="minorHAnsi"/>
          <w:sz w:val="20"/>
          <w:szCs w:val="20"/>
          <w:lang w:val="es-ES"/>
        </w:rPr>
      </w:pPr>
    </w:p>
    <w:p w14:paraId="4E2B140A" w14:textId="5DA1DEBE" w:rsidR="00702AA6" w:rsidRPr="00702AA6" w:rsidRDefault="00702AA6" w:rsidP="00366D9E">
      <w:pPr>
        <w:pStyle w:val="ListParagraph"/>
        <w:numPr>
          <w:ilvl w:val="0"/>
          <w:numId w:val="5"/>
        </w:numPr>
        <w:spacing w:line="240" w:lineRule="auto"/>
        <w:rPr>
          <w:rFonts w:cstheme="minorHAnsi"/>
          <w:sz w:val="20"/>
          <w:szCs w:val="20"/>
          <w:lang w:val="es-ES"/>
        </w:rPr>
      </w:pPr>
      <w:r>
        <w:rPr>
          <w:rFonts w:cstheme="minorHAnsi"/>
          <w:b/>
          <w:bCs/>
          <w:sz w:val="20"/>
          <w:szCs w:val="20"/>
          <w:lang w:val="es-ES"/>
        </w:rPr>
        <w:t>Agregación de indicadores:</w:t>
      </w:r>
      <w:r w:rsidRPr="00702AA6">
        <w:rPr>
          <w:rFonts w:cstheme="minorHAnsi"/>
          <w:sz w:val="20"/>
          <w:szCs w:val="20"/>
          <w:lang w:val="es-ES"/>
        </w:rPr>
        <w:t xml:space="preserve"> </w:t>
      </w:r>
      <w:r w:rsidR="00C906DB">
        <w:rPr>
          <w:rFonts w:cstheme="minorHAnsi"/>
          <w:sz w:val="20"/>
          <w:szCs w:val="20"/>
          <w:lang w:val="es-ES"/>
        </w:rPr>
        <w:t>utiliza</w:t>
      </w:r>
      <w:r w:rsidRPr="00702AA6">
        <w:rPr>
          <w:rFonts w:cstheme="minorHAnsi"/>
          <w:sz w:val="20"/>
          <w:szCs w:val="20"/>
          <w:lang w:val="es-ES"/>
        </w:rPr>
        <w:t xml:space="preserve"> media aritmética simple (</w:t>
      </w:r>
      <w:r w:rsidRPr="00702AA6">
        <w:rPr>
          <w:rFonts w:cstheme="minorHAnsi"/>
          <w:sz w:val="20"/>
          <w:szCs w:val="20"/>
        </w:rPr>
        <w:t>β</w:t>
      </w:r>
      <w:r w:rsidRPr="00702AA6">
        <w:rPr>
          <w:rFonts w:cstheme="minorHAnsi"/>
          <w:sz w:val="20"/>
          <w:szCs w:val="20"/>
          <w:lang w:val="es-ES"/>
        </w:rPr>
        <w:t xml:space="preserve">=1) </w:t>
      </w:r>
    </w:p>
    <w:p w14:paraId="65ACB226" w14:textId="13D7B87C" w:rsidR="00702AA6" w:rsidRPr="00C906DB" w:rsidRDefault="00702AA6" w:rsidP="00366D9E">
      <w:pPr>
        <w:pStyle w:val="ListParagraph"/>
        <w:numPr>
          <w:ilvl w:val="0"/>
          <w:numId w:val="5"/>
        </w:numPr>
        <w:spacing w:line="240" w:lineRule="auto"/>
        <w:rPr>
          <w:rFonts w:cstheme="minorHAnsi"/>
          <w:i/>
          <w:iCs/>
          <w:sz w:val="20"/>
          <w:szCs w:val="20"/>
          <w:lang w:val="es-ES"/>
        </w:rPr>
      </w:pPr>
      <w:r>
        <w:rPr>
          <w:rFonts w:cstheme="minorHAnsi"/>
          <w:b/>
          <w:bCs/>
          <w:sz w:val="20"/>
          <w:szCs w:val="20"/>
          <w:lang w:val="es-ES"/>
        </w:rPr>
        <w:t>Agregación de componentes y dimensiones:</w:t>
      </w:r>
      <w:r w:rsidRPr="009D0F44">
        <w:rPr>
          <w:rFonts w:cstheme="minorHAnsi"/>
          <w:sz w:val="20"/>
          <w:szCs w:val="20"/>
          <w:lang w:val="es-ES"/>
        </w:rPr>
        <w:t xml:space="preserve"> </w:t>
      </w:r>
      <w:r w:rsidR="00C906DB">
        <w:rPr>
          <w:rFonts w:cstheme="minorHAnsi"/>
          <w:sz w:val="20"/>
          <w:szCs w:val="20"/>
          <w:lang w:val="es-ES"/>
        </w:rPr>
        <w:t>utiliza</w:t>
      </w:r>
      <w:r w:rsidRPr="009D0F44">
        <w:rPr>
          <w:rFonts w:cstheme="minorHAnsi"/>
          <w:sz w:val="20"/>
          <w:szCs w:val="20"/>
          <w:lang w:val="es-ES"/>
        </w:rPr>
        <w:t xml:space="preserve"> una media generalizada con un valor de </w:t>
      </w:r>
      <w:r w:rsidRPr="009D0F44">
        <w:rPr>
          <w:rFonts w:cstheme="minorHAnsi"/>
          <w:sz w:val="20"/>
          <w:szCs w:val="20"/>
        </w:rPr>
        <w:t>β</w:t>
      </w:r>
      <w:r w:rsidRPr="009D0F44">
        <w:rPr>
          <w:rFonts w:cstheme="minorHAnsi"/>
          <w:sz w:val="20"/>
          <w:szCs w:val="20"/>
          <w:lang w:val="es-ES"/>
        </w:rPr>
        <w:t xml:space="preserve"> = 0.5</w:t>
      </w:r>
      <w:r>
        <w:rPr>
          <w:rFonts w:cstheme="minorHAnsi"/>
          <w:sz w:val="20"/>
          <w:szCs w:val="20"/>
          <w:lang w:val="es-ES"/>
        </w:rPr>
        <w:t xml:space="preserve"> </w:t>
      </w:r>
      <w:r w:rsidRPr="009D0F44">
        <w:rPr>
          <w:rFonts w:cstheme="minorHAnsi"/>
          <w:sz w:val="20"/>
          <w:szCs w:val="20"/>
          <w:lang w:val="es-ES"/>
        </w:rPr>
        <w:t>(Media generalizada con compensación parcial)</w:t>
      </w:r>
    </w:p>
    <w:p w14:paraId="2EF56384" w14:textId="77777777" w:rsidR="00C906DB" w:rsidRPr="009D0F44" w:rsidRDefault="00C906DB" w:rsidP="00C906DB">
      <w:pPr>
        <w:pStyle w:val="ListParagraph"/>
        <w:spacing w:line="240" w:lineRule="auto"/>
        <w:ind w:left="770" w:firstLine="0"/>
        <w:rPr>
          <w:rFonts w:cstheme="minorHAnsi"/>
          <w:i/>
          <w:iCs/>
          <w:sz w:val="20"/>
          <w:szCs w:val="20"/>
          <w:lang w:val="es-ES"/>
        </w:rPr>
      </w:pPr>
    </w:p>
    <w:p w14:paraId="58CFAFB3" w14:textId="4881C5DA" w:rsidR="00702AA6" w:rsidRDefault="00702AA6" w:rsidP="00366D9E">
      <w:pPr>
        <w:spacing w:line="240" w:lineRule="auto"/>
        <w:ind w:firstLine="0"/>
        <w:rPr>
          <w:rFonts w:cstheme="minorHAnsi"/>
          <w:sz w:val="20"/>
          <w:szCs w:val="20"/>
          <w:lang w:val="es-ES"/>
        </w:rPr>
      </w:pPr>
      <w:r w:rsidRPr="009D0F44">
        <w:rPr>
          <w:rFonts w:cstheme="minorHAnsi"/>
          <w:sz w:val="20"/>
          <w:szCs w:val="20"/>
          <w:lang w:val="es-ES"/>
        </w:rPr>
        <w:t xml:space="preserve">La media generalizada entre componentes y dimensiones limita la capacidad de compensar un mal desempeño en un área con un buen desempeño en un área completamente diferente. </w:t>
      </w:r>
    </w:p>
    <w:p w14:paraId="00F4E678" w14:textId="77777777" w:rsidR="002C64AE" w:rsidRDefault="002C64AE" w:rsidP="00366D9E">
      <w:pPr>
        <w:spacing w:line="240" w:lineRule="auto"/>
        <w:ind w:firstLine="0"/>
        <w:rPr>
          <w:rFonts w:cstheme="minorHAnsi"/>
          <w:sz w:val="20"/>
          <w:szCs w:val="20"/>
          <w:lang w:val="es-ES"/>
        </w:rPr>
      </w:pPr>
    </w:p>
    <w:p w14:paraId="4B663F51" w14:textId="77777777" w:rsidR="00F26C57" w:rsidRDefault="00F26C57" w:rsidP="00366D9E">
      <w:pPr>
        <w:spacing w:line="240" w:lineRule="auto"/>
        <w:ind w:firstLine="0"/>
        <w:rPr>
          <w:rFonts w:cstheme="minorHAnsi"/>
          <w:sz w:val="20"/>
          <w:szCs w:val="20"/>
          <w:lang w:val="es-ES"/>
        </w:rPr>
      </w:pPr>
    </w:p>
    <w:p w14:paraId="0E3A236B" w14:textId="48F82B05" w:rsidR="00F26C57" w:rsidRDefault="00921B1A" w:rsidP="00921B1A">
      <w:pPr>
        <w:pStyle w:val="Heading2"/>
        <w:rPr>
          <w:rFonts w:cstheme="minorHAnsi"/>
          <w:b w:val="0"/>
          <w:bCs w:val="0"/>
          <w:sz w:val="20"/>
          <w:szCs w:val="20"/>
          <w:lang w:val="es-ES"/>
        </w:rPr>
      </w:pPr>
      <w:bookmarkStart w:id="34" w:name="_Toc177028028"/>
      <w:bookmarkStart w:id="35" w:name="_Toc177028190"/>
      <w:r>
        <w:rPr>
          <w:lang w:val="es-ES"/>
        </w:rPr>
        <w:t xml:space="preserve">III.3. </w:t>
      </w:r>
      <w:r w:rsidR="00F26C57">
        <w:rPr>
          <w:lang w:val="es-ES"/>
        </w:rPr>
        <w:t>Análisis de Componentes Principales:</w:t>
      </w:r>
      <w:bookmarkEnd w:id="34"/>
      <w:bookmarkEnd w:id="35"/>
    </w:p>
    <w:p w14:paraId="7E5E7923" w14:textId="2963E0A8" w:rsidR="00F26C57" w:rsidRDefault="00F26C57" w:rsidP="00366D9E">
      <w:pPr>
        <w:spacing w:line="240" w:lineRule="auto"/>
        <w:ind w:firstLine="0"/>
        <w:rPr>
          <w:rFonts w:cstheme="minorHAnsi"/>
          <w:sz w:val="20"/>
          <w:szCs w:val="20"/>
          <w:lang w:val="es-ES"/>
        </w:rPr>
      </w:pPr>
      <w:r w:rsidRPr="00F26C57">
        <w:rPr>
          <w:rFonts w:cstheme="minorHAnsi"/>
          <w:sz w:val="20"/>
          <w:szCs w:val="20"/>
          <w:lang w:val="es-ES"/>
        </w:rPr>
        <w:t>Antes de proceder con la agregación de los indicadores normalizados, es crucial eva</w:t>
      </w:r>
      <w:r w:rsidRPr="00C906DB">
        <w:rPr>
          <w:rFonts w:cstheme="minorHAnsi"/>
          <w:sz w:val="20"/>
          <w:szCs w:val="20"/>
          <w:lang w:val="es-ES"/>
        </w:rPr>
        <w:t xml:space="preserve">luar la consistencia interna </w:t>
      </w:r>
      <w:r w:rsidRPr="00F26C57">
        <w:rPr>
          <w:rFonts w:cstheme="minorHAnsi"/>
          <w:sz w:val="20"/>
          <w:szCs w:val="20"/>
          <w:lang w:val="es-ES"/>
        </w:rPr>
        <w:t>mediante u</w:t>
      </w:r>
      <w:r w:rsidRPr="00C906DB">
        <w:rPr>
          <w:rFonts w:cstheme="minorHAnsi"/>
          <w:sz w:val="20"/>
          <w:szCs w:val="20"/>
          <w:lang w:val="es-ES"/>
        </w:rPr>
        <w:t>n análisis de componentes principales (PCA).</w:t>
      </w:r>
      <w:r w:rsidRPr="00F26C57">
        <w:rPr>
          <w:rFonts w:cstheme="minorHAnsi"/>
          <w:sz w:val="20"/>
          <w:szCs w:val="20"/>
          <w:lang w:val="es-ES"/>
        </w:rPr>
        <w:t xml:space="preserve"> Este análisis permite verificar que los indicadores seleccionados sean robustos y significativos, asegurando que la agregación sea válida. Un alto grado de consistencia interna minimiza la </w:t>
      </w:r>
      <w:proofErr w:type="spellStart"/>
      <w:r w:rsidRPr="00F26C57">
        <w:rPr>
          <w:rFonts w:cstheme="minorHAnsi"/>
          <w:sz w:val="20"/>
          <w:szCs w:val="20"/>
          <w:lang w:val="es-ES"/>
        </w:rPr>
        <w:t>compensabilidad</w:t>
      </w:r>
      <w:proofErr w:type="spellEnd"/>
      <w:r w:rsidRPr="00F26C57">
        <w:rPr>
          <w:rFonts w:cstheme="minorHAnsi"/>
          <w:sz w:val="20"/>
          <w:szCs w:val="20"/>
          <w:lang w:val="es-ES"/>
        </w:rPr>
        <w:t xml:space="preserve"> entre los indicadores</w:t>
      </w:r>
      <w:r>
        <w:rPr>
          <w:rFonts w:cstheme="minorHAnsi"/>
          <w:sz w:val="20"/>
          <w:szCs w:val="20"/>
          <w:lang w:val="es-ES"/>
        </w:rPr>
        <w:t xml:space="preserve">. </w:t>
      </w:r>
    </w:p>
    <w:p w14:paraId="741B5F51" w14:textId="77777777" w:rsidR="00F26C57" w:rsidRPr="00F26C57" w:rsidRDefault="00F26C57" w:rsidP="00366D9E">
      <w:pPr>
        <w:spacing w:line="240" w:lineRule="auto"/>
        <w:ind w:firstLine="0"/>
        <w:rPr>
          <w:rFonts w:cstheme="minorHAnsi"/>
          <w:sz w:val="20"/>
          <w:szCs w:val="20"/>
          <w:lang w:val="es-ES"/>
        </w:rPr>
      </w:pPr>
    </w:p>
    <w:p w14:paraId="3E1247DB" w14:textId="77777777" w:rsidR="006620BC" w:rsidRDefault="00F26C57" w:rsidP="00366D9E">
      <w:pPr>
        <w:spacing w:line="240" w:lineRule="auto"/>
        <w:ind w:firstLine="0"/>
        <w:rPr>
          <w:rFonts w:cstheme="minorHAnsi"/>
          <w:sz w:val="20"/>
          <w:szCs w:val="20"/>
          <w:lang w:val="es-ES"/>
        </w:rPr>
      </w:pPr>
      <w:r w:rsidRPr="00F26C57">
        <w:rPr>
          <w:rFonts w:cstheme="minorHAnsi"/>
          <w:sz w:val="20"/>
          <w:szCs w:val="20"/>
          <w:lang w:val="es-ES"/>
        </w:rPr>
        <w:t>El PCA identifica el primer componente principal (PC1) como la combinación lineal de los indicadores que explica la mayor parte de la variabilidad en los datos. En este trabajo, los indicadores han sido seleccionados en función de sus cargas absolutas en el PC1, descartando aquellos que no superan un umbral específico. La elección de este umbral es subjetiva y, en este caso, se ha fijado en 0.4, lo que permite incluir indicadores con una contribución moderada a la variabilidad principal, asegurando una representación equilibrada y robusta en el índice compuesto.</w:t>
      </w:r>
      <w:r w:rsidR="006620BC">
        <w:rPr>
          <w:rFonts w:cstheme="minorHAnsi"/>
          <w:sz w:val="20"/>
          <w:szCs w:val="20"/>
          <w:lang w:val="es-ES"/>
        </w:rPr>
        <w:t xml:space="preserve"> </w:t>
      </w:r>
    </w:p>
    <w:p w14:paraId="77AE83A5" w14:textId="77777777" w:rsidR="006620BC" w:rsidRDefault="006620BC" w:rsidP="00366D9E">
      <w:pPr>
        <w:spacing w:line="240" w:lineRule="auto"/>
        <w:ind w:firstLine="0"/>
        <w:rPr>
          <w:rFonts w:cstheme="minorHAnsi"/>
          <w:sz w:val="20"/>
          <w:szCs w:val="20"/>
          <w:lang w:val="es-ES"/>
        </w:rPr>
      </w:pPr>
    </w:p>
    <w:p w14:paraId="2F5730D8" w14:textId="739164B9" w:rsidR="006620BC" w:rsidRDefault="006620BC" w:rsidP="00366D9E">
      <w:pPr>
        <w:spacing w:line="240" w:lineRule="auto"/>
        <w:ind w:firstLine="0"/>
        <w:rPr>
          <w:rFonts w:cstheme="minorHAnsi"/>
          <w:sz w:val="20"/>
          <w:szCs w:val="20"/>
          <w:lang w:val="es-ES"/>
        </w:rPr>
      </w:pPr>
      <w:r>
        <w:rPr>
          <w:rFonts w:cstheme="minorHAnsi"/>
          <w:sz w:val="20"/>
          <w:szCs w:val="20"/>
          <w:lang w:val="es-ES"/>
        </w:rPr>
        <w:t xml:space="preserve">Véase por ejemplo la </w:t>
      </w:r>
      <w:r>
        <w:rPr>
          <w:rFonts w:cstheme="minorHAnsi"/>
          <w:b/>
          <w:bCs/>
          <w:sz w:val="20"/>
          <w:szCs w:val="20"/>
          <w:lang w:val="es-ES"/>
        </w:rPr>
        <w:t>Figura 02.6</w:t>
      </w:r>
      <w:r>
        <w:rPr>
          <w:rFonts w:cstheme="minorHAnsi"/>
          <w:sz w:val="20"/>
          <w:szCs w:val="20"/>
          <w:lang w:val="es-ES"/>
        </w:rPr>
        <w:t>: tras analizar el compone</w:t>
      </w:r>
      <w:r w:rsidRPr="00572A81">
        <w:rPr>
          <w:rFonts w:cstheme="minorHAnsi"/>
          <w:sz w:val="20"/>
          <w:szCs w:val="20"/>
          <w:lang w:val="es-ES"/>
        </w:rPr>
        <w:t>nte “Safety” de</w:t>
      </w:r>
      <w:r>
        <w:rPr>
          <w:rFonts w:cstheme="minorHAnsi"/>
          <w:sz w:val="20"/>
          <w:szCs w:val="20"/>
          <w:lang w:val="es-ES"/>
        </w:rPr>
        <w:t xml:space="preserve">scartamos los indicadores “safety at </w:t>
      </w:r>
      <w:proofErr w:type="spellStart"/>
      <w:r>
        <w:rPr>
          <w:rFonts w:cstheme="minorHAnsi"/>
          <w:sz w:val="20"/>
          <w:szCs w:val="20"/>
          <w:lang w:val="es-ES"/>
        </w:rPr>
        <w:t>night</w:t>
      </w:r>
      <w:proofErr w:type="spellEnd"/>
      <w:r>
        <w:rPr>
          <w:rFonts w:cstheme="minorHAnsi"/>
          <w:sz w:val="20"/>
          <w:szCs w:val="20"/>
          <w:lang w:val="es-ES"/>
        </w:rPr>
        <w:t>” y “</w:t>
      </w:r>
      <w:proofErr w:type="spellStart"/>
      <w:r>
        <w:rPr>
          <w:rFonts w:cstheme="minorHAnsi"/>
          <w:sz w:val="20"/>
          <w:szCs w:val="20"/>
          <w:lang w:val="es-ES"/>
        </w:rPr>
        <w:t>traffic</w:t>
      </w:r>
      <w:proofErr w:type="spellEnd"/>
      <w:r>
        <w:rPr>
          <w:rFonts w:cstheme="minorHAnsi"/>
          <w:sz w:val="20"/>
          <w:szCs w:val="20"/>
          <w:lang w:val="es-ES"/>
        </w:rPr>
        <w:t xml:space="preserve"> </w:t>
      </w:r>
      <w:proofErr w:type="spellStart"/>
      <w:r>
        <w:rPr>
          <w:rFonts w:cstheme="minorHAnsi"/>
          <w:sz w:val="20"/>
          <w:szCs w:val="20"/>
          <w:lang w:val="es-ES"/>
        </w:rPr>
        <w:t>deaths</w:t>
      </w:r>
      <w:proofErr w:type="spellEnd"/>
      <w:r>
        <w:rPr>
          <w:rFonts w:cstheme="minorHAnsi"/>
          <w:sz w:val="20"/>
          <w:szCs w:val="20"/>
          <w:lang w:val="es-ES"/>
        </w:rPr>
        <w:t>” por tener cargas absolutas inferiores a nuestro umbral.</w:t>
      </w:r>
    </w:p>
    <w:p w14:paraId="2A48B898" w14:textId="77777777" w:rsidR="002C64AE" w:rsidRDefault="002C64AE" w:rsidP="00366D9E">
      <w:pPr>
        <w:spacing w:line="240" w:lineRule="auto"/>
        <w:ind w:firstLine="0"/>
        <w:rPr>
          <w:rFonts w:cstheme="minorHAnsi"/>
          <w:sz w:val="20"/>
          <w:szCs w:val="20"/>
          <w:lang w:val="es-ES"/>
        </w:rPr>
      </w:pPr>
    </w:p>
    <w:p w14:paraId="1A1F4CA5" w14:textId="77777777" w:rsidR="006620BC" w:rsidRDefault="006620BC" w:rsidP="00366D9E">
      <w:pPr>
        <w:spacing w:line="240" w:lineRule="auto"/>
        <w:ind w:firstLine="0"/>
        <w:rPr>
          <w:rFonts w:cstheme="minorHAnsi"/>
          <w:sz w:val="20"/>
          <w:szCs w:val="20"/>
          <w:lang w:val="es-ES"/>
        </w:rPr>
      </w:pPr>
    </w:p>
    <w:p w14:paraId="1F846377" w14:textId="7AECD2CF" w:rsidR="00F26C57" w:rsidRDefault="00921B1A" w:rsidP="00921B1A">
      <w:pPr>
        <w:pStyle w:val="Heading2"/>
        <w:rPr>
          <w:rFonts w:cstheme="minorHAnsi"/>
          <w:b w:val="0"/>
          <w:bCs w:val="0"/>
          <w:sz w:val="20"/>
          <w:szCs w:val="20"/>
          <w:lang w:val="es-ES"/>
        </w:rPr>
      </w:pPr>
      <w:bookmarkStart w:id="36" w:name="_Toc177028029"/>
      <w:bookmarkStart w:id="37" w:name="_Toc177028191"/>
      <w:r>
        <w:rPr>
          <w:lang w:val="es-ES"/>
        </w:rPr>
        <w:t xml:space="preserve">III.4. </w:t>
      </w:r>
      <w:r w:rsidR="00F26C57">
        <w:rPr>
          <w:lang w:val="es-ES"/>
        </w:rPr>
        <w:t>Análisis de sensibilidad:</w:t>
      </w:r>
      <w:bookmarkEnd w:id="36"/>
      <w:bookmarkEnd w:id="37"/>
    </w:p>
    <w:p w14:paraId="56DA742B" w14:textId="5716134E" w:rsidR="00F26C57" w:rsidRDefault="00C906DB" w:rsidP="00366D9E">
      <w:pPr>
        <w:spacing w:line="240" w:lineRule="auto"/>
        <w:ind w:firstLine="0"/>
        <w:rPr>
          <w:rFonts w:cstheme="minorHAnsi"/>
          <w:sz w:val="20"/>
          <w:szCs w:val="20"/>
          <w:lang w:val="es-ES"/>
        </w:rPr>
      </w:pPr>
      <w:r>
        <w:rPr>
          <w:rFonts w:cstheme="minorHAnsi"/>
          <w:sz w:val="20"/>
          <w:szCs w:val="20"/>
          <w:lang w:val="es-ES"/>
        </w:rPr>
        <w:t>Se realiza</w:t>
      </w:r>
      <w:r w:rsidR="00F26C57">
        <w:rPr>
          <w:rFonts w:cstheme="minorHAnsi"/>
          <w:sz w:val="20"/>
          <w:szCs w:val="20"/>
          <w:lang w:val="es-ES"/>
        </w:rPr>
        <w:t xml:space="preserve"> un análisis de sensibilidad</w:t>
      </w:r>
      <w:r w:rsidR="00F26C57" w:rsidRPr="00F26C57">
        <w:rPr>
          <w:rFonts w:cstheme="minorHAnsi"/>
          <w:sz w:val="20"/>
          <w:szCs w:val="20"/>
          <w:lang w:val="es-ES"/>
        </w:rPr>
        <w:t xml:space="preserve"> para evaluar la robustez del método de agregación mediante tres enfoques:</w:t>
      </w:r>
    </w:p>
    <w:p w14:paraId="60EC018A" w14:textId="77777777" w:rsidR="00F26C57" w:rsidRPr="00F26C57" w:rsidRDefault="00F26C57" w:rsidP="00366D9E">
      <w:pPr>
        <w:spacing w:line="240" w:lineRule="auto"/>
        <w:ind w:firstLine="0"/>
        <w:rPr>
          <w:rFonts w:cstheme="minorHAnsi"/>
          <w:sz w:val="20"/>
          <w:szCs w:val="20"/>
          <w:lang w:val="es-ES"/>
        </w:rPr>
      </w:pPr>
    </w:p>
    <w:p w14:paraId="5A82DA40" w14:textId="0F683245" w:rsidR="00F26C57" w:rsidRPr="00921B1A" w:rsidRDefault="00F26C57" w:rsidP="00921B1A">
      <w:pPr>
        <w:pStyle w:val="ListParagraph"/>
        <w:numPr>
          <w:ilvl w:val="0"/>
          <w:numId w:val="14"/>
        </w:numPr>
        <w:spacing w:line="240" w:lineRule="auto"/>
        <w:rPr>
          <w:rFonts w:cstheme="minorHAnsi"/>
          <w:sz w:val="20"/>
          <w:szCs w:val="20"/>
          <w:lang w:val="es-ES"/>
        </w:rPr>
      </w:pPr>
      <w:r w:rsidRPr="00921B1A">
        <w:rPr>
          <w:rFonts w:cstheme="minorHAnsi"/>
          <w:b/>
          <w:bCs/>
          <w:sz w:val="20"/>
          <w:szCs w:val="20"/>
          <w:lang w:val="es-ES"/>
        </w:rPr>
        <w:t xml:space="preserve">Análisis de Distintos </w:t>
      </w:r>
      <w:r w:rsidRPr="00921B1A">
        <w:rPr>
          <w:rFonts w:cstheme="minorHAnsi"/>
          <w:b/>
          <w:bCs/>
          <w:sz w:val="20"/>
          <w:szCs w:val="20"/>
        </w:rPr>
        <w:t>β</w:t>
      </w:r>
      <w:r w:rsidRPr="00921B1A">
        <w:rPr>
          <w:rFonts w:cstheme="minorHAnsi"/>
          <w:sz w:val="20"/>
          <w:szCs w:val="20"/>
          <w:lang w:val="es-ES"/>
        </w:rPr>
        <w:t xml:space="preserve">: </w:t>
      </w:r>
      <w:r w:rsidR="00C906DB" w:rsidRPr="00921B1A">
        <w:rPr>
          <w:rFonts w:cstheme="minorHAnsi"/>
          <w:sz w:val="20"/>
          <w:szCs w:val="20"/>
          <w:lang w:val="es-ES"/>
        </w:rPr>
        <w:t xml:space="preserve">Se explora la sensibilidad del método de agregación al variar los valores de </w:t>
      </w:r>
      <w:r w:rsidR="00C906DB" w:rsidRPr="00921B1A">
        <w:rPr>
          <w:rFonts w:cstheme="minorHAnsi"/>
          <w:sz w:val="20"/>
          <w:szCs w:val="20"/>
        </w:rPr>
        <w:t>β</w:t>
      </w:r>
      <w:r w:rsidR="00C906DB" w:rsidRPr="00921B1A">
        <w:rPr>
          <w:rFonts w:cstheme="minorHAnsi"/>
          <w:sz w:val="20"/>
          <w:szCs w:val="20"/>
          <w:lang w:val="es-ES"/>
        </w:rPr>
        <w:t xml:space="preserve"> en la media generalizada. Este análisis permite comparar cómo diferentes valores de </w:t>
      </w:r>
      <w:r w:rsidR="00C906DB" w:rsidRPr="00921B1A">
        <w:rPr>
          <w:rFonts w:cstheme="minorHAnsi"/>
          <w:sz w:val="20"/>
          <w:szCs w:val="20"/>
        </w:rPr>
        <w:t>β</w:t>
      </w:r>
      <w:r w:rsidR="00C906DB" w:rsidRPr="00921B1A">
        <w:rPr>
          <w:rFonts w:cstheme="minorHAnsi"/>
          <w:sz w:val="20"/>
          <w:szCs w:val="20"/>
          <w:lang w:val="es-ES"/>
        </w:rPr>
        <w:t xml:space="preserve"> afectan la distribución de los resultados del índice compuesto. Por ejemplo, el componente "</w:t>
      </w:r>
      <w:proofErr w:type="spellStart"/>
      <w:r w:rsidR="00C906DB" w:rsidRPr="00921B1A">
        <w:rPr>
          <w:rFonts w:cstheme="minorHAnsi"/>
          <w:sz w:val="20"/>
          <w:szCs w:val="20"/>
          <w:lang w:val="es-ES"/>
        </w:rPr>
        <w:t>information</w:t>
      </w:r>
      <w:proofErr w:type="spellEnd"/>
      <w:r w:rsidR="00C906DB" w:rsidRPr="00921B1A">
        <w:rPr>
          <w:rFonts w:cstheme="minorHAnsi"/>
          <w:sz w:val="20"/>
          <w:szCs w:val="20"/>
          <w:lang w:val="es-ES"/>
        </w:rPr>
        <w:t xml:space="preserve"> and </w:t>
      </w:r>
      <w:proofErr w:type="spellStart"/>
      <w:r w:rsidR="00C906DB" w:rsidRPr="00921B1A">
        <w:rPr>
          <w:rFonts w:cstheme="minorHAnsi"/>
          <w:sz w:val="20"/>
          <w:szCs w:val="20"/>
          <w:lang w:val="es-ES"/>
        </w:rPr>
        <w:t>communications</w:t>
      </w:r>
      <w:proofErr w:type="spellEnd"/>
      <w:r w:rsidR="00C906DB" w:rsidRPr="00921B1A">
        <w:rPr>
          <w:rFonts w:cstheme="minorHAnsi"/>
          <w:sz w:val="20"/>
          <w:szCs w:val="20"/>
          <w:lang w:val="es-ES"/>
        </w:rPr>
        <w:t xml:space="preserve">" es sensible a este parámetro, como se observa en la </w:t>
      </w:r>
      <w:r w:rsidR="00C906DB" w:rsidRPr="00921B1A">
        <w:rPr>
          <w:rFonts w:cstheme="minorHAnsi"/>
          <w:b/>
          <w:bCs/>
          <w:sz w:val="20"/>
          <w:szCs w:val="20"/>
          <w:lang w:val="es-ES"/>
        </w:rPr>
        <w:t>Figura 02.18</w:t>
      </w:r>
      <w:r w:rsidR="00C906DB" w:rsidRPr="00921B1A">
        <w:rPr>
          <w:rFonts w:cstheme="minorHAnsi"/>
          <w:sz w:val="20"/>
          <w:szCs w:val="20"/>
          <w:lang w:val="es-ES"/>
        </w:rPr>
        <w:t>. En general,</w:t>
      </w:r>
      <w:r w:rsidR="007F48DB">
        <w:rPr>
          <w:rFonts w:cstheme="minorHAnsi"/>
          <w:sz w:val="20"/>
          <w:szCs w:val="20"/>
          <w:lang w:val="es-ES"/>
        </w:rPr>
        <w:t xml:space="preserve"> se observa que</w:t>
      </w:r>
      <w:r w:rsidR="00C906DB" w:rsidRPr="00921B1A">
        <w:rPr>
          <w:rFonts w:cstheme="minorHAnsi"/>
          <w:sz w:val="20"/>
          <w:szCs w:val="20"/>
          <w:lang w:val="es-ES"/>
        </w:rPr>
        <w:t xml:space="preserve"> valores menores de </w:t>
      </w:r>
      <w:r w:rsidR="00C906DB" w:rsidRPr="00921B1A">
        <w:rPr>
          <w:rFonts w:cstheme="minorHAnsi"/>
          <w:sz w:val="20"/>
          <w:szCs w:val="20"/>
        </w:rPr>
        <w:t>β</w:t>
      </w:r>
      <w:r w:rsidR="00C906DB" w:rsidRPr="00921B1A">
        <w:rPr>
          <w:rFonts w:cstheme="minorHAnsi"/>
          <w:sz w:val="20"/>
          <w:szCs w:val="20"/>
          <w:lang w:val="es-ES"/>
        </w:rPr>
        <w:t xml:space="preserve"> otorgan mayor peso a los resultados bajos, lo que produce un índice promedio más bajo. Por el contrario, si se aumenta el valor de </w:t>
      </w:r>
      <w:r w:rsidR="00C906DB" w:rsidRPr="00921B1A">
        <w:rPr>
          <w:rFonts w:cstheme="minorHAnsi"/>
          <w:sz w:val="20"/>
          <w:szCs w:val="20"/>
        </w:rPr>
        <w:t>β</w:t>
      </w:r>
      <w:r w:rsidR="00C906DB" w:rsidRPr="00921B1A">
        <w:rPr>
          <w:rFonts w:cstheme="minorHAnsi"/>
          <w:sz w:val="20"/>
          <w:szCs w:val="20"/>
          <w:lang w:val="es-ES"/>
        </w:rPr>
        <w:t>, el índice promedio aumenta.</w:t>
      </w:r>
    </w:p>
    <w:p w14:paraId="352BBD9D" w14:textId="77777777" w:rsidR="00CA6662" w:rsidRPr="00CA6662" w:rsidRDefault="00CA6662" w:rsidP="00366D9E">
      <w:pPr>
        <w:spacing w:line="240" w:lineRule="auto"/>
        <w:ind w:left="720" w:firstLine="0"/>
        <w:rPr>
          <w:rFonts w:cstheme="minorHAnsi"/>
          <w:sz w:val="20"/>
          <w:szCs w:val="20"/>
          <w:lang w:val="es-ES"/>
        </w:rPr>
      </w:pPr>
    </w:p>
    <w:p w14:paraId="0559B1D5" w14:textId="71C2E935" w:rsidR="00CA6662" w:rsidRPr="00921B1A" w:rsidRDefault="00F26C57" w:rsidP="00921B1A">
      <w:pPr>
        <w:pStyle w:val="ListParagraph"/>
        <w:numPr>
          <w:ilvl w:val="0"/>
          <w:numId w:val="14"/>
        </w:numPr>
        <w:spacing w:line="240" w:lineRule="auto"/>
        <w:rPr>
          <w:rFonts w:cstheme="minorHAnsi"/>
          <w:sz w:val="20"/>
          <w:szCs w:val="20"/>
          <w:lang w:val="es-ES"/>
        </w:rPr>
      </w:pPr>
      <w:r w:rsidRPr="00921B1A">
        <w:rPr>
          <w:rFonts w:cstheme="minorHAnsi"/>
          <w:b/>
          <w:bCs/>
          <w:sz w:val="20"/>
          <w:szCs w:val="20"/>
          <w:lang w:val="es-ES"/>
        </w:rPr>
        <w:t>Añadir o Eliminar Indicadores</w:t>
      </w:r>
      <w:r w:rsidRPr="00921B1A">
        <w:rPr>
          <w:rFonts w:cstheme="minorHAnsi"/>
          <w:sz w:val="20"/>
          <w:szCs w:val="20"/>
          <w:lang w:val="es-ES"/>
        </w:rPr>
        <w:t xml:space="preserve">: </w:t>
      </w:r>
      <w:r w:rsidR="00C906DB" w:rsidRPr="00921B1A">
        <w:rPr>
          <w:rFonts w:cstheme="minorHAnsi"/>
          <w:sz w:val="20"/>
          <w:szCs w:val="20"/>
          <w:lang w:val="es-ES"/>
        </w:rPr>
        <w:t xml:space="preserve">A partir del conjunto de datos completo, con todos los indicadores, se repite el proceso de agregación eliminando un indicador cada vez. Este enfoque permite evaluar el impacto de cada indicador en el resultado final del índice compuesto. Como se muestra en la </w:t>
      </w:r>
      <w:r w:rsidR="00C906DB" w:rsidRPr="00921B1A">
        <w:rPr>
          <w:rFonts w:cstheme="minorHAnsi"/>
          <w:b/>
          <w:bCs/>
          <w:sz w:val="20"/>
          <w:szCs w:val="20"/>
          <w:lang w:val="es-ES"/>
        </w:rPr>
        <w:t>Figura 02.19</w:t>
      </w:r>
      <w:r w:rsidR="00C906DB" w:rsidRPr="00921B1A">
        <w:rPr>
          <w:rFonts w:cstheme="minorHAnsi"/>
          <w:sz w:val="20"/>
          <w:szCs w:val="20"/>
          <w:lang w:val="es-ES"/>
        </w:rPr>
        <w:t>, eliminando "</w:t>
      </w:r>
      <w:proofErr w:type="spellStart"/>
      <w:r w:rsidR="00C906DB" w:rsidRPr="00921B1A">
        <w:rPr>
          <w:rFonts w:cstheme="minorHAnsi"/>
          <w:sz w:val="20"/>
          <w:szCs w:val="20"/>
          <w:lang w:val="es-ES"/>
        </w:rPr>
        <w:t>broadband</w:t>
      </w:r>
      <w:proofErr w:type="spellEnd"/>
      <w:r w:rsidR="00C906DB" w:rsidRPr="00921B1A">
        <w:rPr>
          <w:rFonts w:cstheme="minorHAnsi"/>
          <w:sz w:val="20"/>
          <w:szCs w:val="20"/>
          <w:lang w:val="es-ES"/>
        </w:rPr>
        <w:t xml:space="preserve"> at home" del componente "</w:t>
      </w:r>
      <w:proofErr w:type="spellStart"/>
      <w:r w:rsidR="00C906DB" w:rsidRPr="00921B1A">
        <w:rPr>
          <w:rFonts w:cstheme="minorHAnsi"/>
          <w:sz w:val="20"/>
          <w:szCs w:val="20"/>
          <w:lang w:val="es-ES"/>
        </w:rPr>
        <w:t>info</w:t>
      </w:r>
      <w:proofErr w:type="spellEnd"/>
      <w:r w:rsidR="00C906DB" w:rsidRPr="00921B1A">
        <w:rPr>
          <w:rFonts w:cstheme="minorHAnsi"/>
          <w:sz w:val="20"/>
          <w:szCs w:val="20"/>
          <w:lang w:val="es-ES"/>
        </w:rPr>
        <w:t xml:space="preserve"> </w:t>
      </w:r>
      <w:proofErr w:type="spellStart"/>
      <w:r w:rsidR="00C906DB" w:rsidRPr="00921B1A">
        <w:rPr>
          <w:rFonts w:cstheme="minorHAnsi"/>
          <w:sz w:val="20"/>
          <w:szCs w:val="20"/>
          <w:lang w:val="es-ES"/>
        </w:rPr>
        <w:t>comm</w:t>
      </w:r>
      <w:proofErr w:type="spellEnd"/>
      <w:r w:rsidR="00C906DB" w:rsidRPr="00921B1A">
        <w:rPr>
          <w:rFonts w:cstheme="minorHAnsi"/>
          <w:sz w:val="20"/>
          <w:szCs w:val="20"/>
          <w:lang w:val="es-ES"/>
        </w:rPr>
        <w:t xml:space="preserve">", la distribución se desplaza, cambiando el valor promedio. Por ejemplo, al excluir "digital </w:t>
      </w:r>
      <w:proofErr w:type="spellStart"/>
      <w:r w:rsidR="00C906DB" w:rsidRPr="00921B1A">
        <w:rPr>
          <w:rFonts w:cstheme="minorHAnsi"/>
          <w:sz w:val="20"/>
          <w:szCs w:val="20"/>
          <w:lang w:val="es-ES"/>
        </w:rPr>
        <w:t>skills</w:t>
      </w:r>
      <w:proofErr w:type="spellEnd"/>
      <w:r w:rsidR="00C906DB" w:rsidRPr="00921B1A">
        <w:rPr>
          <w:rFonts w:cstheme="minorHAnsi"/>
          <w:sz w:val="20"/>
          <w:szCs w:val="20"/>
          <w:lang w:val="es-ES"/>
        </w:rPr>
        <w:t xml:space="preserve">", </w:t>
      </w:r>
      <w:proofErr w:type="gramStart"/>
      <w:r w:rsidR="00C906DB" w:rsidRPr="00921B1A">
        <w:rPr>
          <w:rFonts w:cstheme="minorHAnsi"/>
          <w:sz w:val="20"/>
          <w:szCs w:val="20"/>
          <w:lang w:val="es-ES"/>
        </w:rPr>
        <w:t>el índice mejora</w:t>
      </w:r>
      <w:proofErr w:type="gramEnd"/>
      <w:r w:rsidR="00C906DB" w:rsidRPr="00921B1A">
        <w:rPr>
          <w:rFonts w:cstheme="minorHAnsi"/>
          <w:sz w:val="20"/>
          <w:szCs w:val="20"/>
          <w:lang w:val="es-ES"/>
        </w:rPr>
        <w:t xml:space="preserve">, lo que indica que el componente es sensible a este indicador y que, en general, las regiones obtienen malos resultados en </w:t>
      </w:r>
      <w:r w:rsidR="006D5A55">
        <w:rPr>
          <w:rFonts w:cstheme="minorHAnsi"/>
          <w:sz w:val="20"/>
          <w:szCs w:val="20"/>
          <w:lang w:val="es-ES"/>
        </w:rPr>
        <w:t>ese indicador</w:t>
      </w:r>
      <w:r w:rsidR="00C906DB" w:rsidRPr="00921B1A">
        <w:rPr>
          <w:rFonts w:cstheme="minorHAnsi"/>
          <w:sz w:val="20"/>
          <w:szCs w:val="20"/>
          <w:lang w:val="es-ES"/>
        </w:rPr>
        <w:t>.</w:t>
      </w:r>
    </w:p>
    <w:p w14:paraId="1F72775B" w14:textId="77777777" w:rsidR="00CA6662" w:rsidRPr="00CA6662" w:rsidRDefault="00CA6662" w:rsidP="00366D9E">
      <w:pPr>
        <w:spacing w:line="240" w:lineRule="auto"/>
        <w:ind w:left="720" w:firstLine="0"/>
        <w:rPr>
          <w:rFonts w:cstheme="minorHAnsi"/>
          <w:sz w:val="20"/>
          <w:szCs w:val="20"/>
          <w:lang w:val="es-ES"/>
        </w:rPr>
      </w:pPr>
    </w:p>
    <w:p w14:paraId="213D0310" w14:textId="56B73B61" w:rsidR="00F26C57" w:rsidRDefault="00F26C57" w:rsidP="00921B1A">
      <w:pPr>
        <w:pStyle w:val="ListParagraph"/>
        <w:numPr>
          <w:ilvl w:val="0"/>
          <w:numId w:val="14"/>
        </w:numPr>
        <w:spacing w:line="240" w:lineRule="auto"/>
        <w:rPr>
          <w:rFonts w:cstheme="minorHAnsi"/>
          <w:sz w:val="20"/>
          <w:szCs w:val="20"/>
          <w:lang w:val="es-ES"/>
        </w:rPr>
      </w:pPr>
      <w:proofErr w:type="spellStart"/>
      <w:r w:rsidRPr="00921B1A">
        <w:rPr>
          <w:rFonts w:cstheme="minorHAnsi"/>
          <w:b/>
          <w:bCs/>
          <w:sz w:val="20"/>
          <w:szCs w:val="20"/>
          <w:lang w:val="es-ES"/>
        </w:rPr>
        <w:t>Bootstrapping</w:t>
      </w:r>
      <w:proofErr w:type="spellEnd"/>
      <w:r w:rsidRPr="00921B1A">
        <w:rPr>
          <w:rFonts w:cstheme="minorHAnsi"/>
          <w:sz w:val="20"/>
          <w:szCs w:val="20"/>
          <w:lang w:val="es-ES"/>
        </w:rPr>
        <w:t xml:space="preserve">: </w:t>
      </w:r>
      <w:r w:rsidR="00921B1A" w:rsidRPr="00921B1A">
        <w:rPr>
          <w:rFonts w:cstheme="minorHAnsi"/>
          <w:sz w:val="20"/>
          <w:szCs w:val="20"/>
          <w:lang w:val="es-ES"/>
        </w:rPr>
        <w:t>Con este método se genera una</w:t>
      </w:r>
      <w:r w:rsidR="00F60784" w:rsidRPr="00921B1A">
        <w:rPr>
          <w:rFonts w:cstheme="minorHAnsi"/>
          <w:sz w:val="20"/>
          <w:szCs w:val="20"/>
          <w:lang w:val="es-ES"/>
        </w:rPr>
        <w:t xml:space="preserve"> gran cantidad de muestras (1000) mediante </w:t>
      </w:r>
      <w:proofErr w:type="spellStart"/>
      <w:r w:rsidR="00F60784" w:rsidRPr="00921B1A">
        <w:rPr>
          <w:rFonts w:cstheme="minorHAnsi"/>
          <w:sz w:val="20"/>
          <w:szCs w:val="20"/>
          <w:lang w:val="es-ES"/>
        </w:rPr>
        <w:t>remuestreo</w:t>
      </w:r>
      <w:proofErr w:type="spellEnd"/>
      <w:r w:rsidR="00F60784" w:rsidRPr="00921B1A">
        <w:rPr>
          <w:rFonts w:cstheme="minorHAnsi"/>
          <w:sz w:val="20"/>
          <w:szCs w:val="20"/>
          <w:lang w:val="es-ES"/>
        </w:rPr>
        <w:t xml:space="preserve"> con reemplazo de la muestra original. Para cada muestra </w:t>
      </w:r>
      <w:proofErr w:type="spellStart"/>
      <w:r w:rsidR="00F60784" w:rsidRPr="00921B1A">
        <w:rPr>
          <w:rFonts w:cstheme="minorHAnsi"/>
          <w:sz w:val="20"/>
          <w:szCs w:val="20"/>
          <w:lang w:val="es-ES"/>
        </w:rPr>
        <w:t>bootstrap</w:t>
      </w:r>
      <w:proofErr w:type="spellEnd"/>
      <w:r w:rsidR="00F60784" w:rsidRPr="00921B1A">
        <w:rPr>
          <w:rFonts w:cstheme="minorHAnsi"/>
          <w:sz w:val="20"/>
          <w:szCs w:val="20"/>
          <w:lang w:val="es-ES"/>
        </w:rPr>
        <w:t xml:space="preserve">, se repite el proceso de agregación, lo </w:t>
      </w:r>
      <w:r w:rsidR="00F60784" w:rsidRPr="00921B1A">
        <w:rPr>
          <w:rFonts w:cstheme="minorHAnsi"/>
          <w:sz w:val="20"/>
          <w:szCs w:val="20"/>
          <w:lang w:val="es-ES"/>
        </w:rPr>
        <w:lastRenderedPageBreak/>
        <w:t xml:space="preserve">que permite estimar la distribución de la media del índice compuesto. </w:t>
      </w:r>
      <w:r w:rsidR="00921B1A" w:rsidRPr="00921B1A">
        <w:rPr>
          <w:rFonts w:cstheme="minorHAnsi"/>
          <w:sz w:val="20"/>
          <w:szCs w:val="20"/>
          <w:lang w:val="es-ES"/>
        </w:rPr>
        <w:t xml:space="preserve">Este método proporciona una medida de la estabilidad y precisión del índice al evaluar cómo varía con diferentes muestras y estimar la incertidumbre asociada a la media. </w:t>
      </w:r>
      <w:r w:rsidR="007F48DB">
        <w:rPr>
          <w:rFonts w:cstheme="minorHAnsi"/>
          <w:sz w:val="20"/>
          <w:szCs w:val="20"/>
          <w:lang w:val="es-ES"/>
        </w:rPr>
        <w:t xml:space="preserve">En todos los </w:t>
      </w:r>
      <w:proofErr w:type="spellStart"/>
      <w:r w:rsidR="007F48DB">
        <w:rPr>
          <w:rFonts w:cstheme="minorHAnsi"/>
          <w:sz w:val="20"/>
          <w:szCs w:val="20"/>
          <w:lang w:val="es-ES"/>
        </w:rPr>
        <w:t>compoentes</w:t>
      </w:r>
      <w:proofErr w:type="spellEnd"/>
      <w:r w:rsidR="00921B1A" w:rsidRPr="00921B1A">
        <w:rPr>
          <w:rFonts w:cstheme="minorHAnsi"/>
          <w:sz w:val="20"/>
          <w:szCs w:val="20"/>
          <w:lang w:val="es-ES"/>
        </w:rPr>
        <w:t xml:space="preserve"> se observa que la media y la varianza obtenidas mediante </w:t>
      </w:r>
      <w:proofErr w:type="spellStart"/>
      <w:r w:rsidR="00921B1A" w:rsidRPr="00921B1A">
        <w:rPr>
          <w:rFonts w:cstheme="minorHAnsi"/>
          <w:sz w:val="20"/>
          <w:szCs w:val="20"/>
          <w:lang w:val="es-ES"/>
        </w:rPr>
        <w:t>bootstrap</w:t>
      </w:r>
      <w:proofErr w:type="spellEnd"/>
      <w:r w:rsidR="00921B1A" w:rsidRPr="00921B1A">
        <w:rPr>
          <w:rFonts w:cstheme="minorHAnsi"/>
          <w:sz w:val="20"/>
          <w:szCs w:val="20"/>
          <w:lang w:val="es-ES"/>
        </w:rPr>
        <w:t xml:space="preserve"> no se alejan significativamente de los datos originales. En </w:t>
      </w:r>
      <w:r w:rsidR="007F48DB">
        <w:rPr>
          <w:rFonts w:cstheme="minorHAnsi"/>
          <w:sz w:val="20"/>
          <w:szCs w:val="20"/>
          <w:lang w:val="es-ES"/>
        </w:rPr>
        <w:t>los</w:t>
      </w:r>
      <w:r w:rsidR="00921B1A" w:rsidRPr="00921B1A">
        <w:rPr>
          <w:rFonts w:cstheme="minorHAnsi"/>
          <w:sz w:val="20"/>
          <w:szCs w:val="20"/>
          <w:lang w:val="es-ES"/>
        </w:rPr>
        <w:t xml:space="preserve"> gráfico</w:t>
      </w:r>
      <w:r w:rsidR="007F48DB">
        <w:rPr>
          <w:rFonts w:cstheme="minorHAnsi"/>
          <w:sz w:val="20"/>
          <w:szCs w:val="20"/>
          <w:lang w:val="es-ES"/>
        </w:rPr>
        <w:t>s</w:t>
      </w:r>
      <w:r w:rsidR="00921B1A" w:rsidRPr="00921B1A">
        <w:rPr>
          <w:rFonts w:cstheme="minorHAnsi"/>
          <w:sz w:val="20"/>
          <w:szCs w:val="20"/>
          <w:lang w:val="es-ES"/>
        </w:rPr>
        <w:t xml:space="preserve">, se aprecia que la distribución obtenida mediante </w:t>
      </w:r>
      <w:proofErr w:type="spellStart"/>
      <w:r w:rsidR="00921B1A" w:rsidRPr="00921B1A">
        <w:rPr>
          <w:rFonts w:cstheme="minorHAnsi"/>
          <w:sz w:val="20"/>
          <w:szCs w:val="20"/>
          <w:lang w:val="es-ES"/>
        </w:rPr>
        <w:t>bootstrap</w:t>
      </w:r>
      <w:proofErr w:type="spellEnd"/>
      <w:r w:rsidR="00921B1A" w:rsidRPr="00921B1A">
        <w:rPr>
          <w:rFonts w:cstheme="minorHAnsi"/>
          <w:sz w:val="20"/>
          <w:szCs w:val="20"/>
          <w:lang w:val="es-ES"/>
        </w:rPr>
        <w:t xml:space="preserve"> es bastante irregular, mientras que la distribución original parece ajustarse bien a la media de los datos </w:t>
      </w:r>
      <w:proofErr w:type="spellStart"/>
      <w:r w:rsidR="00921B1A" w:rsidRPr="00921B1A">
        <w:rPr>
          <w:rFonts w:cstheme="minorHAnsi"/>
          <w:sz w:val="20"/>
          <w:szCs w:val="20"/>
          <w:lang w:val="es-ES"/>
        </w:rPr>
        <w:t>remuestreados</w:t>
      </w:r>
      <w:proofErr w:type="spellEnd"/>
      <w:r w:rsidR="00921B1A" w:rsidRPr="00921B1A">
        <w:rPr>
          <w:rFonts w:cstheme="minorHAnsi"/>
          <w:sz w:val="20"/>
          <w:szCs w:val="20"/>
          <w:lang w:val="es-ES"/>
        </w:rPr>
        <w:t>.</w:t>
      </w:r>
    </w:p>
    <w:p w14:paraId="6A58B752" w14:textId="77777777" w:rsidR="002C64AE" w:rsidRPr="002C64AE" w:rsidRDefault="002C64AE" w:rsidP="002C64AE">
      <w:pPr>
        <w:spacing w:line="240" w:lineRule="auto"/>
        <w:ind w:firstLine="0"/>
        <w:rPr>
          <w:rFonts w:cstheme="minorHAnsi"/>
          <w:sz w:val="20"/>
          <w:szCs w:val="20"/>
          <w:lang w:val="es-ES"/>
        </w:rPr>
      </w:pPr>
    </w:p>
    <w:p w14:paraId="684073A3" w14:textId="77777777" w:rsidR="00F60784" w:rsidRPr="00F60784" w:rsidRDefault="00F60784" w:rsidP="00366D9E">
      <w:pPr>
        <w:spacing w:line="240" w:lineRule="auto"/>
        <w:ind w:firstLine="0"/>
        <w:rPr>
          <w:rFonts w:cstheme="minorHAnsi"/>
          <w:sz w:val="20"/>
          <w:szCs w:val="20"/>
          <w:lang w:val="es-ES"/>
        </w:rPr>
      </w:pPr>
    </w:p>
    <w:p w14:paraId="734E1129" w14:textId="76C408D0" w:rsidR="00765ADD" w:rsidRDefault="00921B1A" w:rsidP="00921B1A">
      <w:pPr>
        <w:pStyle w:val="Heading2"/>
        <w:rPr>
          <w:rFonts w:cstheme="minorHAnsi"/>
          <w:b w:val="0"/>
          <w:bCs w:val="0"/>
          <w:sz w:val="20"/>
          <w:szCs w:val="20"/>
          <w:lang w:val="es-ES"/>
        </w:rPr>
      </w:pPr>
      <w:bookmarkStart w:id="38" w:name="_Toc177028030"/>
      <w:bookmarkStart w:id="39" w:name="_Toc177028192"/>
      <w:r>
        <w:rPr>
          <w:lang w:val="es-ES"/>
        </w:rPr>
        <w:t xml:space="preserve">III.5. </w:t>
      </w:r>
      <w:r w:rsidR="00765ADD">
        <w:rPr>
          <w:lang w:val="es-ES"/>
        </w:rPr>
        <w:t>Componentes por regiones:</w:t>
      </w:r>
      <w:bookmarkEnd w:id="38"/>
      <w:bookmarkEnd w:id="39"/>
    </w:p>
    <w:p w14:paraId="73CEFD75" w14:textId="77777777" w:rsidR="00DA0397" w:rsidRDefault="00DA0397" w:rsidP="00366D9E">
      <w:pPr>
        <w:spacing w:line="240" w:lineRule="auto"/>
        <w:ind w:firstLine="0"/>
        <w:rPr>
          <w:rFonts w:cstheme="minorHAnsi"/>
          <w:sz w:val="20"/>
          <w:szCs w:val="20"/>
          <w:lang w:val="es-ES"/>
        </w:rPr>
      </w:pPr>
      <w:r w:rsidRPr="00DA0397">
        <w:rPr>
          <w:rFonts w:cstheme="minorHAnsi"/>
          <w:sz w:val="20"/>
          <w:szCs w:val="20"/>
          <w:lang w:val="es-ES"/>
        </w:rPr>
        <w:t xml:space="preserve">Una vez obtenidos los índices compuestos a nivel de componentes, observamos en la </w:t>
      </w:r>
      <w:r w:rsidRPr="00DA0397">
        <w:rPr>
          <w:rFonts w:cstheme="minorHAnsi"/>
          <w:b/>
          <w:bCs/>
          <w:sz w:val="20"/>
          <w:szCs w:val="20"/>
          <w:lang w:val="es-ES"/>
        </w:rPr>
        <w:t>Figura 02.56</w:t>
      </w:r>
      <w:r w:rsidRPr="00DA0397">
        <w:rPr>
          <w:rFonts w:cstheme="minorHAnsi"/>
          <w:sz w:val="20"/>
          <w:szCs w:val="20"/>
          <w:lang w:val="es-ES"/>
        </w:rPr>
        <w:t xml:space="preserve"> un mapa que muestra los resultados por regiones. En general, las regiones con los peores resultados se concentran en Europa del Este y los Balcanes, mientras que los mejores resultados se observan en los países escandinavos.</w:t>
      </w:r>
    </w:p>
    <w:p w14:paraId="340C267A" w14:textId="77777777" w:rsidR="002C64AE" w:rsidRDefault="002C64AE" w:rsidP="00366D9E">
      <w:pPr>
        <w:spacing w:line="240" w:lineRule="auto"/>
        <w:ind w:firstLine="0"/>
        <w:rPr>
          <w:rFonts w:cstheme="minorHAnsi"/>
          <w:sz w:val="20"/>
          <w:szCs w:val="20"/>
          <w:lang w:val="es-ES"/>
        </w:rPr>
      </w:pPr>
    </w:p>
    <w:p w14:paraId="7D05325C" w14:textId="77777777" w:rsidR="00DA0397" w:rsidRDefault="00DA0397" w:rsidP="00366D9E">
      <w:pPr>
        <w:spacing w:line="240" w:lineRule="auto"/>
        <w:ind w:firstLine="0"/>
        <w:rPr>
          <w:rFonts w:cstheme="minorHAnsi"/>
          <w:sz w:val="20"/>
          <w:szCs w:val="20"/>
          <w:lang w:val="es-ES"/>
        </w:rPr>
      </w:pPr>
    </w:p>
    <w:p w14:paraId="13AD762A" w14:textId="14BF0DF8" w:rsidR="004F5630" w:rsidRDefault="00DA0397" w:rsidP="00DA0397">
      <w:pPr>
        <w:pStyle w:val="Heading2"/>
        <w:rPr>
          <w:rFonts w:cstheme="minorHAnsi"/>
          <w:b w:val="0"/>
          <w:bCs w:val="0"/>
          <w:sz w:val="20"/>
          <w:szCs w:val="20"/>
          <w:lang w:val="es-ES"/>
        </w:rPr>
      </w:pPr>
      <w:bookmarkStart w:id="40" w:name="_Toc177028031"/>
      <w:bookmarkStart w:id="41" w:name="_Toc177028193"/>
      <w:r>
        <w:rPr>
          <w:lang w:val="es-ES"/>
        </w:rPr>
        <w:t xml:space="preserve">III.6. </w:t>
      </w:r>
      <w:r w:rsidR="004F5630">
        <w:rPr>
          <w:lang w:val="es-ES"/>
        </w:rPr>
        <w:t>Componentes y PIB per cápita:</w:t>
      </w:r>
      <w:bookmarkEnd w:id="40"/>
      <w:bookmarkEnd w:id="41"/>
    </w:p>
    <w:p w14:paraId="455D7615" w14:textId="7A397ED9" w:rsidR="00921B1A" w:rsidRDefault="004F5630" w:rsidP="002C64AE">
      <w:pPr>
        <w:spacing w:line="240" w:lineRule="auto"/>
        <w:ind w:firstLine="0"/>
        <w:rPr>
          <w:color w:val="2E74B5" w:themeColor="accent5" w:themeShade="BF"/>
          <w:sz w:val="24"/>
          <w:szCs w:val="24"/>
          <w:lang w:val="es-ES"/>
        </w:rPr>
      </w:pPr>
      <w:r>
        <w:rPr>
          <w:rFonts w:cstheme="minorHAnsi"/>
          <w:sz w:val="20"/>
          <w:szCs w:val="20"/>
          <w:lang w:val="es-ES"/>
        </w:rPr>
        <w:t xml:space="preserve">En </w:t>
      </w:r>
      <w:r>
        <w:rPr>
          <w:rFonts w:cstheme="minorHAnsi"/>
          <w:b/>
          <w:bCs/>
          <w:sz w:val="20"/>
          <w:szCs w:val="20"/>
          <w:lang w:val="es-ES"/>
        </w:rPr>
        <w:t>Figura 02.57</w:t>
      </w:r>
      <w:r>
        <w:rPr>
          <w:rFonts w:cstheme="minorHAnsi"/>
          <w:sz w:val="20"/>
          <w:szCs w:val="20"/>
          <w:lang w:val="es-ES"/>
        </w:rPr>
        <w:t xml:space="preserve"> y </w:t>
      </w:r>
      <w:r>
        <w:rPr>
          <w:rFonts w:cstheme="minorHAnsi"/>
          <w:b/>
          <w:bCs/>
          <w:sz w:val="20"/>
          <w:szCs w:val="20"/>
          <w:lang w:val="es-ES"/>
        </w:rPr>
        <w:t>Figura 02.58</w:t>
      </w:r>
      <w:r>
        <w:rPr>
          <w:rFonts w:cstheme="minorHAnsi"/>
          <w:sz w:val="20"/>
          <w:szCs w:val="20"/>
          <w:lang w:val="es-ES"/>
        </w:rPr>
        <w:t xml:space="preserve"> observamos la relación de cada componente con el PIB per cápita de 2022. </w:t>
      </w:r>
      <w:r w:rsidR="00DA0397" w:rsidRPr="00DA0397">
        <w:rPr>
          <w:rFonts w:cstheme="minorHAnsi"/>
          <w:sz w:val="20"/>
          <w:szCs w:val="20"/>
          <w:lang w:val="es-ES"/>
        </w:rPr>
        <w:t>En general, existe una relación positiva, excepto en el caso del componente "Safety", donde la relación es baja o incluso negativa. Las relaciones más fuertes se encuentran en los componentes de "</w:t>
      </w:r>
      <w:proofErr w:type="spellStart"/>
      <w:r w:rsidR="00DA0397" w:rsidRPr="00DA0397">
        <w:rPr>
          <w:rFonts w:cstheme="minorHAnsi"/>
          <w:sz w:val="20"/>
          <w:szCs w:val="20"/>
          <w:lang w:val="es-ES"/>
        </w:rPr>
        <w:t>advance</w:t>
      </w:r>
      <w:proofErr w:type="spellEnd"/>
      <w:r w:rsidR="00DA0397" w:rsidRPr="00DA0397">
        <w:rPr>
          <w:rFonts w:cstheme="minorHAnsi"/>
          <w:sz w:val="20"/>
          <w:szCs w:val="20"/>
          <w:lang w:val="es-ES"/>
        </w:rPr>
        <w:t xml:space="preserve"> </w:t>
      </w:r>
      <w:proofErr w:type="spellStart"/>
      <w:r w:rsidR="00DA0397" w:rsidRPr="00DA0397">
        <w:rPr>
          <w:rFonts w:cstheme="minorHAnsi"/>
          <w:sz w:val="20"/>
          <w:szCs w:val="20"/>
          <w:lang w:val="es-ES"/>
        </w:rPr>
        <w:t>education</w:t>
      </w:r>
      <w:proofErr w:type="spellEnd"/>
      <w:r w:rsidR="00DA0397" w:rsidRPr="00DA0397">
        <w:rPr>
          <w:rFonts w:cstheme="minorHAnsi"/>
          <w:sz w:val="20"/>
          <w:szCs w:val="20"/>
          <w:lang w:val="es-ES"/>
        </w:rPr>
        <w:t xml:space="preserve">" y "trust in </w:t>
      </w:r>
      <w:proofErr w:type="spellStart"/>
      <w:r w:rsidR="00DA0397" w:rsidRPr="00DA0397">
        <w:rPr>
          <w:rFonts w:cstheme="minorHAnsi"/>
          <w:sz w:val="20"/>
          <w:szCs w:val="20"/>
          <w:lang w:val="es-ES"/>
        </w:rPr>
        <w:t>government</w:t>
      </w:r>
      <w:proofErr w:type="spellEnd"/>
      <w:r w:rsidR="00DA0397" w:rsidRPr="00DA0397">
        <w:rPr>
          <w:rFonts w:cstheme="minorHAnsi"/>
          <w:sz w:val="20"/>
          <w:szCs w:val="20"/>
          <w:lang w:val="es-ES"/>
        </w:rPr>
        <w:t>". En resumen, podríamos concluir que el PIB tiene una menor influencia en los componentes relacionados con el desarrollo más básico.</w:t>
      </w:r>
    </w:p>
    <w:p w14:paraId="4E986B2F" w14:textId="77777777" w:rsidR="00921B1A" w:rsidRDefault="00921B1A" w:rsidP="00AC3DEC">
      <w:pPr>
        <w:pStyle w:val="CaptionCallout"/>
        <w:spacing w:line="240" w:lineRule="auto"/>
        <w:rPr>
          <w:color w:val="2E74B5" w:themeColor="accent5" w:themeShade="BF"/>
          <w:sz w:val="24"/>
          <w:szCs w:val="24"/>
          <w:lang w:val="es-ES"/>
        </w:rPr>
      </w:pPr>
    </w:p>
    <w:p w14:paraId="79C11916" w14:textId="77777777" w:rsidR="00921B1A" w:rsidRDefault="00921B1A" w:rsidP="00AC3DEC">
      <w:pPr>
        <w:pStyle w:val="CaptionCallout"/>
        <w:spacing w:line="240" w:lineRule="auto"/>
        <w:rPr>
          <w:color w:val="2E74B5" w:themeColor="accent5" w:themeShade="BF"/>
          <w:sz w:val="24"/>
          <w:szCs w:val="24"/>
          <w:lang w:val="es-ES"/>
        </w:rPr>
      </w:pPr>
    </w:p>
    <w:p w14:paraId="4093C4BD" w14:textId="4854D6CC" w:rsidR="004F5630" w:rsidRPr="00E34484" w:rsidRDefault="004F5630" w:rsidP="00E34484">
      <w:pPr>
        <w:pStyle w:val="Heading1"/>
        <w:jc w:val="left"/>
        <w:rPr>
          <w:color w:val="4472C4" w:themeColor="accent1"/>
          <w:lang w:val="es-ES"/>
        </w:rPr>
      </w:pPr>
      <w:bookmarkStart w:id="42" w:name="_Toc177028032"/>
      <w:bookmarkStart w:id="43" w:name="_Toc177028194"/>
      <w:r w:rsidRPr="00E34484">
        <w:rPr>
          <w:color w:val="4472C4" w:themeColor="accent1"/>
          <w:lang w:val="es-ES"/>
        </w:rPr>
        <w:t>Fase IV. Agregación por dimensiones</w:t>
      </w:r>
      <w:bookmarkEnd w:id="42"/>
      <w:bookmarkEnd w:id="43"/>
    </w:p>
    <w:p w14:paraId="29E0D258" w14:textId="77777777" w:rsidR="00921B1A" w:rsidRDefault="00921B1A" w:rsidP="00AC3DEC">
      <w:pPr>
        <w:pStyle w:val="CaptionCallout"/>
        <w:spacing w:line="240" w:lineRule="auto"/>
        <w:rPr>
          <w:color w:val="2E74B5" w:themeColor="accent5" w:themeShade="BF"/>
          <w:sz w:val="24"/>
          <w:szCs w:val="24"/>
          <w:lang w:val="es-ES"/>
        </w:rPr>
      </w:pPr>
    </w:p>
    <w:p w14:paraId="727AE638" w14:textId="77777777" w:rsidR="00733275" w:rsidRPr="00921B1A" w:rsidRDefault="00733275" w:rsidP="00AC3DEC">
      <w:pPr>
        <w:pStyle w:val="NoIndent"/>
        <w:spacing w:line="240" w:lineRule="auto"/>
        <w:rPr>
          <w:b/>
          <w:bCs/>
          <w:sz w:val="20"/>
          <w:szCs w:val="20"/>
          <w:lang w:val="es-ES"/>
        </w:rPr>
      </w:pPr>
      <w:r w:rsidRPr="00921B1A">
        <w:rPr>
          <w:b/>
          <w:bCs/>
          <w:sz w:val="20"/>
          <w:szCs w:val="20"/>
          <w:lang w:val="es-ES"/>
        </w:rPr>
        <w:t xml:space="preserve">Anexo: </w:t>
      </w:r>
    </w:p>
    <w:p w14:paraId="6FDED6F8" w14:textId="1C22A814" w:rsidR="00733275" w:rsidRPr="00921B1A" w:rsidRDefault="00733275" w:rsidP="00AC3DEC">
      <w:pPr>
        <w:pStyle w:val="NoIndent"/>
        <w:numPr>
          <w:ilvl w:val="0"/>
          <w:numId w:val="3"/>
        </w:numPr>
        <w:spacing w:line="240" w:lineRule="auto"/>
        <w:rPr>
          <w:sz w:val="20"/>
          <w:szCs w:val="20"/>
          <w:lang w:val="es-ES"/>
        </w:rPr>
      </w:pPr>
      <w:r w:rsidRPr="00921B1A">
        <w:rPr>
          <w:rFonts w:cstheme="minorHAnsi"/>
          <w:sz w:val="20"/>
          <w:szCs w:val="20"/>
          <w:lang w:val="es-ES"/>
        </w:rPr>
        <w:t>03_dimensiones_agregacion_</w:t>
      </w:r>
      <w:proofErr w:type="gramStart"/>
      <w:r w:rsidRPr="00921B1A">
        <w:rPr>
          <w:rFonts w:cstheme="minorHAnsi"/>
          <w:sz w:val="20"/>
          <w:szCs w:val="20"/>
          <w:lang w:val="es-ES"/>
        </w:rPr>
        <w:t>minmax.ipynb</w:t>
      </w:r>
      <w:proofErr w:type="gramEnd"/>
    </w:p>
    <w:p w14:paraId="2AB25FE2" w14:textId="6CEC925B" w:rsidR="00733275" w:rsidRDefault="00733275" w:rsidP="00AC3DEC">
      <w:pPr>
        <w:pStyle w:val="NoIndent"/>
        <w:numPr>
          <w:ilvl w:val="0"/>
          <w:numId w:val="3"/>
        </w:numPr>
        <w:spacing w:line="240" w:lineRule="auto"/>
        <w:rPr>
          <w:rFonts w:cstheme="minorHAnsi"/>
          <w:sz w:val="20"/>
          <w:szCs w:val="20"/>
          <w:lang w:val="es-ES"/>
        </w:rPr>
      </w:pPr>
      <w:r w:rsidRPr="00921B1A">
        <w:rPr>
          <w:rFonts w:cstheme="minorHAnsi"/>
          <w:sz w:val="20"/>
          <w:szCs w:val="20"/>
          <w:lang w:val="es-ES"/>
        </w:rPr>
        <w:t>03_dimensiones_agregacion_minmax.html</w:t>
      </w:r>
    </w:p>
    <w:p w14:paraId="2831A200" w14:textId="77777777" w:rsidR="002C64AE" w:rsidRDefault="002C64AE" w:rsidP="002C64AE">
      <w:pPr>
        <w:pStyle w:val="NoIndent"/>
        <w:spacing w:line="240" w:lineRule="auto"/>
        <w:ind w:left="720"/>
        <w:rPr>
          <w:rFonts w:cstheme="minorHAnsi"/>
          <w:sz w:val="20"/>
          <w:szCs w:val="20"/>
          <w:lang w:val="es-ES"/>
        </w:rPr>
      </w:pPr>
    </w:p>
    <w:p w14:paraId="5D91FCDF" w14:textId="77777777" w:rsidR="00DA0397" w:rsidRDefault="00DA0397" w:rsidP="00DA0397">
      <w:pPr>
        <w:pStyle w:val="NoIndent"/>
        <w:spacing w:line="240" w:lineRule="auto"/>
        <w:rPr>
          <w:rFonts w:cstheme="minorHAnsi"/>
          <w:sz w:val="20"/>
          <w:szCs w:val="20"/>
          <w:lang w:val="es-ES"/>
        </w:rPr>
      </w:pPr>
    </w:p>
    <w:p w14:paraId="7568FD68" w14:textId="3996D46F" w:rsidR="00733275" w:rsidRPr="00733275" w:rsidRDefault="00DA0397" w:rsidP="00DA0397">
      <w:pPr>
        <w:pStyle w:val="Heading2"/>
        <w:rPr>
          <w:rFonts w:cstheme="minorHAnsi"/>
          <w:i/>
          <w:iCs/>
          <w:sz w:val="20"/>
          <w:szCs w:val="20"/>
          <w:lang w:val="es-ES"/>
        </w:rPr>
      </w:pPr>
      <w:bookmarkStart w:id="44" w:name="_Toc177028033"/>
      <w:bookmarkStart w:id="45" w:name="_Toc177028195"/>
      <w:r>
        <w:rPr>
          <w:lang w:val="es-ES"/>
        </w:rPr>
        <w:t>IV.1. Agregación:</w:t>
      </w:r>
      <w:bookmarkEnd w:id="44"/>
      <w:bookmarkEnd w:id="45"/>
    </w:p>
    <w:p w14:paraId="0124257F" w14:textId="6D7773F0" w:rsidR="00733275" w:rsidRDefault="00733275" w:rsidP="00AC3DEC">
      <w:pPr>
        <w:spacing w:line="240" w:lineRule="auto"/>
        <w:ind w:firstLine="0"/>
        <w:rPr>
          <w:sz w:val="20"/>
          <w:szCs w:val="20"/>
          <w:lang w:val="es-ES"/>
        </w:rPr>
      </w:pPr>
      <w:r>
        <w:rPr>
          <w:sz w:val="20"/>
          <w:szCs w:val="20"/>
          <w:lang w:val="es-ES"/>
        </w:rPr>
        <w:t xml:space="preserve">En esta fase, el proceso de agregación es similar a la </w:t>
      </w:r>
      <w:r w:rsidR="00366D9E">
        <w:rPr>
          <w:sz w:val="20"/>
          <w:szCs w:val="20"/>
          <w:lang w:val="es-ES"/>
        </w:rPr>
        <w:t>anterior</w:t>
      </w:r>
      <w:r>
        <w:rPr>
          <w:sz w:val="20"/>
          <w:szCs w:val="20"/>
          <w:lang w:val="es-ES"/>
        </w:rPr>
        <w:t xml:space="preserve"> con dos excepciones:</w:t>
      </w:r>
    </w:p>
    <w:p w14:paraId="1C7A11BF" w14:textId="77777777" w:rsidR="00733275" w:rsidRDefault="00733275" w:rsidP="00AC3DEC">
      <w:pPr>
        <w:spacing w:line="240" w:lineRule="auto"/>
        <w:ind w:firstLine="0"/>
        <w:rPr>
          <w:sz w:val="20"/>
          <w:szCs w:val="20"/>
          <w:lang w:val="es-ES"/>
        </w:rPr>
      </w:pPr>
    </w:p>
    <w:p w14:paraId="48394AFF" w14:textId="4A0C003E" w:rsidR="00733275" w:rsidRPr="00DA0397" w:rsidRDefault="00733275" w:rsidP="00DA0397">
      <w:pPr>
        <w:pStyle w:val="ListParagraph"/>
        <w:numPr>
          <w:ilvl w:val="0"/>
          <w:numId w:val="15"/>
        </w:numPr>
        <w:spacing w:line="240" w:lineRule="auto"/>
        <w:rPr>
          <w:sz w:val="20"/>
          <w:szCs w:val="20"/>
          <w:lang w:val="es-ES"/>
        </w:rPr>
      </w:pPr>
      <w:r w:rsidRPr="00DA0397">
        <w:rPr>
          <w:sz w:val="20"/>
          <w:szCs w:val="20"/>
          <w:lang w:val="es-ES"/>
        </w:rPr>
        <w:t xml:space="preserve">Agregación mediante medias generalizadas con factor </w:t>
      </w:r>
      <w:r w:rsidRPr="00DA0397">
        <w:rPr>
          <w:rFonts w:cstheme="minorHAnsi"/>
          <w:sz w:val="20"/>
          <w:szCs w:val="20"/>
          <w:lang w:val="es-ES"/>
        </w:rPr>
        <w:t>β</w:t>
      </w:r>
      <w:r w:rsidRPr="00DA0397">
        <w:rPr>
          <w:sz w:val="20"/>
          <w:szCs w:val="20"/>
          <w:lang w:val="es-ES"/>
        </w:rPr>
        <w:t xml:space="preserve"> = 0.5; Como se indicó en la fase anterior. Esta agregación está a medio camino de la media aritmética (compensación completa) y la media geométrica. </w:t>
      </w:r>
    </w:p>
    <w:p w14:paraId="239D78CE" w14:textId="77777777" w:rsidR="00DA0397" w:rsidRPr="00DA0397" w:rsidRDefault="00DA0397" w:rsidP="00DA0397">
      <w:pPr>
        <w:spacing w:line="240" w:lineRule="auto"/>
        <w:ind w:firstLine="0"/>
        <w:rPr>
          <w:sz w:val="20"/>
          <w:szCs w:val="20"/>
          <w:lang w:val="es-ES"/>
        </w:rPr>
      </w:pPr>
    </w:p>
    <w:p w14:paraId="509C9E73" w14:textId="7875B87A" w:rsidR="00733275" w:rsidRDefault="00DA0397" w:rsidP="00DA0397">
      <w:pPr>
        <w:pStyle w:val="ListParagraph"/>
        <w:numPr>
          <w:ilvl w:val="0"/>
          <w:numId w:val="15"/>
        </w:numPr>
        <w:spacing w:line="240" w:lineRule="auto"/>
        <w:rPr>
          <w:sz w:val="20"/>
          <w:szCs w:val="20"/>
          <w:lang w:val="es-ES"/>
        </w:rPr>
      </w:pPr>
      <w:r w:rsidRPr="00DA0397">
        <w:rPr>
          <w:sz w:val="20"/>
          <w:szCs w:val="20"/>
          <w:lang w:val="es-ES"/>
        </w:rPr>
        <w:t>No seleccionamos componentes mediante el análisis de componentes principales (PCA): en la fase anterior ya eliminamos los indicadores menos relevantes y no aplicamos ponderaciones a componentes ni dimensiones.</w:t>
      </w:r>
    </w:p>
    <w:p w14:paraId="52FF060D" w14:textId="77777777" w:rsidR="002C64AE" w:rsidRPr="002C64AE" w:rsidRDefault="002C64AE" w:rsidP="002C64AE">
      <w:pPr>
        <w:pStyle w:val="ListParagraph"/>
        <w:rPr>
          <w:sz w:val="20"/>
          <w:szCs w:val="20"/>
          <w:lang w:val="es-ES"/>
        </w:rPr>
      </w:pPr>
    </w:p>
    <w:p w14:paraId="336C0B6C" w14:textId="77777777" w:rsidR="002C64AE" w:rsidRDefault="002C64AE" w:rsidP="002C64AE">
      <w:pPr>
        <w:pStyle w:val="ListParagraph"/>
        <w:spacing w:line="240" w:lineRule="auto"/>
        <w:ind w:firstLine="0"/>
        <w:rPr>
          <w:sz w:val="20"/>
          <w:szCs w:val="20"/>
          <w:lang w:val="es-ES"/>
        </w:rPr>
      </w:pPr>
    </w:p>
    <w:p w14:paraId="10E2E82B" w14:textId="592247A3" w:rsidR="00DA0397" w:rsidRPr="00DA0397" w:rsidRDefault="00DA0397" w:rsidP="00DA0397">
      <w:pPr>
        <w:pStyle w:val="Heading2"/>
        <w:rPr>
          <w:sz w:val="20"/>
          <w:szCs w:val="20"/>
          <w:lang w:val="es-ES"/>
        </w:rPr>
      </w:pPr>
      <w:bookmarkStart w:id="46" w:name="_Toc177028034"/>
      <w:bookmarkStart w:id="47" w:name="_Toc177028196"/>
      <w:r>
        <w:rPr>
          <w:lang w:val="es-ES"/>
        </w:rPr>
        <w:t>IV.2. Análisis:</w:t>
      </w:r>
      <w:bookmarkEnd w:id="46"/>
      <w:bookmarkEnd w:id="47"/>
    </w:p>
    <w:p w14:paraId="5F1E0B43" w14:textId="03147C04" w:rsidR="00653CA5" w:rsidRPr="000C7F70" w:rsidRDefault="00DA0397" w:rsidP="00AC3DEC">
      <w:pPr>
        <w:spacing w:line="240" w:lineRule="auto"/>
        <w:ind w:firstLine="0"/>
        <w:rPr>
          <w:rFonts w:cstheme="minorHAnsi"/>
          <w:sz w:val="20"/>
          <w:szCs w:val="20"/>
          <w:lang w:val="es-ES"/>
        </w:rPr>
      </w:pPr>
      <w:r>
        <w:rPr>
          <w:rFonts w:cstheme="minorHAnsi"/>
          <w:sz w:val="20"/>
          <w:szCs w:val="20"/>
          <w:lang w:val="es-ES"/>
        </w:rPr>
        <w:t>En</w:t>
      </w:r>
      <w:r w:rsidR="00C21099">
        <w:rPr>
          <w:rFonts w:cstheme="minorHAnsi"/>
          <w:sz w:val="20"/>
          <w:szCs w:val="20"/>
          <w:lang w:val="es-ES"/>
        </w:rPr>
        <w:t xml:space="preserve"> la</w:t>
      </w:r>
      <w:r>
        <w:rPr>
          <w:rFonts w:cstheme="minorHAnsi"/>
          <w:sz w:val="20"/>
          <w:szCs w:val="20"/>
          <w:lang w:val="es-ES"/>
        </w:rPr>
        <w:t>s</w:t>
      </w:r>
      <w:r w:rsidR="007B5436">
        <w:rPr>
          <w:rFonts w:cstheme="minorHAnsi"/>
          <w:sz w:val="20"/>
          <w:szCs w:val="20"/>
          <w:lang w:val="es-ES"/>
        </w:rPr>
        <w:t xml:space="preserve"> </w:t>
      </w:r>
      <w:r w:rsidR="007B5436">
        <w:rPr>
          <w:rFonts w:cstheme="minorHAnsi"/>
          <w:b/>
          <w:bCs/>
          <w:sz w:val="20"/>
          <w:szCs w:val="20"/>
          <w:lang w:val="es-ES"/>
        </w:rPr>
        <w:t>Figura 03.10</w:t>
      </w:r>
      <w:r w:rsidR="007B5436">
        <w:rPr>
          <w:rFonts w:cstheme="minorHAnsi"/>
          <w:sz w:val="20"/>
          <w:szCs w:val="20"/>
          <w:lang w:val="es-ES"/>
        </w:rPr>
        <w:t>,</w:t>
      </w:r>
      <w:r w:rsidR="007B5436">
        <w:rPr>
          <w:rFonts w:cstheme="minorHAnsi"/>
          <w:b/>
          <w:bCs/>
          <w:sz w:val="20"/>
          <w:szCs w:val="20"/>
          <w:lang w:val="es-ES"/>
        </w:rPr>
        <w:t xml:space="preserve"> Figura 03.11 </w:t>
      </w:r>
      <w:r w:rsidR="007B5436">
        <w:rPr>
          <w:rFonts w:cstheme="minorHAnsi"/>
          <w:sz w:val="20"/>
          <w:szCs w:val="20"/>
          <w:lang w:val="es-ES"/>
        </w:rPr>
        <w:t xml:space="preserve">y </w:t>
      </w:r>
      <w:r w:rsidR="007B5436">
        <w:rPr>
          <w:rFonts w:cstheme="minorHAnsi"/>
          <w:b/>
          <w:bCs/>
          <w:sz w:val="20"/>
          <w:szCs w:val="20"/>
          <w:lang w:val="es-ES"/>
        </w:rPr>
        <w:t xml:space="preserve">Figura 03.13 </w:t>
      </w:r>
      <w:r w:rsidR="007B5436">
        <w:rPr>
          <w:rFonts w:cstheme="minorHAnsi"/>
          <w:sz w:val="20"/>
          <w:szCs w:val="20"/>
          <w:lang w:val="es-ES"/>
        </w:rPr>
        <w:t>del Anexo</w:t>
      </w:r>
      <w:r w:rsidR="00C21099">
        <w:rPr>
          <w:rFonts w:cstheme="minorHAnsi"/>
          <w:sz w:val="20"/>
          <w:szCs w:val="20"/>
          <w:lang w:val="es-ES"/>
        </w:rPr>
        <w:t xml:space="preserve">, </w:t>
      </w:r>
      <w:r w:rsidRPr="00DA0397">
        <w:rPr>
          <w:rFonts w:cstheme="minorHAnsi"/>
          <w:sz w:val="20"/>
          <w:szCs w:val="20"/>
          <w:lang w:val="es-ES"/>
        </w:rPr>
        <w:t xml:space="preserve">se observa que los índices resultantes presentan valores altos en "Basic </w:t>
      </w:r>
      <w:proofErr w:type="spellStart"/>
      <w:r w:rsidRPr="00DA0397">
        <w:rPr>
          <w:rFonts w:cstheme="minorHAnsi"/>
          <w:sz w:val="20"/>
          <w:szCs w:val="20"/>
          <w:lang w:val="es-ES"/>
        </w:rPr>
        <w:t>Needs</w:t>
      </w:r>
      <w:proofErr w:type="spellEnd"/>
      <w:r w:rsidRPr="00DA0397">
        <w:rPr>
          <w:rFonts w:cstheme="minorHAnsi"/>
          <w:sz w:val="20"/>
          <w:szCs w:val="20"/>
          <w:lang w:val="es-ES"/>
        </w:rPr>
        <w:t>" y "</w:t>
      </w:r>
      <w:proofErr w:type="spellStart"/>
      <w:r w:rsidRPr="00DA0397">
        <w:rPr>
          <w:rFonts w:cstheme="minorHAnsi"/>
          <w:sz w:val="20"/>
          <w:szCs w:val="20"/>
          <w:lang w:val="es-ES"/>
        </w:rPr>
        <w:t>Foundations</w:t>
      </w:r>
      <w:proofErr w:type="spellEnd"/>
      <w:r w:rsidRPr="00DA0397">
        <w:rPr>
          <w:rFonts w:cstheme="minorHAnsi"/>
          <w:sz w:val="20"/>
          <w:szCs w:val="20"/>
          <w:lang w:val="es-ES"/>
        </w:rPr>
        <w:t xml:space="preserve"> </w:t>
      </w:r>
      <w:proofErr w:type="spellStart"/>
      <w:r w:rsidRPr="00DA0397">
        <w:rPr>
          <w:rFonts w:cstheme="minorHAnsi"/>
          <w:sz w:val="20"/>
          <w:szCs w:val="20"/>
          <w:lang w:val="es-ES"/>
        </w:rPr>
        <w:t>of</w:t>
      </w:r>
      <w:proofErr w:type="spellEnd"/>
      <w:r w:rsidRPr="00DA0397">
        <w:rPr>
          <w:rFonts w:cstheme="minorHAnsi"/>
          <w:sz w:val="20"/>
          <w:szCs w:val="20"/>
          <w:lang w:val="es-ES"/>
        </w:rPr>
        <w:t xml:space="preserve"> </w:t>
      </w:r>
      <w:proofErr w:type="spellStart"/>
      <w:r w:rsidRPr="00DA0397">
        <w:rPr>
          <w:rFonts w:cstheme="minorHAnsi"/>
          <w:sz w:val="20"/>
          <w:szCs w:val="20"/>
          <w:lang w:val="es-ES"/>
        </w:rPr>
        <w:t>Wellbeing</w:t>
      </w:r>
      <w:proofErr w:type="spellEnd"/>
      <w:r w:rsidRPr="00DA0397">
        <w:rPr>
          <w:rFonts w:cstheme="minorHAnsi"/>
          <w:sz w:val="20"/>
          <w:szCs w:val="20"/>
          <w:lang w:val="es-ES"/>
        </w:rPr>
        <w:t>". Estos índices tienen distribuciones con un leve sesgo hacia la izquierda, donde la media es menor que la mediana, lo que indica que algunos valores bajos (</w:t>
      </w:r>
      <w:proofErr w:type="spellStart"/>
      <w:r w:rsidRPr="00DA0397">
        <w:rPr>
          <w:rFonts w:cstheme="minorHAnsi"/>
          <w:sz w:val="20"/>
          <w:szCs w:val="20"/>
          <w:lang w:val="es-ES"/>
        </w:rPr>
        <w:t>outliers</w:t>
      </w:r>
      <w:proofErr w:type="spellEnd"/>
      <w:r w:rsidRPr="00DA0397">
        <w:rPr>
          <w:rFonts w:cstheme="minorHAnsi"/>
          <w:sz w:val="20"/>
          <w:szCs w:val="20"/>
          <w:lang w:val="es-ES"/>
        </w:rPr>
        <w:t xml:space="preserve">) están afectando los promedios. </w:t>
      </w:r>
      <w:r w:rsidRPr="000C7F70">
        <w:rPr>
          <w:rFonts w:cstheme="minorHAnsi"/>
          <w:sz w:val="20"/>
          <w:szCs w:val="20"/>
          <w:lang w:val="es-ES"/>
        </w:rPr>
        <w:t>La dimensión "</w:t>
      </w:r>
      <w:proofErr w:type="spellStart"/>
      <w:r w:rsidRPr="000C7F70">
        <w:rPr>
          <w:rFonts w:cstheme="minorHAnsi"/>
          <w:sz w:val="20"/>
          <w:szCs w:val="20"/>
          <w:lang w:val="es-ES"/>
        </w:rPr>
        <w:t>Opportunity</w:t>
      </w:r>
      <w:proofErr w:type="spellEnd"/>
      <w:r w:rsidRPr="000C7F70">
        <w:rPr>
          <w:rFonts w:cstheme="minorHAnsi"/>
          <w:sz w:val="20"/>
          <w:szCs w:val="20"/>
          <w:lang w:val="es-ES"/>
        </w:rPr>
        <w:t>" muestra una distribución más equilibrada.</w:t>
      </w:r>
    </w:p>
    <w:p w14:paraId="48B2E723" w14:textId="77777777" w:rsidR="00DA0397" w:rsidRDefault="00DA0397" w:rsidP="00AC3DEC">
      <w:pPr>
        <w:spacing w:line="240" w:lineRule="auto"/>
        <w:ind w:firstLine="0"/>
        <w:rPr>
          <w:rFonts w:cstheme="minorHAnsi"/>
          <w:sz w:val="20"/>
          <w:szCs w:val="20"/>
          <w:lang w:val="es-ES"/>
        </w:rPr>
      </w:pPr>
    </w:p>
    <w:p w14:paraId="19966DC5" w14:textId="79A9A093" w:rsidR="00653CA5" w:rsidRDefault="00DA0397" w:rsidP="00AC3DEC">
      <w:pPr>
        <w:spacing w:line="240" w:lineRule="auto"/>
        <w:ind w:firstLine="0"/>
        <w:rPr>
          <w:rFonts w:cstheme="minorHAnsi"/>
          <w:sz w:val="20"/>
          <w:szCs w:val="20"/>
          <w:lang w:val="es-ES"/>
        </w:rPr>
      </w:pPr>
      <w:r w:rsidRPr="00DA0397">
        <w:rPr>
          <w:rFonts w:cstheme="minorHAnsi"/>
          <w:sz w:val="20"/>
          <w:szCs w:val="20"/>
          <w:lang w:val="es-ES"/>
        </w:rPr>
        <w:t>El índice de "</w:t>
      </w:r>
      <w:proofErr w:type="spellStart"/>
      <w:r w:rsidRPr="00DA0397">
        <w:rPr>
          <w:rFonts w:cstheme="minorHAnsi"/>
          <w:sz w:val="20"/>
          <w:szCs w:val="20"/>
          <w:lang w:val="es-ES"/>
        </w:rPr>
        <w:t>Foundations</w:t>
      </w:r>
      <w:proofErr w:type="spellEnd"/>
      <w:r w:rsidRPr="00DA0397">
        <w:rPr>
          <w:rFonts w:cstheme="minorHAnsi"/>
          <w:sz w:val="20"/>
          <w:szCs w:val="20"/>
          <w:lang w:val="es-ES"/>
        </w:rPr>
        <w:t xml:space="preserve"> </w:t>
      </w:r>
      <w:proofErr w:type="spellStart"/>
      <w:r w:rsidRPr="00DA0397">
        <w:rPr>
          <w:rFonts w:cstheme="minorHAnsi"/>
          <w:sz w:val="20"/>
          <w:szCs w:val="20"/>
          <w:lang w:val="es-ES"/>
        </w:rPr>
        <w:t>of</w:t>
      </w:r>
      <w:proofErr w:type="spellEnd"/>
      <w:r w:rsidRPr="00DA0397">
        <w:rPr>
          <w:rFonts w:cstheme="minorHAnsi"/>
          <w:sz w:val="20"/>
          <w:szCs w:val="20"/>
          <w:lang w:val="es-ES"/>
        </w:rPr>
        <w:t xml:space="preserve"> </w:t>
      </w:r>
      <w:proofErr w:type="spellStart"/>
      <w:r w:rsidRPr="00DA0397">
        <w:rPr>
          <w:rFonts w:cstheme="minorHAnsi"/>
          <w:sz w:val="20"/>
          <w:szCs w:val="20"/>
          <w:lang w:val="es-ES"/>
        </w:rPr>
        <w:t>Wellbeing</w:t>
      </w:r>
      <w:proofErr w:type="spellEnd"/>
      <w:r w:rsidRPr="00DA0397">
        <w:rPr>
          <w:rFonts w:cstheme="minorHAnsi"/>
          <w:sz w:val="20"/>
          <w:szCs w:val="20"/>
          <w:lang w:val="es-ES"/>
        </w:rPr>
        <w:t>" y el de "</w:t>
      </w:r>
      <w:proofErr w:type="spellStart"/>
      <w:r w:rsidRPr="00DA0397">
        <w:rPr>
          <w:rFonts w:cstheme="minorHAnsi"/>
          <w:sz w:val="20"/>
          <w:szCs w:val="20"/>
          <w:lang w:val="es-ES"/>
        </w:rPr>
        <w:t>Opportunity</w:t>
      </w:r>
      <w:proofErr w:type="spellEnd"/>
      <w:r w:rsidRPr="00DA0397">
        <w:rPr>
          <w:rFonts w:cstheme="minorHAnsi"/>
          <w:sz w:val="20"/>
          <w:szCs w:val="20"/>
          <w:lang w:val="es-ES"/>
        </w:rPr>
        <w:t xml:space="preserve">" presentan una correlación muy alta (0.86 sobre 1) según se observa en la </w:t>
      </w:r>
      <w:r w:rsidRPr="00DA0397">
        <w:rPr>
          <w:rFonts w:cstheme="minorHAnsi"/>
          <w:b/>
          <w:bCs/>
          <w:sz w:val="20"/>
          <w:szCs w:val="20"/>
          <w:lang w:val="es-ES"/>
        </w:rPr>
        <w:t>Figura 03.12</w:t>
      </w:r>
      <w:r w:rsidRPr="00DA0397">
        <w:rPr>
          <w:rFonts w:cstheme="minorHAnsi"/>
          <w:sz w:val="20"/>
          <w:szCs w:val="20"/>
          <w:lang w:val="es-ES"/>
        </w:rPr>
        <w:t xml:space="preserve">, mientras que no se observa una correlación tan fuerte con el índice de "Basic </w:t>
      </w:r>
      <w:proofErr w:type="spellStart"/>
      <w:r w:rsidRPr="00DA0397">
        <w:rPr>
          <w:rFonts w:cstheme="minorHAnsi"/>
          <w:sz w:val="20"/>
          <w:szCs w:val="20"/>
          <w:lang w:val="es-ES"/>
        </w:rPr>
        <w:t>Needs</w:t>
      </w:r>
      <w:proofErr w:type="spellEnd"/>
      <w:r w:rsidRPr="00DA0397">
        <w:rPr>
          <w:rFonts w:cstheme="minorHAnsi"/>
          <w:sz w:val="20"/>
          <w:szCs w:val="20"/>
          <w:lang w:val="es-ES"/>
        </w:rPr>
        <w:t>".</w:t>
      </w:r>
    </w:p>
    <w:p w14:paraId="6BE40BE2" w14:textId="77777777" w:rsidR="00DA0397" w:rsidRPr="00DA0397" w:rsidRDefault="00DA0397" w:rsidP="00AC3DEC">
      <w:pPr>
        <w:spacing w:line="240" w:lineRule="auto"/>
        <w:ind w:firstLine="0"/>
        <w:rPr>
          <w:rFonts w:cstheme="minorHAnsi"/>
          <w:sz w:val="20"/>
          <w:szCs w:val="20"/>
          <w:lang w:val="es-ES"/>
        </w:rPr>
      </w:pPr>
    </w:p>
    <w:p w14:paraId="14CF2642" w14:textId="7FE17502" w:rsidR="00653CA5" w:rsidRDefault="00DA0397" w:rsidP="00AC3DEC">
      <w:pPr>
        <w:spacing w:line="240" w:lineRule="auto"/>
        <w:ind w:firstLine="0"/>
        <w:rPr>
          <w:rFonts w:cstheme="minorHAnsi"/>
          <w:sz w:val="20"/>
          <w:szCs w:val="20"/>
          <w:lang w:val="es-ES"/>
        </w:rPr>
      </w:pPr>
      <w:r w:rsidRPr="00DA0397">
        <w:rPr>
          <w:rFonts w:cstheme="minorHAnsi"/>
          <w:sz w:val="20"/>
          <w:szCs w:val="20"/>
          <w:lang w:val="es-ES"/>
        </w:rPr>
        <w:t xml:space="preserve">La </w:t>
      </w:r>
      <w:r w:rsidRPr="00DA0397">
        <w:rPr>
          <w:rFonts w:cstheme="minorHAnsi"/>
          <w:b/>
          <w:bCs/>
          <w:sz w:val="20"/>
          <w:szCs w:val="20"/>
          <w:lang w:val="es-ES"/>
        </w:rPr>
        <w:t>Figura 03.13</w:t>
      </w:r>
      <w:r w:rsidRPr="00DA0397">
        <w:rPr>
          <w:rFonts w:cstheme="minorHAnsi"/>
          <w:sz w:val="20"/>
          <w:szCs w:val="20"/>
          <w:lang w:val="es-ES"/>
        </w:rPr>
        <w:t xml:space="preserve"> muestra cómo se distribuye cada dimensión en los diferentes países, permitiendo identificar aquellos con peor desempeño. Como dato interesante, se destacan los </w:t>
      </w:r>
      <w:proofErr w:type="spellStart"/>
      <w:r w:rsidRPr="00DA0397">
        <w:rPr>
          <w:rFonts w:cstheme="minorHAnsi"/>
          <w:sz w:val="20"/>
          <w:szCs w:val="20"/>
          <w:lang w:val="es-ES"/>
        </w:rPr>
        <w:t>outliers</w:t>
      </w:r>
      <w:proofErr w:type="spellEnd"/>
      <w:r w:rsidRPr="00DA0397">
        <w:rPr>
          <w:rFonts w:cstheme="minorHAnsi"/>
          <w:sz w:val="20"/>
          <w:szCs w:val="20"/>
          <w:lang w:val="es-ES"/>
        </w:rPr>
        <w:t xml:space="preserve"> en Francia hacia la izquierda (valores más bajos) en el índice de "Basic </w:t>
      </w:r>
      <w:proofErr w:type="spellStart"/>
      <w:r w:rsidRPr="00DA0397">
        <w:rPr>
          <w:rFonts w:cstheme="minorHAnsi"/>
          <w:sz w:val="20"/>
          <w:szCs w:val="20"/>
          <w:lang w:val="es-ES"/>
        </w:rPr>
        <w:t>Needs</w:t>
      </w:r>
      <w:proofErr w:type="spellEnd"/>
      <w:r w:rsidRPr="00DA0397">
        <w:rPr>
          <w:rFonts w:cstheme="minorHAnsi"/>
          <w:sz w:val="20"/>
          <w:szCs w:val="20"/>
          <w:lang w:val="es-ES"/>
        </w:rPr>
        <w:t>", probablemente relacionados con sus territorios de ultramar.</w:t>
      </w:r>
    </w:p>
    <w:p w14:paraId="6B4FFDAB" w14:textId="77777777" w:rsidR="00DA0397" w:rsidRPr="00DA0397" w:rsidRDefault="00DA0397" w:rsidP="00AC3DEC">
      <w:pPr>
        <w:spacing w:line="240" w:lineRule="auto"/>
        <w:ind w:firstLine="0"/>
        <w:rPr>
          <w:rFonts w:cstheme="minorHAnsi"/>
          <w:sz w:val="20"/>
          <w:szCs w:val="20"/>
          <w:lang w:val="es-ES"/>
        </w:rPr>
      </w:pPr>
    </w:p>
    <w:p w14:paraId="3F6F6A54" w14:textId="58431868" w:rsidR="00232379" w:rsidRDefault="00DA0397" w:rsidP="00AC3DEC">
      <w:pPr>
        <w:spacing w:line="240" w:lineRule="auto"/>
        <w:ind w:firstLine="0"/>
        <w:rPr>
          <w:rFonts w:cstheme="minorHAnsi"/>
          <w:sz w:val="20"/>
          <w:szCs w:val="20"/>
          <w:lang w:val="es-ES"/>
        </w:rPr>
      </w:pPr>
      <w:r w:rsidRPr="00DA0397">
        <w:rPr>
          <w:rFonts w:cstheme="minorHAnsi"/>
          <w:sz w:val="20"/>
          <w:szCs w:val="20"/>
          <w:lang w:val="es-ES"/>
        </w:rPr>
        <w:t xml:space="preserve">En las </w:t>
      </w:r>
      <w:r w:rsidRPr="00DA0397">
        <w:rPr>
          <w:rFonts w:cstheme="minorHAnsi"/>
          <w:b/>
          <w:bCs/>
          <w:sz w:val="20"/>
          <w:szCs w:val="20"/>
          <w:lang w:val="es-ES"/>
        </w:rPr>
        <w:t>Figuras</w:t>
      </w:r>
      <w:r w:rsidRPr="00DA0397">
        <w:rPr>
          <w:rFonts w:cstheme="minorHAnsi"/>
          <w:sz w:val="20"/>
          <w:szCs w:val="20"/>
          <w:lang w:val="es-ES"/>
        </w:rPr>
        <w:t xml:space="preserve"> </w:t>
      </w:r>
      <w:r w:rsidRPr="00DA0397">
        <w:rPr>
          <w:rFonts w:cstheme="minorHAnsi"/>
          <w:b/>
          <w:bCs/>
          <w:sz w:val="20"/>
          <w:szCs w:val="20"/>
          <w:lang w:val="es-ES"/>
        </w:rPr>
        <w:t>03.14</w:t>
      </w:r>
      <w:r w:rsidRPr="00DA0397">
        <w:rPr>
          <w:rFonts w:cstheme="minorHAnsi"/>
          <w:sz w:val="20"/>
          <w:szCs w:val="20"/>
          <w:lang w:val="es-ES"/>
        </w:rPr>
        <w:t xml:space="preserve"> y </w:t>
      </w:r>
      <w:r w:rsidRPr="00DA0397">
        <w:rPr>
          <w:rFonts w:cstheme="minorHAnsi"/>
          <w:b/>
          <w:bCs/>
          <w:sz w:val="20"/>
          <w:szCs w:val="20"/>
          <w:lang w:val="es-ES"/>
        </w:rPr>
        <w:t>03.15</w:t>
      </w:r>
      <w:r w:rsidRPr="00DA0397">
        <w:rPr>
          <w:rFonts w:cstheme="minorHAnsi"/>
          <w:sz w:val="20"/>
          <w:szCs w:val="20"/>
          <w:lang w:val="es-ES"/>
        </w:rPr>
        <w:t xml:space="preserve"> visualizamos la distribución de las tres dimensiones en el mapa de las regiones europeas.</w:t>
      </w:r>
      <w:r w:rsidR="009D7659">
        <w:rPr>
          <w:rFonts w:cstheme="minorHAnsi"/>
          <w:sz w:val="20"/>
          <w:szCs w:val="20"/>
          <w:lang w:val="es-ES"/>
        </w:rPr>
        <w:t xml:space="preserve"> </w:t>
      </w:r>
      <w:r w:rsidRPr="00DA0397">
        <w:rPr>
          <w:rFonts w:cstheme="minorHAnsi"/>
          <w:sz w:val="20"/>
          <w:szCs w:val="20"/>
          <w:lang w:val="es-ES"/>
        </w:rPr>
        <w:t xml:space="preserve">En general, para las tres dimensiones se observan valores más bajos en Europa del Este y los Balcanes, y valores más altos en el norte de Europa. Esta distribución se hace más evidente a medida que se avanza en desarrollo social: se encuentran puntuaciones altas en "Basic </w:t>
      </w:r>
      <w:proofErr w:type="spellStart"/>
      <w:r w:rsidRPr="00DA0397">
        <w:rPr>
          <w:rFonts w:cstheme="minorHAnsi"/>
          <w:sz w:val="20"/>
          <w:szCs w:val="20"/>
          <w:lang w:val="es-ES"/>
        </w:rPr>
        <w:t>Needs</w:t>
      </w:r>
      <w:proofErr w:type="spellEnd"/>
      <w:r w:rsidRPr="00DA0397">
        <w:rPr>
          <w:rFonts w:cstheme="minorHAnsi"/>
          <w:sz w:val="20"/>
          <w:szCs w:val="20"/>
          <w:lang w:val="es-ES"/>
        </w:rPr>
        <w:t>" en zonas muy diversas como Europa Central, España, Italia y Grecia, mientras que en "</w:t>
      </w:r>
      <w:proofErr w:type="spellStart"/>
      <w:r w:rsidRPr="00DA0397">
        <w:rPr>
          <w:rFonts w:cstheme="minorHAnsi"/>
          <w:sz w:val="20"/>
          <w:szCs w:val="20"/>
          <w:lang w:val="es-ES"/>
        </w:rPr>
        <w:t>Opportunity</w:t>
      </w:r>
      <w:proofErr w:type="spellEnd"/>
      <w:r w:rsidRPr="00DA0397">
        <w:rPr>
          <w:rFonts w:cstheme="minorHAnsi"/>
          <w:sz w:val="20"/>
          <w:szCs w:val="20"/>
          <w:lang w:val="es-ES"/>
        </w:rPr>
        <w:t>" casi todo el continente muestra puntuaciones medias, destacando claramente las zonas con mayor y menor desarrollo (las colas de la distribución).</w:t>
      </w:r>
    </w:p>
    <w:p w14:paraId="590DA3D5" w14:textId="77777777" w:rsidR="002C64AE" w:rsidRDefault="002C64AE" w:rsidP="00AC3DEC">
      <w:pPr>
        <w:spacing w:line="240" w:lineRule="auto"/>
        <w:ind w:firstLine="0"/>
        <w:rPr>
          <w:rFonts w:cstheme="minorHAnsi"/>
          <w:sz w:val="20"/>
          <w:szCs w:val="20"/>
          <w:lang w:val="es-ES"/>
        </w:rPr>
      </w:pPr>
    </w:p>
    <w:p w14:paraId="1AA53BA7" w14:textId="77777777" w:rsidR="00DA0397" w:rsidRPr="00DA0397" w:rsidRDefault="00DA0397" w:rsidP="00AC3DEC">
      <w:pPr>
        <w:spacing w:line="240" w:lineRule="auto"/>
        <w:ind w:firstLine="0"/>
        <w:rPr>
          <w:rFonts w:cstheme="minorHAnsi"/>
          <w:sz w:val="20"/>
          <w:szCs w:val="20"/>
          <w:lang w:val="es-ES"/>
        </w:rPr>
      </w:pPr>
    </w:p>
    <w:p w14:paraId="14ABEE75" w14:textId="7B6B8BE0" w:rsidR="00AC3DEC" w:rsidRDefault="00DA0397" w:rsidP="00DA0397">
      <w:pPr>
        <w:pStyle w:val="Heading2"/>
        <w:rPr>
          <w:rFonts w:cstheme="minorHAnsi"/>
          <w:b w:val="0"/>
          <w:bCs w:val="0"/>
          <w:sz w:val="20"/>
          <w:szCs w:val="20"/>
          <w:lang w:val="es-ES"/>
        </w:rPr>
      </w:pPr>
      <w:bookmarkStart w:id="48" w:name="_Toc177028035"/>
      <w:bookmarkStart w:id="49" w:name="_Toc177028197"/>
      <w:r>
        <w:rPr>
          <w:lang w:val="es-ES"/>
        </w:rPr>
        <w:t xml:space="preserve">IV.3. </w:t>
      </w:r>
      <w:r w:rsidR="00232379" w:rsidRPr="00232379">
        <w:rPr>
          <w:lang w:val="es-ES"/>
        </w:rPr>
        <w:t>Dimensiones y PIB per cápita:</w:t>
      </w:r>
      <w:bookmarkEnd w:id="48"/>
      <w:bookmarkEnd w:id="49"/>
    </w:p>
    <w:p w14:paraId="4738EC78" w14:textId="582A9064" w:rsidR="001202C0" w:rsidRDefault="00DA0397" w:rsidP="00AC3DEC">
      <w:pPr>
        <w:spacing w:line="240" w:lineRule="auto"/>
        <w:ind w:firstLine="0"/>
        <w:rPr>
          <w:rFonts w:cstheme="minorHAnsi"/>
          <w:sz w:val="20"/>
          <w:szCs w:val="20"/>
          <w:lang w:val="es-ES"/>
        </w:rPr>
      </w:pPr>
      <w:r w:rsidRPr="00DA0397">
        <w:rPr>
          <w:rFonts w:cstheme="minorHAnsi"/>
          <w:sz w:val="20"/>
          <w:szCs w:val="20"/>
          <w:lang w:val="es-ES"/>
        </w:rPr>
        <w:t xml:space="preserve">Como se </w:t>
      </w:r>
      <w:r w:rsidR="009D7659">
        <w:rPr>
          <w:rFonts w:cstheme="minorHAnsi"/>
          <w:sz w:val="20"/>
          <w:szCs w:val="20"/>
          <w:lang w:val="es-ES"/>
        </w:rPr>
        <w:t>indicó</w:t>
      </w:r>
      <w:r w:rsidRPr="00DA0397">
        <w:rPr>
          <w:rFonts w:cstheme="minorHAnsi"/>
          <w:sz w:val="20"/>
          <w:szCs w:val="20"/>
          <w:lang w:val="es-ES"/>
        </w:rPr>
        <w:t xml:space="preserve"> en la fase anterior, la correlación entre el PIB per cápita y los índices de desarrollo social aumenta a medida que se superan las necesidades más básicas y se avanza hacia objetivos más complejos. En las </w:t>
      </w:r>
      <w:r w:rsidRPr="00DA0397">
        <w:rPr>
          <w:rFonts w:cstheme="minorHAnsi"/>
          <w:b/>
          <w:bCs/>
          <w:sz w:val="20"/>
          <w:szCs w:val="20"/>
          <w:lang w:val="es-ES"/>
        </w:rPr>
        <w:t>Figuras 03.17</w:t>
      </w:r>
      <w:r w:rsidRPr="00DA0397">
        <w:rPr>
          <w:rFonts w:cstheme="minorHAnsi"/>
          <w:sz w:val="20"/>
          <w:szCs w:val="20"/>
          <w:lang w:val="es-ES"/>
        </w:rPr>
        <w:t xml:space="preserve"> y </w:t>
      </w:r>
      <w:r w:rsidRPr="00DA0397">
        <w:rPr>
          <w:rFonts w:cstheme="minorHAnsi"/>
          <w:b/>
          <w:bCs/>
          <w:sz w:val="20"/>
          <w:szCs w:val="20"/>
          <w:lang w:val="es-ES"/>
        </w:rPr>
        <w:t>03.18</w:t>
      </w:r>
      <w:r w:rsidRPr="00DA0397">
        <w:rPr>
          <w:rFonts w:cstheme="minorHAnsi"/>
          <w:sz w:val="20"/>
          <w:szCs w:val="20"/>
          <w:lang w:val="es-ES"/>
        </w:rPr>
        <w:t xml:space="preserve"> del Anexo se puede apreciar que la correlación de Pearson para las tres dimensiones es de 0.273 para "Basic </w:t>
      </w:r>
      <w:proofErr w:type="spellStart"/>
      <w:r w:rsidRPr="00DA0397">
        <w:rPr>
          <w:rFonts w:cstheme="minorHAnsi"/>
          <w:sz w:val="20"/>
          <w:szCs w:val="20"/>
          <w:lang w:val="es-ES"/>
        </w:rPr>
        <w:t>Needs</w:t>
      </w:r>
      <w:proofErr w:type="spellEnd"/>
      <w:r w:rsidRPr="00DA0397">
        <w:rPr>
          <w:rFonts w:cstheme="minorHAnsi"/>
          <w:sz w:val="20"/>
          <w:szCs w:val="20"/>
          <w:lang w:val="es-ES"/>
        </w:rPr>
        <w:t>", 0.641 para "</w:t>
      </w:r>
      <w:proofErr w:type="spellStart"/>
      <w:r w:rsidRPr="00DA0397">
        <w:rPr>
          <w:rFonts w:cstheme="minorHAnsi"/>
          <w:sz w:val="20"/>
          <w:szCs w:val="20"/>
          <w:lang w:val="es-ES"/>
        </w:rPr>
        <w:t>Foundations</w:t>
      </w:r>
      <w:proofErr w:type="spellEnd"/>
      <w:r w:rsidRPr="00DA0397">
        <w:rPr>
          <w:rFonts w:cstheme="minorHAnsi"/>
          <w:sz w:val="20"/>
          <w:szCs w:val="20"/>
          <w:lang w:val="es-ES"/>
        </w:rPr>
        <w:t xml:space="preserve"> </w:t>
      </w:r>
      <w:proofErr w:type="spellStart"/>
      <w:r w:rsidRPr="00DA0397">
        <w:rPr>
          <w:rFonts w:cstheme="minorHAnsi"/>
          <w:sz w:val="20"/>
          <w:szCs w:val="20"/>
          <w:lang w:val="es-ES"/>
        </w:rPr>
        <w:t>of</w:t>
      </w:r>
      <w:proofErr w:type="spellEnd"/>
      <w:r w:rsidRPr="00DA0397">
        <w:rPr>
          <w:rFonts w:cstheme="minorHAnsi"/>
          <w:sz w:val="20"/>
          <w:szCs w:val="20"/>
          <w:lang w:val="es-ES"/>
        </w:rPr>
        <w:t xml:space="preserve"> </w:t>
      </w:r>
      <w:proofErr w:type="spellStart"/>
      <w:r w:rsidRPr="00DA0397">
        <w:rPr>
          <w:rFonts w:cstheme="minorHAnsi"/>
          <w:sz w:val="20"/>
          <w:szCs w:val="20"/>
          <w:lang w:val="es-ES"/>
        </w:rPr>
        <w:t>Wellbeing</w:t>
      </w:r>
      <w:proofErr w:type="spellEnd"/>
      <w:r w:rsidRPr="00DA0397">
        <w:rPr>
          <w:rFonts w:cstheme="minorHAnsi"/>
          <w:sz w:val="20"/>
          <w:szCs w:val="20"/>
          <w:lang w:val="es-ES"/>
        </w:rPr>
        <w:t>" y 0.726 para "</w:t>
      </w:r>
      <w:proofErr w:type="spellStart"/>
      <w:r w:rsidRPr="00DA0397">
        <w:rPr>
          <w:rFonts w:cstheme="minorHAnsi"/>
          <w:sz w:val="20"/>
          <w:szCs w:val="20"/>
          <w:lang w:val="es-ES"/>
        </w:rPr>
        <w:t>Opportunity</w:t>
      </w:r>
      <w:proofErr w:type="spellEnd"/>
      <w:r w:rsidRPr="00DA0397">
        <w:rPr>
          <w:rFonts w:cstheme="minorHAnsi"/>
          <w:sz w:val="20"/>
          <w:szCs w:val="20"/>
          <w:lang w:val="es-ES"/>
        </w:rPr>
        <w:t>".</w:t>
      </w:r>
    </w:p>
    <w:p w14:paraId="11AAC0AB" w14:textId="77777777" w:rsidR="001202C0" w:rsidRDefault="001202C0" w:rsidP="00AC3DEC">
      <w:pPr>
        <w:spacing w:line="240" w:lineRule="auto"/>
        <w:ind w:firstLine="0"/>
        <w:rPr>
          <w:rFonts w:cstheme="minorHAnsi"/>
          <w:sz w:val="20"/>
          <w:szCs w:val="20"/>
          <w:lang w:val="es-ES"/>
        </w:rPr>
      </w:pPr>
    </w:p>
    <w:p w14:paraId="1E642064" w14:textId="77777777" w:rsidR="006C3124" w:rsidRPr="006C3124" w:rsidRDefault="006C3124" w:rsidP="00AC3DEC">
      <w:pPr>
        <w:spacing w:line="240" w:lineRule="auto"/>
        <w:ind w:firstLine="0"/>
        <w:rPr>
          <w:rFonts w:cstheme="minorHAnsi"/>
          <w:sz w:val="20"/>
          <w:szCs w:val="20"/>
          <w:lang w:val="es-ES"/>
        </w:rPr>
      </w:pPr>
    </w:p>
    <w:p w14:paraId="390C9C86" w14:textId="4D102D5A" w:rsidR="006C3124" w:rsidRPr="00E34484" w:rsidRDefault="006C3124" w:rsidP="00E34484">
      <w:pPr>
        <w:pStyle w:val="Heading1"/>
        <w:jc w:val="left"/>
        <w:rPr>
          <w:color w:val="4472C4" w:themeColor="accent1"/>
          <w:lang w:val="es-ES"/>
        </w:rPr>
      </w:pPr>
      <w:bookmarkStart w:id="50" w:name="_Toc177028036"/>
      <w:bookmarkStart w:id="51" w:name="_Toc177028198"/>
      <w:r w:rsidRPr="00E34484">
        <w:rPr>
          <w:color w:val="4472C4" w:themeColor="accent1"/>
          <w:lang w:val="es-ES"/>
        </w:rPr>
        <w:t>Fase V. Agregación SPI-EU</w:t>
      </w:r>
      <w:bookmarkEnd w:id="50"/>
      <w:bookmarkEnd w:id="51"/>
    </w:p>
    <w:p w14:paraId="4B3D1783" w14:textId="77777777" w:rsidR="00DA0397" w:rsidRDefault="00DA0397" w:rsidP="006C3124">
      <w:pPr>
        <w:pStyle w:val="CaptionCallout"/>
        <w:spacing w:line="240" w:lineRule="auto"/>
        <w:rPr>
          <w:color w:val="2E74B5" w:themeColor="accent5" w:themeShade="BF"/>
          <w:sz w:val="24"/>
          <w:szCs w:val="24"/>
          <w:lang w:val="es-ES"/>
        </w:rPr>
      </w:pPr>
    </w:p>
    <w:p w14:paraId="41103B4A" w14:textId="77777777" w:rsidR="001202C0" w:rsidRPr="00DA0397" w:rsidRDefault="001202C0" w:rsidP="001202C0">
      <w:pPr>
        <w:pStyle w:val="NoIndent"/>
        <w:spacing w:line="240" w:lineRule="auto"/>
        <w:rPr>
          <w:b/>
          <w:bCs/>
          <w:sz w:val="20"/>
          <w:szCs w:val="20"/>
          <w:lang w:val="es-ES"/>
        </w:rPr>
      </w:pPr>
      <w:r w:rsidRPr="00DA0397">
        <w:rPr>
          <w:b/>
          <w:bCs/>
          <w:sz w:val="20"/>
          <w:szCs w:val="20"/>
          <w:lang w:val="es-ES"/>
        </w:rPr>
        <w:t xml:space="preserve">Anexo: </w:t>
      </w:r>
    </w:p>
    <w:p w14:paraId="26BF4CB1" w14:textId="5C8D89FB" w:rsidR="001202C0" w:rsidRPr="00DA0397" w:rsidRDefault="001202C0" w:rsidP="001202C0">
      <w:pPr>
        <w:pStyle w:val="NoIndent"/>
        <w:numPr>
          <w:ilvl w:val="0"/>
          <w:numId w:val="3"/>
        </w:numPr>
        <w:spacing w:line="240" w:lineRule="auto"/>
        <w:rPr>
          <w:sz w:val="20"/>
          <w:szCs w:val="20"/>
          <w:lang w:val="es-ES"/>
        </w:rPr>
      </w:pPr>
      <w:r w:rsidRPr="00DA0397">
        <w:rPr>
          <w:rFonts w:cstheme="minorHAnsi"/>
          <w:sz w:val="20"/>
          <w:szCs w:val="20"/>
          <w:lang w:val="es-ES"/>
        </w:rPr>
        <w:t>04_SPI_agregacion_</w:t>
      </w:r>
      <w:proofErr w:type="gramStart"/>
      <w:r w:rsidRPr="00DA0397">
        <w:rPr>
          <w:rFonts w:cstheme="minorHAnsi"/>
          <w:sz w:val="20"/>
          <w:szCs w:val="20"/>
          <w:lang w:val="es-ES"/>
        </w:rPr>
        <w:t>minmax.ipynb</w:t>
      </w:r>
      <w:proofErr w:type="gramEnd"/>
    </w:p>
    <w:p w14:paraId="13EDEEBB" w14:textId="343AAD03" w:rsidR="001202C0" w:rsidRPr="00DA0397" w:rsidRDefault="001202C0" w:rsidP="001202C0">
      <w:pPr>
        <w:pStyle w:val="NoIndent"/>
        <w:numPr>
          <w:ilvl w:val="0"/>
          <w:numId w:val="3"/>
        </w:numPr>
        <w:spacing w:line="240" w:lineRule="auto"/>
        <w:rPr>
          <w:rFonts w:cstheme="minorHAnsi"/>
          <w:sz w:val="20"/>
          <w:szCs w:val="20"/>
          <w:lang w:val="es-ES"/>
        </w:rPr>
      </w:pPr>
      <w:r w:rsidRPr="00DA0397">
        <w:rPr>
          <w:rFonts w:cstheme="minorHAnsi"/>
          <w:sz w:val="20"/>
          <w:szCs w:val="20"/>
          <w:lang w:val="es-ES"/>
        </w:rPr>
        <w:t>04_SPI_agregacion_minmax.html</w:t>
      </w:r>
    </w:p>
    <w:p w14:paraId="08198EBA" w14:textId="61E8A70C" w:rsidR="008A4F4F" w:rsidRDefault="008A4F4F" w:rsidP="007B5436">
      <w:pPr>
        <w:pStyle w:val="CaptionCallout"/>
        <w:spacing w:line="240" w:lineRule="auto"/>
        <w:rPr>
          <w:color w:val="2E74B5" w:themeColor="accent5" w:themeShade="BF"/>
          <w:sz w:val="24"/>
          <w:szCs w:val="24"/>
          <w:lang w:val="es-ES"/>
        </w:rPr>
      </w:pPr>
    </w:p>
    <w:p w14:paraId="4458D930" w14:textId="43C14211" w:rsidR="001202C0" w:rsidRDefault="00DA0397" w:rsidP="001A5D49">
      <w:pPr>
        <w:spacing w:line="240" w:lineRule="auto"/>
        <w:ind w:firstLine="0"/>
        <w:rPr>
          <w:rFonts w:cstheme="minorHAnsi"/>
          <w:sz w:val="20"/>
          <w:szCs w:val="20"/>
          <w:lang w:val="es-ES"/>
        </w:rPr>
      </w:pPr>
      <w:r w:rsidRPr="00DA0397">
        <w:rPr>
          <w:rFonts w:cstheme="minorHAnsi"/>
          <w:sz w:val="20"/>
          <w:szCs w:val="20"/>
          <w:lang w:val="es-ES"/>
        </w:rPr>
        <w:t>En esta fase, las dimensiones se agregan en un índice final</w:t>
      </w:r>
      <w:r w:rsidR="005E59EE">
        <w:rPr>
          <w:rFonts w:cstheme="minorHAnsi"/>
          <w:sz w:val="20"/>
          <w:szCs w:val="20"/>
          <w:lang w:val="es-ES"/>
        </w:rPr>
        <w:t xml:space="preserve"> por región</w:t>
      </w:r>
      <w:r w:rsidRPr="00DA0397">
        <w:rPr>
          <w:rFonts w:cstheme="minorHAnsi"/>
          <w:sz w:val="20"/>
          <w:szCs w:val="20"/>
          <w:lang w:val="es-ES"/>
        </w:rPr>
        <w:t xml:space="preserve">, utilizando la media generalizada con un factor </w:t>
      </w:r>
      <w:r w:rsidRPr="00DA0397">
        <w:rPr>
          <w:rFonts w:cstheme="minorHAnsi"/>
          <w:sz w:val="20"/>
          <w:szCs w:val="20"/>
        </w:rPr>
        <w:t>β</w:t>
      </w:r>
      <w:r w:rsidRPr="00DA0397">
        <w:rPr>
          <w:rFonts w:cstheme="minorHAnsi"/>
          <w:sz w:val="20"/>
          <w:szCs w:val="20"/>
          <w:lang w:val="es-ES"/>
        </w:rPr>
        <w:t xml:space="preserve"> = 0.5, de forma similar a la fase anterior.</w:t>
      </w:r>
    </w:p>
    <w:p w14:paraId="5F46E3AE" w14:textId="77777777" w:rsidR="002C64AE" w:rsidRPr="00DA0397" w:rsidRDefault="002C64AE" w:rsidP="001A5D49">
      <w:pPr>
        <w:spacing w:line="240" w:lineRule="auto"/>
        <w:ind w:firstLine="0"/>
        <w:rPr>
          <w:rFonts w:cstheme="minorHAnsi"/>
          <w:sz w:val="20"/>
          <w:szCs w:val="20"/>
          <w:lang w:val="es-ES"/>
        </w:rPr>
      </w:pPr>
    </w:p>
    <w:p w14:paraId="0A2EB039" w14:textId="77777777" w:rsidR="003C1546" w:rsidRPr="001A5D49" w:rsidRDefault="003C1546" w:rsidP="001A5D49">
      <w:pPr>
        <w:spacing w:line="240" w:lineRule="auto"/>
        <w:ind w:firstLine="0"/>
        <w:rPr>
          <w:rFonts w:cstheme="minorHAnsi"/>
          <w:sz w:val="20"/>
          <w:szCs w:val="20"/>
          <w:lang w:val="es-ES"/>
        </w:rPr>
      </w:pPr>
    </w:p>
    <w:p w14:paraId="56B51D52" w14:textId="00541250" w:rsidR="003C1546" w:rsidRPr="001A5D49" w:rsidRDefault="00DA0397" w:rsidP="00DA0397">
      <w:pPr>
        <w:pStyle w:val="Heading2"/>
        <w:rPr>
          <w:rFonts w:cstheme="minorHAnsi"/>
          <w:sz w:val="20"/>
          <w:szCs w:val="20"/>
          <w:lang w:val="es-ES"/>
        </w:rPr>
      </w:pPr>
      <w:bookmarkStart w:id="52" w:name="_Toc177028037"/>
      <w:bookmarkStart w:id="53" w:name="_Toc177028199"/>
      <w:r>
        <w:rPr>
          <w:lang w:val="es-ES"/>
        </w:rPr>
        <w:t xml:space="preserve">V.1. </w:t>
      </w:r>
      <w:r w:rsidR="003C1546" w:rsidRPr="001A5D49">
        <w:rPr>
          <w:lang w:val="es-ES"/>
        </w:rPr>
        <w:t>Análisis:</w:t>
      </w:r>
      <w:bookmarkEnd w:id="52"/>
      <w:bookmarkEnd w:id="53"/>
    </w:p>
    <w:p w14:paraId="66E44C45" w14:textId="6F6C4226" w:rsidR="003C1546" w:rsidRDefault="00DA0397" w:rsidP="001A5D49">
      <w:pPr>
        <w:spacing w:line="240" w:lineRule="auto"/>
        <w:ind w:firstLine="0"/>
        <w:rPr>
          <w:rFonts w:cstheme="minorHAnsi"/>
          <w:sz w:val="20"/>
          <w:szCs w:val="20"/>
          <w:lang w:val="es-ES"/>
        </w:rPr>
      </w:pPr>
      <w:r w:rsidRPr="00DA0397">
        <w:rPr>
          <w:rFonts w:cstheme="minorHAnsi"/>
          <w:sz w:val="20"/>
          <w:szCs w:val="20"/>
          <w:lang w:val="es-ES"/>
        </w:rPr>
        <w:t xml:space="preserve">La distribución del SPI presenta un ligero sesgo hacia la izquierda. Aunque muchas regiones alcanzan un nivel medio-alto de progreso social, una cuarta parte de las regiones exhibe niveles significativamente inferiores a la media, lo que refleja una disparidad notable en el desarrollo social entre las diferentes regiones de la UE. Esto se puede observar en las </w:t>
      </w:r>
      <w:r w:rsidRPr="00DA0397">
        <w:rPr>
          <w:rFonts w:cstheme="minorHAnsi"/>
          <w:b/>
          <w:bCs/>
          <w:sz w:val="20"/>
          <w:szCs w:val="20"/>
          <w:lang w:val="es-ES"/>
        </w:rPr>
        <w:t>Figuras 04.4</w:t>
      </w:r>
      <w:r w:rsidRPr="00DA0397">
        <w:rPr>
          <w:rFonts w:cstheme="minorHAnsi"/>
          <w:sz w:val="20"/>
          <w:szCs w:val="20"/>
          <w:lang w:val="es-ES"/>
        </w:rPr>
        <w:t xml:space="preserve"> y </w:t>
      </w:r>
      <w:r w:rsidRPr="00DA0397">
        <w:rPr>
          <w:rFonts w:cstheme="minorHAnsi"/>
          <w:b/>
          <w:bCs/>
          <w:sz w:val="20"/>
          <w:szCs w:val="20"/>
          <w:lang w:val="es-ES"/>
        </w:rPr>
        <w:t>04.5</w:t>
      </w:r>
      <w:r w:rsidRPr="00DA0397">
        <w:rPr>
          <w:rFonts w:cstheme="minorHAnsi"/>
          <w:sz w:val="20"/>
          <w:szCs w:val="20"/>
          <w:lang w:val="es-ES"/>
        </w:rPr>
        <w:t xml:space="preserve"> del Anexo.</w:t>
      </w:r>
    </w:p>
    <w:p w14:paraId="41A5ACA0" w14:textId="77777777" w:rsidR="002C64AE" w:rsidRDefault="002C64AE" w:rsidP="001A5D49">
      <w:pPr>
        <w:spacing w:line="240" w:lineRule="auto"/>
        <w:ind w:firstLine="0"/>
        <w:rPr>
          <w:rFonts w:cstheme="minorHAnsi"/>
          <w:sz w:val="20"/>
          <w:szCs w:val="20"/>
          <w:lang w:val="es-ES"/>
        </w:rPr>
      </w:pPr>
    </w:p>
    <w:p w14:paraId="084829BE" w14:textId="77777777" w:rsidR="00DA0397" w:rsidRPr="00DA0397" w:rsidRDefault="00DA0397" w:rsidP="001A5D49">
      <w:pPr>
        <w:spacing w:line="240" w:lineRule="auto"/>
        <w:ind w:firstLine="0"/>
        <w:rPr>
          <w:rFonts w:cstheme="minorHAnsi"/>
          <w:sz w:val="20"/>
          <w:szCs w:val="20"/>
          <w:lang w:val="es-ES"/>
        </w:rPr>
      </w:pPr>
    </w:p>
    <w:p w14:paraId="2C118948" w14:textId="5746E574" w:rsidR="003C1546" w:rsidRPr="001A5D49" w:rsidRDefault="00DA0397" w:rsidP="00DA0397">
      <w:pPr>
        <w:pStyle w:val="Heading2"/>
        <w:rPr>
          <w:rFonts w:cstheme="minorHAnsi"/>
          <w:b w:val="0"/>
          <w:bCs w:val="0"/>
          <w:sz w:val="20"/>
          <w:szCs w:val="20"/>
          <w:lang w:val="es-ES"/>
        </w:rPr>
      </w:pPr>
      <w:bookmarkStart w:id="54" w:name="_Toc177028038"/>
      <w:bookmarkStart w:id="55" w:name="_Toc177028200"/>
      <w:r>
        <w:rPr>
          <w:lang w:val="es-ES"/>
        </w:rPr>
        <w:t xml:space="preserve">V.2. </w:t>
      </w:r>
      <w:r w:rsidR="003C1546" w:rsidRPr="001A5D49">
        <w:rPr>
          <w:lang w:val="es-ES"/>
        </w:rPr>
        <w:t>SPI-EU por países:</w:t>
      </w:r>
      <w:bookmarkEnd w:id="54"/>
      <w:bookmarkEnd w:id="55"/>
    </w:p>
    <w:p w14:paraId="0BA64B7C" w14:textId="77777777" w:rsidR="00DA0397" w:rsidRDefault="00DA0397" w:rsidP="00DA0397">
      <w:pPr>
        <w:spacing w:line="240" w:lineRule="auto"/>
        <w:ind w:firstLine="0"/>
        <w:rPr>
          <w:rFonts w:cstheme="minorHAnsi"/>
          <w:sz w:val="20"/>
          <w:szCs w:val="20"/>
          <w:lang w:val="es-ES"/>
        </w:rPr>
      </w:pPr>
      <w:r w:rsidRPr="00DA0397">
        <w:rPr>
          <w:rFonts w:cstheme="minorHAnsi"/>
          <w:sz w:val="20"/>
          <w:szCs w:val="20"/>
          <w:lang w:val="es-ES"/>
        </w:rPr>
        <w:t xml:space="preserve">La </w:t>
      </w:r>
      <w:r w:rsidRPr="00DA0397">
        <w:rPr>
          <w:rFonts w:cstheme="minorHAnsi"/>
          <w:b/>
          <w:bCs/>
          <w:sz w:val="20"/>
          <w:szCs w:val="20"/>
          <w:lang w:val="es-ES"/>
        </w:rPr>
        <w:t>Figura 04.6</w:t>
      </w:r>
      <w:r w:rsidRPr="00DA0397">
        <w:rPr>
          <w:rFonts w:cstheme="minorHAnsi"/>
          <w:sz w:val="20"/>
          <w:szCs w:val="20"/>
          <w:lang w:val="es-ES"/>
        </w:rPr>
        <w:t xml:space="preserve"> muestra un gráfico de caja (box-</w:t>
      </w:r>
      <w:proofErr w:type="spellStart"/>
      <w:r w:rsidRPr="00DA0397">
        <w:rPr>
          <w:rFonts w:cstheme="minorHAnsi"/>
          <w:sz w:val="20"/>
          <w:szCs w:val="20"/>
          <w:lang w:val="es-ES"/>
        </w:rPr>
        <w:t>plot</w:t>
      </w:r>
      <w:proofErr w:type="spellEnd"/>
      <w:r w:rsidRPr="00DA0397">
        <w:rPr>
          <w:rFonts w:cstheme="minorHAnsi"/>
          <w:sz w:val="20"/>
          <w:szCs w:val="20"/>
          <w:lang w:val="es-ES"/>
        </w:rPr>
        <w:t>) que representa la distribución del SPI y la media general por país. Los países presentan distribuciones dispares, aunque la mayoría se sitúan en un rango de puntuaciones entre 50 y 70, con una media general de 60.89. Se identifican fácilmente los países con peor desempeño: Bulgaria (BG), Croacia (HR), Rumanía (RO) y Eslovaquia (SK). Por el contrario, los países con mejor desempeño son Dinamarca (DK), Finlandia (FI), Países Bajos (NL) y Suecia (SE).</w:t>
      </w:r>
    </w:p>
    <w:p w14:paraId="511C235B" w14:textId="77777777" w:rsidR="00DA0397" w:rsidRPr="00DA0397" w:rsidRDefault="00DA0397" w:rsidP="00DA0397">
      <w:pPr>
        <w:spacing w:line="240" w:lineRule="auto"/>
        <w:ind w:firstLine="0"/>
        <w:rPr>
          <w:rFonts w:cstheme="minorHAnsi"/>
          <w:sz w:val="20"/>
          <w:szCs w:val="20"/>
          <w:lang w:val="es-ES"/>
        </w:rPr>
      </w:pPr>
    </w:p>
    <w:p w14:paraId="05AA9743" w14:textId="77777777" w:rsidR="00DA0397" w:rsidRDefault="00DA0397" w:rsidP="00DA0397">
      <w:pPr>
        <w:spacing w:line="240" w:lineRule="auto"/>
        <w:ind w:firstLine="0"/>
        <w:rPr>
          <w:rFonts w:cstheme="minorHAnsi"/>
          <w:sz w:val="20"/>
          <w:szCs w:val="20"/>
          <w:lang w:val="es-ES"/>
        </w:rPr>
      </w:pPr>
      <w:r w:rsidRPr="00DA0397">
        <w:rPr>
          <w:rFonts w:cstheme="minorHAnsi"/>
          <w:sz w:val="20"/>
          <w:szCs w:val="20"/>
          <w:lang w:val="es-ES"/>
        </w:rPr>
        <w:t>Un aspecto interesante de este gráfico es la distribución de Francia (FR), que está centrada en la media, pero con cuatro regiones que destacan por tener puntuaciones muy bajas (</w:t>
      </w:r>
      <w:proofErr w:type="spellStart"/>
      <w:r w:rsidRPr="00DA0397">
        <w:rPr>
          <w:rFonts w:cstheme="minorHAnsi"/>
          <w:sz w:val="20"/>
          <w:szCs w:val="20"/>
          <w:lang w:val="es-ES"/>
        </w:rPr>
        <w:t>outliers</w:t>
      </w:r>
      <w:proofErr w:type="spellEnd"/>
      <w:r w:rsidRPr="00DA0397">
        <w:rPr>
          <w:rFonts w:cstheme="minorHAnsi"/>
          <w:sz w:val="20"/>
          <w:szCs w:val="20"/>
          <w:lang w:val="es-ES"/>
        </w:rPr>
        <w:t>), incluso por debajo de 40. Algo similar, aunque en menor medida, ocurre con Italia (IT). Por el contrario, Eslovaquia muestra puntuaciones medias-bajas en general, pero con una región que se destaca por encima de la media.</w:t>
      </w:r>
    </w:p>
    <w:p w14:paraId="1F2DDA4F" w14:textId="77777777" w:rsidR="002C64AE" w:rsidRPr="00DA0397" w:rsidRDefault="002C64AE" w:rsidP="00DA0397">
      <w:pPr>
        <w:spacing w:line="240" w:lineRule="auto"/>
        <w:ind w:firstLine="0"/>
        <w:rPr>
          <w:rFonts w:cstheme="minorHAnsi"/>
          <w:sz w:val="20"/>
          <w:szCs w:val="20"/>
          <w:lang w:val="es-ES"/>
        </w:rPr>
      </w:pPr>
    </w:p>
    <w:p w14:paraId="79F14D47" w14:textId="77777777" w:rsidR="00EB4D4C" w:rsidRPr="001A5D49" w:rsidRDefault="00EB4D4C" w:rsidP="001A5D49">
      <w:pPr>
        <w:spacing w:line="240" w:lineRule="auto"/>
        <w:ind w:firstLine="0"/>
        <w:rPr>
          <w:rFonts w:cstheme="minorHAnsi"/>
          <w:sz w:val="20"/>
          <w:szCs w:val="20"/>
          <w:lang w:val="es-ES"/>
        </w:rPr>
      </w:pPr>
    </w:p>
    <w:p w14:paraId="60CC7E5A" w14:textId="46EC2E4E" w:rsidR="00EB4D4C" w:rsidRPr="001A5D49" w:rsidRDefault="00DA0397" w:rsidP="00DA0397">
      <w:pPr>
        <w:pStyle w:val="Heading2"/>
        <w:rPr>
          <w:rFonts w:cstheme="minorHAnsi"/>
          <w:b w:val="0"/>
          <w:bCs w:val="0"/>
          <w:sz w:val="20"/>
          <w:szCs w:val="20"/>
          <w:lang w:val="es-ES"/>
        </w:rPr>
      </w:pPr>
      <w:bookmarkStart w:id="56" w:name="_Toc177028039"/>
      <w:bookmarkStart w:id="57" w:name="_Toc177028201"/>
      <w:r>
        <w:rPr>
          <w:lang w:val="es-ES"/>
        </w:rPr>
        <w:t xml:space="preserve">V.3. </w:t>
      </w:r>
      <w:r w:rsidR="00EB4D4C" w:rsidRPr="001A5D49">
        <w:rPr>
          <w:lang w:val="es-ES"/>
        </w:rPr>
        <w:t>SPI-EU por regiones:</w:t>
      </w:r>
      <w:bookmarkEnd w:id="56"/>
      <w:bookmarkEnd w:id="57"/>
      <w:r w:rsidR="00EB4D4C" w:rsidRPr="001A5D49">
        <w:rPr>
          <w:lang w:val="es-ES"/>
        </w:rPr>
        <w:t xml:space="preserve"> </w:t>
      </w:r>
    </w:p>
    <w:p w14:paraId="65E15FD6" w14:textId="77777777" w:rsidR="00DA0397" w:rsidRDefault="00DA0397" w:rsidP="001A5D49">
      <w:pPr>
        <w:spacing w:line="240" w:lineRule="auto"/>
        <w:ind w:firstLine="0"/>
        <w:rPr>
          <w:rFonts w:cstheme="minorHAnsi"/>
          <w:sz w:val="20"/>
          <w:szCs w:val="20"/>
          <w:lang w:val="es-ES"/>
        </w:rPr>
      </w:pPr>
      <w:r w:rsidRPr="00DA0397">
        <w:rPr>
          <w:rFonts w:cstheme="minorHAnsi"/>
          <w:sz w:val="20"/>
          <w:szCs w:val="20"/>
          <w:lang w:val="es-ES"/>
        </w:rPr>
        <w:t xml:space="preserve">La </w:t>
      </w:r>
      <w:r w:rsidRPr="00DA0397">
        <w:rPr>
          <w:rFonts w:cstheme="minorHAnsi"/>
          <w:b/>
          <w:bCs/>
          <w:sz w:val="20"/>
          <w:szCs w:val="20"/>
          <w:lang w:val="es-ES"/>
        </w:rPr>
        <w:t>Figura 04.7</w:t>
      </w:r>
      <w:r w:rsidRPr="00DA0397">
        <w:rPr>
          <w:rFonts w:cstheme="minorHAnsi"/>
          <w:sz w:val="20"/>
          <w:szCs w:val="20"/>
          <w:lang w:val="es-ES"/>
        </w:rPr>
        <w:t xml:space="preserve"> presenta varios mapas que muestran la distribución del SPI por regiones (excluyendo las regiones de ultramar para facilitar la representación), utilizando cuatro métodos distintos para clasificar los datos:</w:t>
      </w:r>
    </w:p>
    <w:p w14:paraId="5CB41835" w14:textId="7A2B301A" w:rsidR="00EB4D4C" w:rsidRPr="001A5D49" w:rsidRDefault="00EB4D4C" w:rsidP="001A5D49">
      <w:pPr>
        <w:spacing w:line="240" w:lineRule="auto"/>
        <w:ind w:firstLine="0"/>
        <w:rPr>
          <w:rFonts w:cstheme="minorHAnsi"/>
          <w:sz w:val="20"/>
          <w:szCs w:val="20"/>
          <w:lang w:val="es-ES"/>
        </w:rPr>
      </w:pPr>
      <w:r w:rsidRPr="001A5D49">
        <w:rPr>
          <w:rFonts w:cstheme="minorHAnsi"/>
          <w:sz w:val="20"/>
          <w:szCs w:val="20"/>
          <w:lang w:val="es-ES"/>
        </w:rPr>
        <w:t xml:space="preserve"> </w:t>
      </w:r>
    </w:p>
    <w:p w14:paraId="09D3BBA6" w14:textId="541EAEA4" w:rsidR="00DA0397" w:rsidRDefault="00EB4D4C" w:rsidP="00E875C9">
      <w:pPr>
        <w:pStyle w:val="ListParagraph"/>
        <w:numPr>
          <w:ilvl w:val="0"/>
          <w:numId w:val="3"/>
        </w:numPr>
        <w:spacing w:line="240" w:lineRule="auto"/>
        <w:rPr>
          <w:rFonts w:cstheme="minorHAnsi"/>
          <w:sz w:val="20"/>
          <w:szCs w:val="20"/>
          <w:lang w:val="es-ES"/>
        </w:rPr>
      </w:pPr>
      <w:proofErr w:type="spellStart"/>
      <w:r w:rsidRPr="00DA0397">
        <w:rPr>
          <w:rFonts w:cstheme="minorHAnsi"/>
          <w:b/>
          <w:bCs/>
          <w:sz w:val="20"/>
          <w:szCs w:val="20"/>
          <w:lang w:val="es-ES"/>
        </w:rPr>
        <w:t>Equal</w:t>
      </w:r>
      <w:proofErr w:type="spellEnd"/>
      <w:r w:rsidRPr="00DA0397">
        <w:rPr>
          <w:rFonts w:cstheme="minorHAnsi"/>
          <w:b/>
          <w:bCs/>
          <w:sz w:val="20"/>
          <w:szCs w:val="20"/>
          <w:lang w:val="es-ES"/>
        </w:rPr>
        <w:t xml:space="preserve"> Interval</w:t>
      </w:r>
      <w:r w:rsidRPr="00DA0397">
        <w:rPr>
          <w:rFonts w:cstheme="minorHAnsi"/>
          <w:sz w:val="20"/>
          <w:szCs w:val="20"/>
          <w:lang w:val="es-ES"/>
        </w:rPr>
        <w:t xml:space="preserve">: </w:t>
      </w:r>
      <w:r w:rsidR="00DA0397" w:rsidRPr="00DA0397">
        <w:rPr>
          <w:rFonts w:cstheme="minorHAnsi"/>
          <w:sz w:val="20"/>
          <w:szCs w:val="20"/>
          <w:lang w:val="es-ES"/>
        </w:rPr>
        <w:t>El rango de datos se divide en intervalos iguales, y cada intervalo representa una categoría en el mapa. Las regiones con las puntuaciones más altas y bajas se representan con colores más intensos (verde y marrón). Este método ofrece una clasificación simétrica y fácil de interpretar, con tres intervalos de puntuaciones bajas a medias, dos intervalos medios y tres intervalos de puntuaciones medias a altas.</w:t>
      </w:r>
    </w:p>
    <w:p w14:paraId="1A600AC5" w14:textId="77777777" w:rsidR="00DA0397" w:rsidRPr="00DA0397" w:rsidRDefault="00DA0397" w:rsidP="00DA0397">
      <w:pPr>
        <w:pStyle w:val="ListParagraph"/>
        <w:spacing w:line="240" w:lineRule="auto"/>
        <w:ind w:firstLine="0"/>
        <w:rPr>
          <w:rFonts w:cstheme="minorHAnsi"/>
          <w:sz w:val="20"/>
          <w:szCs w:val="20"/>
          <w:lang w:val="es-ES"/>
        </w:rPr>
      </w:pPr>
    </w:p>
    <w:p w14:paraId="6DE8B3D2" w14:textId="0FB4D0E4" w:rsidR="00F92563" w:rsidRPr="00F92563" w:rsidRDefault="00EB4D4C" w:rsidP="00410B3E">
      <w:pPr>
        <w:pStyle w:val="ListParagraph"/>
        <w:numPr>
          <w:ilvl w:val="0"/>
          <w:numId w:val="3"/>
        </w:numPr>
        <w:spacing w:line="240" w:lineRule="auto"/>
        <w:rPr>
          <w:rFonts w:cstheme="minorHAnsi"/>
          <w:b/>
          <w:bCs/>
          <w:sz w:val="20"/>
          <w:szCs w:val="20"/>
          <w:lang w:val="es-ES"/>
        </w:rPr>
      </w:pPr>
      <w:proofErr w:type="spellStart"/>
      <w:r w:rsidRPr="00F92563">
        <w:rPr>
          <w:rFonts w:cstheme="minorHAnsi"/>
          <w:b/>
          <w:bCs/>
          <w:sz w:val="20"/>
          <w:szCs w:val="20"/>
          <w:lang w:val="es-ES"/>
        </w:rPr>
        <w:t>Quantiles</w:t>
      </w:r>
      <w:proofErr w:type="spellEnd"/>
      <w:r w:rsidR="001A5D49" w:rsidRPr="00F92563">
        <w:rPr>
          <w:rFonts w:cstheme="minorHAnsi"/>
          <w:b/>
          <w:bCs/>
          <w:sz w:val="20"/>
          <w:szCs w:val="20"/>
          <w:lang w:val="es-ES"/>
        </w:rPr>
        <w:t xml:space="preserve">: </w:t>
      </w:r>
      <w:r w:rsidR="00F92563" w:rsidRPr="00F92563">
        <w:rPr>
          <w:rFonts w:cstheme="minorHAnsi"/>
          <w:sz w:val="20"/>
          <w:szCs w:val="20"/>
          <w:lang w:val="es-ES"/>
        </w:rPr>
        <w:t>Este método divide los datos de manera que cada intervalo contenga aproximadamente la misma cantidad de datos, aunque los rangos de los intervalos pueden variar. Sin embargo, no es el mejor método para representar el índice, ya que concentra los datos más bajos en una sola categoría (24-48), debido al sesgo hacia la izquierda de la distribución.</w:t>
      </w:r>
    </w:p>
    <w:p w14:paraId="75FE90F3" w14:textId="77777777" w:rsidR="00F92563" w:rsidRPr="00F92563" w:rsidRDefault="00F92563" w:rsidP="00F92563">
      <w:pPr>
        <w:spacing w:line="240" w:lineRule="auto"/>
        <w:ind w:firstLine="0"/>
        <w:rPr>
          <w:rFonts w:cstheme="minorHAnsi"/>
          <w:b/>
          <w:bCs/>
          <w:sz w:val="20"/>
          <w:szCs w:val="20"/>
          <w:lang w:val="es-ES"/>
        </w:rPr>
      </w:pPr>
    </w:p>
    <w:p w14:paraId="0C05B97B" w14:textId="595726C8" w:rsidR="00F92563" w:rsidRPr="002C64AE" w:rsidRDefault="001A5D49" w:rsidP="00771C78">
      <w:pPr>
        <w:pStyle w:val="ListParagraph"/>
        <w:numPr>
          <w:ilvl w:val="0"/>
          <w:numId w:val="3"/>
        </w:numPr>
        <w:spacing w:line="240" w:lineRule="auto"/>
        <w:rPr>
          <w:rFonts w:cstheme="minorHAnsi"/>
          <w:b/>
          <w:bCs/>
          <w:sz w:val="20"/>
          <w:szCs w:val="20"/>
          <w:lang w:val="es-ES"/>
        </w:rPr>
      </w:pPr>
      <w:r w:rsidRPr="002C64AE">
        <w:rPr>
          <w:rFonts w:cstheme="minorHAnsi"/>
          <w:b/>
          <w:bCs/>
          <w:sz w:val="20"/>
          <w:szCs w:val="20"/>
          <w:lang w:val="es-ES"/>
        </w:rPr>
        <w:t xml:space="preserve">Natural </w:t>
      </w:r>
      <w:proofErr w:type="spellStart"/>
      <w:r w:rsidRPr="002C64AE">
        <w:rPr>
          <w:rFonts w:cstheme="minorHAnsi"/>
          <w:b/>
          <w:bCs/>
          <w:sz w:val="20"/>
          <w:szCs w:val="20"/>
          <w:lang w:val="es-ES"/>
        </w:rPr>
        <w:t>breaks</w:t>
      </w:r>
      <w:proofErr w:type="spellEnd"/>
      <w:r w:rsidRPr="002C64AE">
        <w:rPr>
          <w:rFonts w:cstheme="minorHAnsi"/>
          <w:b/>
          <w:bCs/>
          <w:sz w:val="20"/>
          <w:szCs w:val="20"/>
          <w:lang w:val="es-ES"/>
        </w:rPr>
        <w:t xml:space="preserve">: </w:t>
      </w:r>
      <w:r w:rsidR="00F92563" w:rsidRPr="002C64AE">
        <w:rPr>
          <w:rFonts w:cstheme="minorHAnsi"/>
          <w:sz w:val="20"/>
          <w:szCs w:val="20"/>
          <w:lang w:val="es-ES"/>
        </w:rPr>
        <w:t>Esta técnica agrupa los datos en clases que minimizan la variación dentro de cada clase y maximizan la diferencia entre clases. Aunque este método genera una clasificación algo asimétrica, es menos extrema que la de los cuantiles.</w:t>
      </w:r>
    </w:p>
    <w:p w14:paraId="40DA268D" w14:textId="77777777" w:rsidR="00F92563" w:rsidRPr="00F92563" w:rsidRDefault="00F92563" w:rsidP="00F92563">
      <w:pPr>
        <w:pStyle w:val="ListParagraph"/>
        <w:spacing w:line="240" w:lineRule="auto"/>
        <w:ind w:firstLine="0"/>
        <w:rPr>
          <w:rFonts w:cstheme="minorHAnsi"/>
          <w:b/>
          <w:bCs/>
          <w:sz w:val="20"/>
          <w:szCs w:val="20"/>
          <w:lang w:val="es-ES"/>
        </w:rPr>
      </w:pPr>
    </w:p>
    <w:p w14:paraId="13FF8C70" w14:textId="589263B9" w:rsidR="00DD5259" w:rsidRDefault="001A5D49" w:rsidP="00F92563">
      <w:pPr>
        <w:pStyle w:val="ListParagraph"/>
        <w:numPr>
          <w:ilvl w:val="0"/>
          <w:numId w:val="3"/>
        </w:numPr>
        <w:spacing w:line="240" w:lineRule="auto"/>
        <w:rPr>
          <w:rFonts w:cstheme="minorHAnsi"/>
          <w:sz w:val="20"/>
          <w:szCs w:val="20"/>
          <w:lang w:val="es-ES"/>
        </w:rPr>
      </w:pPr>
      <w:proofErr w:type="spellStart"/>
      <w:r w:rsidRPr="00F92563">
        <w:rPr>
          <w:rFonts w:cstheme="minorHAnsi"/>
          <w:b/>
          <w:bCs/>
          <w:sz w:val="20"/>
          <w:szCs w:val="20"/>
          <w:lang w:val="es-ES"/>
        </w:rPr>
        <w:t>Std</w:t>
      </w:r>
      <w:proofErr w:type="spellEnd"/>
      <w:r w:rsidRPr="00F92563">
        <w:rPr>
          <w:rFonts w:cstheme="minorHAnsi"/>
          <w:b/>
          <w:bCs/>
          <w:sz w:val="20"/>
          <w:szCs w:val="20"/>
          <w:lang w:val="es-ES"/>
        </w:rPr>
        <w:t xml:space="preserve"> Mean: </w:t>
      </w:r>
      <w:r w:rsidR="00F92563" w:rsidRPr="00F92563">
        <w:rPr>
          <w:rFonts w:cstheme="minorHAnsi"/>
          <w:sz w:val="20"/>
          <w:szCs w:val="20"/>
          <w:lang w:val="es-ES"/>
        </w:rPr>
        <w:t>Esta técnica utiliza las desviaciones estándar con respecto a la media para visualizar cómo se distribuyen los datos en relación con la media. Es un método excelente para identificar rápidamente los grupos más extremos en la distribución. En este caso, permite diferenciar claramente las regiones con los valores más bajos y altos del SPI.</w:t>
      </w:r>
    </w:p>
    <w:p w14:paraId="2C718D02" w14:textId="77777777" w:rsidR="002C64AE" w:rsidRPr="002C64AE" w:rsidRDefault="002C64AE" w:rsidP="002C64AE">
      <w:pPr>
        <w:spacing w:line="240" w:lineRule="auto"/>
        <w:ind w:firstLine="0"/>
        <w:rPr>
          <w:rFonts w:cstheme="minorHAnsi"/>
          <w:sz w:val="20"/>
          <w:szCs w:val="20"/>
          <w:lang w:val="es-ES"/>
        </w:rPr>
      </w:pPr>
    </w:p>
    <w:p w14:paraId="03287F07" w14:textId="77777777" w:rsidR="00F92563" w:rsidRPr="00F92563" w:rsidRDefault="00F92563" w:rsidP="00F92563">
      <w:pPr>
        <w:spacing w:line="240" w:lineRule="auto"/>
        <w:ind w:firstLine="0"/>
        <w:rPr>
          <w:rFonts w:cstheme="minorHAnsi"/>
          <w:sz w:val="20"/>
          <w:szCs w:val="20"/>
          <w:lang w:val="es-ES"/>
        </w:rPr>
      </w:pPr>
    </w:p>
    <w:p w14:paraId="221091F1" w14:textId="501FCF41" w:rsidR="00DD5259" w:rsidRDefault="00F92563" w:rsidP="00F92563">
      <w:pPr>
        <w:pStyle w:val="Heading2"/>
        <w:rPr>
          <w:rFonts w:cstheme="minorHAnsi"/>
          <w:b w:val="0"/>
          <w:bCs w:val="0"/>
          <w:sz w:val="20"/>
          <w:szCs w:val="20"/>
          <w:lang w:val="es-ES"/>
        </w:rPr>
      </w:pPr>
      <w:bookmarkStart w:id="58" w:name="_Toc177028040"/>
      <w:bookmarkStart w:id="59" w:name="_Toc177028202"/>
      <w:r>
        <w:rPr>
          <w:lang w:val="es-ES"/>
        </w:rPr>
        <w:t xml:space="preserve">V.4. </w:t>
      </w:r>
      <w:r w:rsidR="00DD5259">
        <w:rPr>
          <w:lang w:val="es-ES"/>
        </w:rPr>
        <w:t>GDP per cápita:</w:t>
      </w:r>
      <w:bookmarkEnd w:id="58"/>
      <w:bookmarkEnd w:id="59"/>
    </w:p>
    <w:p w14:paraId="41C6C511" w14:textId="09A7144D" w:rsidR="00D83EDA" w:rsidRPr="00F92563" w:rsidRDefault="00F92563" w:rsidP="00B101FC">
      <w:pPr>
        <w:spacing w:line="240" w:lineRule="auto"/>
        <w:ind w:firstLine="0"/>
        <w:rPr>
          <w:rFonts w:cstheme="minorHAnsi"/>
          <w:sz w:val="20"/>
          <w:szCs w:val="20"/>
          <w:lang w:val="es-ES"/>
        </w:rPr>
      </w:pPr>
      <w:r w:rsidRPr="00F92563">
        <w:rPr>
          <w:rFonts w:cstheme="minorHAnsi"/>
          <w:sz w:val="20"/>
          <w:szCs w:val="20"/>
          <w:lang w:val="es-ES"/>
        </w:rPr>
        <w:t>El coeficiente de correlación de Pearson entre el PIB per cápita y el SPI es de 0.677 (</w:t>
      </w:r>
      <w:r w:rsidRPr="00F92563">
        <w:rPr>
          <w:rFonts w:cstheme="minorHAnsi"/>
          <w:b/>
          <w:bCs/>
          <w:sz w:val="20"/>
          <w:szCs w:val="20"/>
          <w:lang w:val="es-ES"/>
        </w:rPr>
        <w:t>Figura 04.9</w:t>
      </w:r>
      <w:r w:rsidRPr="00F92563">
        <w:rPr>
          <w:rFonts w:cstheme="minorHAnsi"/>
          <w:sz w:val="20"/>
          <w:szCs w:val="20"/>
          <w:lang w:val="es-ES"/>
        </w:rPr>
        <w:t xml:space="preserve">), lo que indica una fuerte correlación positiva entre ambos índices. Aunque la relación no es perfectamente lineal, como se puede observar en la </w:t>
      </w:r>
      <w:r w:rsidRPr="00F92563">
        <w:rPr>
          <w:rFonts w:cstheme="minorHAnsi"/>
          <w:b/>
          <w:bCs/>
          <w:sz w:val="20"/>
          <w:szCs w:val="20"/>
          <w:lang w:val="es-ES"/>
        </w:rPr>
        <w:t>Figura 04.8</w:t>
      </w:r>
      <w:r w:rsidRPr="00F92563">
        <w:rPr>
          <w:rFonts w:cstheme="minorHAnsi"/>
          <w:sz w:val="20"/>
          <w:szCs w:val="20"/>
          <w:lang w:val="es-ES"/>
        </w:rPr>
        <w:t>, en términos generales, un mayor PIB tiende a estar asociado con un mejor desempeño en el SPI.</w:t>
      </w:r>
    </w:p>
    <w:p w14:paraId="53240BCC" w14:textId="77777777" w:rsidR="00F92563" w:rsidRDefault="00F92563" w:rsidP="00B101FC">
      <w:pPr>
        <w:spacing w:line="240" w:lineRule="auto"/>
        <w:ind w:firstLine="0"/>
        <w:rPr>
          <w:rFonts w:cstheme="minorHAnsi"/>
          <w:sz w:val="20"/>
          <w:szCs w:val="20"/>
          <w:lang w:val="es-ES"/>
        </w:rPr>
      </w:pPr>
    </w:p>
    <w:p w14:paraId="383CDB03" w14:textId="77777777" w:rsidR="002C64AE" w:rsidRDefault="002C64AE" w:rsidP="00B101FC">
      <w:pPr>
        <w:spacing w:line="240" w:lineRule="auto"/>
        <w:ind w:firstLine="0"/>
        <w:rPr>
          <w:rFonts w:cstheme="minorHAnsi"/>
          <w:sz w:val="20"/>
          <w:szCs w:val="20"/>
          <w:lang w:val="es-ES"/>
        </w:rPr>
      </w:pPr>
    </w:p>
    <w:p w14:paraId="5F575293" w14:textId="77777777" w:rsidR="002C64AE" w:rsidRDefault="002C64AE" w:rsidP="00B101FC">
      <w:pPr>
        <w:spacing w:line="240" w:lineRule="auto"/>
        <w:ind w:firstLine="0"/>
        <w:rPr>
          <w:rFonts w:cstheme="minorHAnsi"/>
          <w:sz w:val="20"/>
          <w:szCs w:val="20"/>
          <w:lang w:val="es-ES"/>
        </w:rPr>
      </w:pPr>
    </w:p>
    <w:p w14:paraId="2993E968" w14:textId="77777777" w:rsidR="002C64AE" w:rsidRDefault="002C64AE" w:rsidP="00B101FC">
      <w:pPr>
        <w:spacing w:line="240" w:lineRule="auto"/>
        <w:ind w:firstLine="0"/>
        <w:rPr>
          <w:rFonts w:cstheme="minorHAnsi"/>
          <w:sz w:val="20"/>
          <w:szCs w:val="20"/>
          <w:lang w:val="es-ES"/>
        </w:rPr>
      </w:pPr>
    </w:p>
    <w:p w14:paraId="59FAA1E0" w14:textId="77777777" w:rsidR="002C64AE" w:rsidRDefault="002C64AE" w:rsidP="00B101FC">
      <w:pPr>
        <w:spacing w:line="240" w:lineRule="auto"/>
        <w:ind w:firstLine="0"/>
        <w:rPr>
          <w:rFonts w:cstheme="minorHAnsi"/>
          <w:sz w:val="20"/>
          <w:szCs w:val="20"/>
          <w:lang w:val="es-ES"/>
        </w:rPr>
      </w:pPr>
    </w:p>
    <w:p w14:paraId="2E25A462" w14:textId="77777777" w:rsidR="002C64AE" w:rsidRDefault="002C64AE" w:rsidP="00B101FC">
      <w:pPr>
        <w:spacing w:line="240" w:lineRule="auto"/>
        <w:ind w:firstLine="0"/>
        <w:rPr>
          <w:rFonts w:cstheme="minorHAnsi"/>
          <w:sz w:val="20"/>
          <w:szCs w:val="20"/>
          <w:lang w:val="es-ES"/>
        </w:rPr>
      </w:pPr>
    </w:p>
    <w:p w14:paraId="6BFF4AC1" w14:textId="77777777" w:rsidR="002C64AE" w:rsidRDefault="002C64AE" w:rsidP="00B101FC">
      <w:pPr>
        <w:spacing w:line="240" w:lineRule="auto"/>
        <w:ind w:firstLine="0"/>
        <w:rPr>
          <w:rFonts w:cstheme="minorHAnsi"/>
          <w:sz w:val="20"/>
          <w:szCs w:val="20"/>
          <w:lang w:val="es-ES"/>
        </w:rPr>
      </w:pPr>
    </w:p>
    <w:p w14:paraId="2C945501" w14:textId="77777777" w:rsidR="002C64AE" w:rsidRDefault="002C64AE" w:rsidP="00B101FC">
      <w:pPr>
        <w:spacing w:line="240" w:lineRule="auto"/>
        <w:ind w:firstLine="0"/>
        <w:rPr>
          <w:rFonts w:cstheme="minorHAnsi"/>
          <w:sz w:val="20"/>
          <w:szCs w:val="20"/>
          <w:lang w:val="es-ES"/>
        </w:rPr>
      </w:pPr>
    </w:p>
    <w:p w14:paraId="473125AA" w14:textId="77777777" w:rsidR="002C64AE" w:rsidRDefault="002C64AE" w:rsidP="00B101FC">
      <w:pPr>
        <w:spacing w:line="240" w:lineRule="auto"/>
        <w:ind w:firstLine="0"/>
        <w:rPr>
          <w:rFonts w:cstheme="minorHAnsi"/>
          <w:sz w:val="20"/>
          <w:szCs w:val="20"/>
          <w:lang w:val="es-ES"/>
        </w:rPr>
      </w:pPr>
    </w:p>
    <w:p w14:paraId="6F186C78" w14:textId="77777777" w:rsidR="002C64AE" w:rsidRDefault="002C64AE" w:rsidP="00B101FC">
      <w:pPr>
        <w:spacing w:line="240" w:lineRule="auto"/>
        <w:ind w:firstLine="0"/>
        <w:rPr>
          <w:rFonts w:cstheme="minorHAnsi"/>
          <w:sz w:val="20"/>
          <w:szCs w:val="20"/>
          <w:lang w:val="es-ES"/>
        </w:rPr>
      </w:pPr>
    </w:p>
    <w:p w14:paraId="6512E718" w14:textId="77777777" w:rsidR="007F48DB" w:rsidRDefault="007F48DB" w:rsidP="00B101FC">
      <w:pPr>
        <w:spacing w:line="240" w:lineRule="auto"/>
        <w:ind w:firstLine="0"/>
        <w:rPr>
          <w:rFonts w:cstheme="minorHAnsi"/>
          <w:sz w:val="20"/>
          <w:szCs w:val="20"/>
          <w:lang w:val="es-ES"/>
        </w:rPr>
      </w:pPr>
    </w:p>
    <w:p w14:paraId="0AE882EF" w14:textId="77777777" w:rsidR="007F48DB" w:rsidRDefault="007F48DB" w:rsidP="00B101FC">
      <w:pPr>
        <w:spacing w:line="240" w:lineRule="auto"/>
        <w:ind w:firstLine="0"/>
        <w:rPr>
          <w:rFonts w:cstheme="minorHAnsi"/>
          <w:sz w:val="20"/>
          <w:szCs w:val="20"/>
          <w:lang w:val="es-ES"/>
        </w:rPr>
      </w:pPr>
    </w:p>
    <w:p w14:paraId="64388332" w14:textId="77777777" w:rsidR="002C64AE" w:rsidRDefault="002C64AE" w:rsidP="00B101FC">
      <w:pPr>
        <w:spacing w:line="240" w:lineRule="auto"/>
        <w:ind w:firstLine="0"/>
        <w:rPr>
          <w:rFonts w:cstheme="minorHAnsi"/>
          <w:sz w:val="20"/>
          <w:szCs w:val="20"/>
          <w:lang w:val="es-ES"/>
        </w:rPr>
      </w:pPr>
    </w:p>
    <w:p w14:paraId="02EBCD79" w14:textId="77777777" w:rsidR="00F92563" w:rsidRPr="00F92563" w:rsidRDefault="00F92563" w:rsidP="00B101FC">
      <w:pPr>
        <w:spacing w:line="240" w:lineRule="auto"/>
        <w:ind w:firstLine="0"/>
        <w:rPr>
          <w:rFonts w:cstheme="minorHAnsi"/>
          <w:sz w:val="20"/>
          <w:szCs w:val="20"/>
          <w:lang w:val="es-ES"/>
        </w:rPr>
      </w:pPr>
    </w:p>
    <w:p w14:paraId="2746522B" w14:textId="37A1EF26" w:rsidR="004F6410" w:rsidRPr="00E34484" w:rsidRDefault="004F6410" w:rsidP="00E34484">
      <w:pPr>
        <w:pStyle w:val="Heading1"/>
        <w:jc w:val="left"/>
        <w:rPr>
          <w:color w:val="4472C4" w:themeColor="accent1"/>
          <w:lang w:val="es-ES"/>
        </w:rPr>
      </w:pPr>
      <w:bookmarkStart w:id="60" w:name="_Toc177028041"/>
      <w:bookmarkStart w:id="61" w:name="_Toc177028203"/>
      <w:r w:rsidRPr="00E34484">
        <w:rPr>
          <w:color w:val="4472C4" w:themeColor="accent1"/>
          <w:lang w:val="es-ES"/>
        </w:rPr>
        <w:lastRenderedPageBreak/>
        <w:t xml:space="preserve">Fase VI. </w:t>
      </w:r>
      <w:proofErr w:type="spellStart"/>
      <w:r w:rsidRPr="00E34484">
        <w:rPr>
          <w:color w:val="4472C4" w:themeColor="accent1"/>
          <w:lang w:val="es-ES"/>
        </w:rPr>
        <w:t>Clustering</w:t>
      </w:r>
      <w:bookmarkEnd w:id="60"/>
      <w:bookmarkEnd w:id="61"/>
      <w:proofErr w:type="spellEnd"/>
    </w:p>
    <w:p w14:paraId="5CB99204" w14:textId="77777777" w:rsidR="00F92563" w:rsidRDefault="00F92563" w:rsidP="00B101FC">
      <w:pPr>
        <w:pStyle w:val="CaptionCallout"/>
        <w:spacing w:line="240" w:lineRule="auto"/>
        <w:rPr>
          <w:color w:val="2E74B5" w:themeColor="accent5" w:themeShade="BF"/>
          <w:sz w:val="24"/>
          <w:szCs w:val="24"/>
          <w:lang w:val="es-ES"/>
        </w:rPr>
      </w:pPr>
    </w:p>
    <w:p w14:paraId="56C40011" w14:textId="77777777" w:rsidR="004F6410" w:rsidRPr="00F92563" w:rsidRDefault="004F6410" w:rsidP="00B101FC">
      <w:pPr>
        <w:pStyle w:val="NoIndent"/>
        <w:spacing w:line="240" w:lineRule="auto"/>
        <w:rPr>
          <w:b/>
          <w:bCs/>
          <w:sz w:val="20"/>
          <w:szCs w:val="20"/>
          <w:lang w:val="es-ES"/>
        </w:rPr>
      </w:pPr>
      <w:r w:rsidRPr="00F92563">
        <w:rPr>
          <w:b/>
          <w:bCs/>
          <w:sz w:val="20"/>
          <w:szCs w:val="20"/>
          <w:lang w:val="es-ES"/>
        </w:rPr>
        <w:t xml:space="preserve">Anexo: </w:t>
      </w:r>
    </w:p>
    <w:p w14:paraId="38436C4F" w14:textId="1AE16CC9" w:rsidR="004F6410" w:rsidRPr="00F92563" w:rsidRDefault="004F6410" w:rsidP="00B101FC">
      <w:pPr>
        <w:pStyle w:val="NoIndent"/>
        <w:numPr>
          <w:ilvl w:val="0"/>
          <w:numId w:val="3"/>
        </w:numPr>
        <w:spacing w:line="240" w:lineRule="auto"/>
        <w:rPr>
          <w:sz w:val="20"/>
          <w:szCs w:val="20"/>
          <w:lang w:val="es-ES"/>
        </w:rPr>
      </w:pPr>
      <w:r w:rsidRPr="00F92563">
        <w:rPr>
          <w:rFonts w:cstheme="minorHAnsi"/>
          <w:sz w:val="20"/>
          <w:szCs w:val="20"/>
          <w:lang w:val="es-ES"/>
        </w:rPr>
        <w:t>05_Clustering_</w:t>
      </w:r>
      <w:proofErr w:type="gramStart"/>
      <w:r w:rsidRPr="00F92563">
        <w:rPr>
          <w:rFonts w:cstheme="minorHAnsi"/>
          <w:sz w:val="20"/>
          <w:szCs w:val="20"/>
          <w:lang w:val="es-ES"/>
        </w:rPr>
        <w:t>minmax.ipynb</w:t>
      </w:r>
      <w:proofErr w:type="gramEnd"/>
    </w:p>
    <w:p w14:paraId="0D9EEE44" w14:textId="0E381962" w:rsidR="004F6410" w:rsidRDefault="004F6410" w:rsidP="00B101FC">
      <w:pPr>
        <w:pStyle w:val="NoIndent"/>
        <w:numPr>
          <w:ilvl w:val="0"/>
          <w:numId w:val="3"/>
        </w:numPr>
        <w:spacing w:line="240" w:lineRule="auto"/>
        <w:rPr>
          <w:rFonts w:cstheme="minorHAnsi"/>
          <w:sz w:val="20"/>
          <w:szCs w:val="20"/>
          <w:lang w:val="es-ES"/>
        </w:rPr>
      </w:pPr>
      <w:r w:rsidRPr="00F92563">
        <w:rPr>
          <w:rFonts w:cstheme="minorHAnsi"/>
          <w:sz w:val="20"/>
          <w:szCs w:val="20"/>
          <w:lang w:val="es-ES"/>
        </w:rPr>
        <w:t>0</w:t>
      </w:r>
      <w:r w:rsidR="005E720A" w:rsidRPr="00F92563">
        <w:rPr>
          <w:rFonts w:cstheme="minorHAnsi"/>
          <w:sz w:val="20"/>
          <w:szCs w:val="20"/>
          <w:lang w:val="es-ES"/>
        </w:rPr>
        <w:t>5</w:t>
      </w:r>
      <w:r w:rsidRPr="00F92563">
        <w:rPr>
          <w:rFonts w:cstheme="minorHAnsi"/>
          <w:sz w:val="20"/>
          <w:szCs w:val="20"/>
          <w:lang w:val="es-ES"/>
        </w:rPr>
        <w:t>_Clustering_minmax.html</w:t>
      </w:r>
    </w:p>
    <w:p w14:paraId="2440EE20" w14:textId="77777777" w:rsidR="002C64AE" w:rsidRPr="00F92563" w:rsidRDefault="002C64AE" w:rsidP="002C64AE">
      <w:pPr>
        <w:pStyle w:val="NoIndent"/>
        <w:spacing w:line="240" w:lineRule="auto"/>
        <w:ind w:left="720"/>
        <w:rPr>
          <w:rFonts w:cstheme="minorHAnsi"/>
          <w:sz w:val="20"/>
          <w:szCs w:val="20"/>
          <w:lang w:val="es-ES"/>
        </w:rPr>
      </w:pPr>
    </w:p>
    <w:p w14:paraId="6404D1B8" w14:textId="77777777" w:rsidR="00F67B54" w:rsidRDefault="00F67B54" w:rsidP="00B101FC">
      <w:pPr>
        <w:pStyle w:val="NoIndent"/>
        <w:spacing w:line="240" w:lineRule="auto"/>
        <w:ind w:left="720"/>
        <w:rPr>
          <w:rFonts w:cstheme="minorHAnsi"/>
          <w:i/>
          <w:iCs/>
          <w:sz w:val="20"/>
          <w:szCs w:val="20"/>
          <w:lang w:val="es-ES"/>
        </w:rPr>
      </w:pPr>
    </w:p>
    <w:p w14:paraId="381500ED" w14:textId="69FBF805" w:rsidR="00363E86" w:rsidRDefault="00363E86" w:rsidP="002C64AE">
      <w:pPr>
        <w:pStyle w:val="Heading2"/>
        <w:rPr>
          <w:rFonts w:cstheme="minorHAnsi"/>
          <w:sz w:val="20"/>
          <w:szCs w:val="20"/>
          <w:lang w:val="es-ES"/>
        </w:rPr>
      </w:pPr>
      <w:bookmarkStart w:id="62" w:name="_Toc177028042"/>
      <w:bookmarkStart w:id="63" w:name="_Toc177028204"/>
      <w:r>
        <w:rPr>
          <w:lang w:val="es-ES"/>
        </w:rPr>
        <w:t>VI.1. Ranking mejor y peor desempeño:</w:t>
      </w:r>
      <w:bookmarkEnd w:id="62"/>
      <w:bookmarkEnd w:id="63"/>
    </w:p>
    <w:p w14:paraId="33FD058C" w14:textId="205355F3" w:rsidR="00DD5259" w:rsidRDefault="00F67B54" w:rsidP="00AC0F78">
      <w:pPr>
        <w:spacing w:line="240" w:lineRule="auto"/>
        <w:ind w:firstLine="0"/>
        <w:rPr>
          <w:rFonts w:cstheme="minorHAnsi"/>
          <w:sz w:val="20"/>
          <w:szCs w:val="20"/>
          <w:lang w:val="es-ES"/>
        </w:rPr>
      </w:pPr>
      <w:r>
        <w:rPr>
          <w:rFonts w:cstheme="minorHAnsi"/>
          <w:sz w:val="20"/>
          <w:szCs w:val="20"/>
          <w:lang w:val="es-ES"/>
        </w:rPr>
        <w:t>Una utilidad</w:t>
      </w:r>
      <w:r w:rsidR="00B101FC">
        <w:rPr>
          <w:rFonts w:cstheme="minorHAnsi"/>
          <w:sz w:val="20"/>
          <w:szCs w:val="20"/>
          <w:lang w:val="es-ES"/>
        </w:rPr>
        <w:t xml:space="preserve"> del índice compuesto que hemos creado sería clasificar o segmentar las regiones y </w:t>
      </w:r>
      <w:r w:rsidR="003E213A">
        <w:rPr>
          <w:rFonts w:cstheme="minorHAnsi"/>
          <w:sz w:val="20"/>
          <w:szCs w:val="20"/>
          <w:lang w:val="es-ES"/>
        </w:rPr>
        <w:t>países</w:t>
      </w:r>
      <w:r w:rsidR="00B101FC">
        <w:rPr>
          <w:rFonts w:cstheme="minorHAnsi"/>
          <w:sz w:val="20"/>
          <w:szCs w:val="20"/>
          <w:lang w:val="es-ES"/>
        </w:rPr>
        <w:t xml:space="preserve"> de la UE, en función de su score. La primera y más inmediata clasificación </w:t>
      </w:r>
      <w:r w:rsidR="00AC0F78">
        <w:rPr>
          <w:rFonts w:cstheme="minorHAnsi"/>
          <w:sz w:val="20"/>
          <w:szCs w:val="20"/>
          <w:lang w:val="es-ES"/>
        </w:rPr>
        <w:t>es listar los países y regiones con mejor y peor SPI:</w:t>
      </w:r>
    </w:p>
    <w:p w14:paraId="1792AE03" w14:textId="77777777" w:rsidR="00B101FC" w:rsidRDefault="00B101FC" w:rsidP="00AC0F78">
      <w:pPr>
        <w:spacing w:line="240" w:lineRule="auto"/>
        <w:ind w:firstLine="0"/>
        <w:rPr>
          <w:rFonts w:cstheme="minorHAnsi"/>
          <w:sz w:val="20"/>
          <w:szCs w:val="20"/>
          <w:lang w:val="es-ES"/>
        </w:rPr>
      </w:pPr>
    </w:p>
    <w:p w14:paraId="16CC8DD8" w14:textId="4451B8C9" w:rsidR="00AC0F78" w:rsidRDefault="00AC0F78" w:rsidP="00AC0F78">
      <w:pPr>
        <w:spacing w:line="240" w:lineRule="auto"/>
        <w:ind w:firstLine="0"/>
        <w:rPr>
          <w:rFonts w:cstheme="minorHAnsi"/>
          <w:b/>
          <w:bCs/>
          <w:sz w:val="20"/>
          <w:szCs w:val="20"/>
          <w:lang w:val="es-ES"/>
        </w:rPr>
        <w:sectPr w:rsidR="00AC0F78">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pPr>
    </w:p>
    <w:p w14:paraId="5DBE886F" w14:textId="77777777" w:rsidR="00AC0F78" w:rsidRDefault="00AC0F78" w:rsidP="00AC0F78">
      <w:pPr>
        <w:spacing w:line="240" w:lineRule="auto"/>
        <w:ind w:firstLine="0"/>
        <w:rPr>
          <w:rFonts w:cstheme="minorHAnsi"/>
          <w:b/>
          <w:bCs/>
          <w:sz w:val="20"/>
          <w:szCs w:val="20"/>
          <w:lang w:val="es-ES"/>
        </w:rPr>
      </w:pPr>
      <w:r>
        <w:rPr>
          <w:rFonts w:cstheme="minorHAnsi"/>
          <w:b/>
          <w:bCs/>
          <w:sz w:val="20"/>
          <w:szCs w:val="20"/>
          <w:lang w:val="es-ES"/>
        </w:rPr>
        <w:t>5 países con mejor score medio</w:t>
      </w:r>
      <w:r w:rsidR="00B101FC" w:rsidRPr="00B101FC">
        <w:rPr>
          <w:rFonts w:cstheme="minorHAnsi"/>
          <w:b/>
          <w:bCs/>
          <w:sz w:val="20"/>
          <w:szCs w:val="20"/>
          <w:lang w:val="es-ES"/>
        </w:rPr>
        <w:t xml:space="preserve"> </w:t>
      </w:r>
    </w:p>
    <w:p w14:paraId="7F6FBCD0" w14:textId="62186A9A" w:rsidR="00B101FC" w:rsidRPr="00AC0F78" w:rsidRDefault="00B101FC" w:rsidP="00AC0F78">
      <w:pPr>
        <w:spacing w:line="240" w:lineRule="auto"/>
        <w:ind w:firstLine="0"/>
        <w:rPr>
          <w:sz w:val="20"/>
          <w:szCs w:val="20"/>
          <w:lang w:val="es-ES"/>
        </w:rPr>
      </w:pPr>
      <w:r w:rsidRPr="00B101FC">
        <w:rPr>
          <w:rFonts w:cstheme="minorHAnsi"/>
          <w:b/>
          <w:bCs/>
          <w:sz w:val="20"/>
          <w:szCs w:val="20"/>
          <w:lang w:val="es-ES"/>
        </w:rPr>
        <w:t>(Figura 05.2):</w:t>
      </w:r>
      <w:r w:rsidRPr="00AC0F78">
        <w:rPr>
          <w:sz w:val="20"/>
          <w:szCs w:val="20"/>
          <w:lang w:val="es-ES"/>
        </w:rPr>
        <w:t xml:space="preserve"> </w:t>
      </w:r>
    </w:p>
    <w:p w14:paraId="70677F1A" w14:textId="77777777" w:rsidR="00B101FC" w:rsidRPr="00B101FC" w:rsidRDefault="00B101FC" w:rsidP="00AC0F78">
      <w:pPr>
        <w:spacing w:line="240" w:lineRule="auto"/>
        <w:ind w:firstLine="0"/>
        <w:rPr>
          <w:rFonts w:cstheme="minorHAnsi"/>
          <w:b/>
          <w:bCs/>
          <w:sz w:val="20"/>
          <w:szCs w:val="20"/>
          <w:lang w:val="es-ES"/>
        </w:rPr>
      </w:pPr>
    </w:p>
    <w:tbl>
      <w:tblPr>
        <w:tblW w:w="0" w:type="auto"/>
        <w:tblLayout w:type="fixed"/>
        <w:tblLook w:val="0600" w:firstRow="0" w:lastRow="0" w:firstColumn="0" w:lastColumn="0" w:noHBand="1" w:noVBand="1"/>
        <w:tblDescription w:val="Table"/>
      </w:tblPr>
      <w:tblGrid>
        <w:gridCol w:w="1275"/>
        <w:gridCol w:w="851"/>
      </w:tblGrid>
      <w:tr w:rsidR="00AC0F78" w:rsidRPr="00B101FC" w14:paraId="45F06494" w14:textId="77777777" w:rsidTr="00B101FC">
        <w:tc>
          <w:tcPr>
            <w:tcW w:w="1275" w:type="dxa"/>
            <w:tcBorders>
              <w:top w:val="single" w:sz="12" w:space="0" w:color="auto"/>
              <w:bottom w:val="single" w:sz="12" w:space="0" w:color="auto"/>
            </w:tcBorders>
          </w:tcPr>
          <w:p w14:paraId="5744215D" w14:textId="3F9F1155" w:rsidR="00AC0F78" w:rsidRPr="00B101FC" w:rsidRDefault="00AC0F78" w:rsidP="00AC0F78">
            <w:pPr>
              <w:pStyle w:val="NoIndent"/>
              <w:spacing w:line="240" w:lineRule="auto"/>
              <w:rPr>
                <w:sz w:val="20"/>
                <w:szCs w:val="20"/>
              </w:rPr>
            </w:pPr>
            <w:r>
              <w:rPr>
                <w:sz w:val="20"/>
                <w:szCs w:val="20"/>
              </w:rPr>
              <w:t>País</w:t>
            </w:r>
          </w:p>
        </w:tc>
        <w:tc>
          <w:tcPr>
            <w:tcW w:w="851" w:type="dxa"/>
            <w:tcBorders>
              <w:top w:val="single" w:sz="12" w:space="0" w:color="auto"/>
              <w:bottom w:val="single" w:sz="12" w:space="0" w:color="auto"/>
            </w:tcBorders>
          </w:tcPr>
          <w:p w14:paraId="4F352C46" w14:textId="40337A9C" w:rsidR="00AC0F78" w:rsidRPr="00B101FC" w:rsidRDefault="00AC0F78" w:rsidP="00AC0F78">
            <w:pPr>
              <w:pStyle w:val="NoIndent"/>
              <w:spacing w:line="240" w:lineRule="auto"/>
              <w:jc w:val="center"/>
              <w:rPr>
                <w:sz w:val="20"/>
                <w:szCs w:val="20"/>
              </w:rPr>
            </w:pPr>
            <w:r>
              <w:rPr>
                <w:sz w:val="20"/>
                <w:szCs w:val="20"/>
              </w:rPr>
              <w:t>Score</w:t>
            </w:r>
          </w:p>
        </w:tc>
      </w:tr>
      <w:tr w:rsidR="00AC0F78" w:rsidRPr="00B101FC" w14:paraId="12859DAB" w14:textId="77777777" w:rsidTr="00B101FC">
        <w:tc>
          <w:tcPr>
            <w:tcW w:w="1275" w:type="dxa"/>
            <w:tcBorders>
              <w:top w:val="single" w:sz="12" w:space="0" w:color="auto"/>
            </w:tcBorders>
          </w:tcPr>
          <w:p w14:paraId="28046BCB" w14:textId="310DE0AF" w:rsidR="00AC0F78" w:rsidRPr="00B101FC" w:rsidRDefault="00AC0F78" w:rsidP="00AC0F78">
            <w:pPr>
              <w:pStyle w:val="NoIndent"/>
              <w:spacing w:line="240" w:lineRule="auto"/>
              <w:rPr>
                <w:sz w:val="20"/>
                <w:szCs w:val="20"/>
              </w:rPr>
            </w:pPr>
            <w:proofErr w:type="spellStart"/>
            <w:r>
              <w:rPr>
                <w:sz w:val="20"/>
                <w:szCs w:val="20"/>
              </w:rPr>
              <w:t>Findalnia</w:t>
            </w:r>
            <w:proofErr w:type="spellEnd"/>
          </w:p>
        </w:tc>
        <w:tc>
          <w:tcPr>
            <w:tcW w:w="851" w:type="dxa"/>
            <w:tcBorders>
              <w:top w:val="single" w:sz="12" w:space="0" w:color="auto"/>
            </w:tcBorders>
          </w:tcPr>
          <w:p w14:paraId="0C2C1746" w14:textId="6AD0BD96" w:rsidR="00AC0F78" w:rsidRPr="00B101FC" w:rsidRDefault="00AC0F78" w:rsidP="00AC0F78">
            <w:pPr>
              <w:pStyle w:val="NoIndent"/>
              <w:spacing w:line="240" w:lineRule="auto"/>
              <w:jc w:val="center"/>
              <w:rPr>
                <w:sz w:val="20"/>
                <w:szCs w:val="20"/>
              </w:rPr>
            </w:pPr>
            <w:r>
              <w:rPr>
                <w:sz w:val="20"/>
                <w:szCs w:val="20"/>
              </w:rPr>
              <w:t>81.59</w:t>
            </w:r>
          </w:p>
        </w:tc>
      </w:tr>
      <w:tr w:rsidR="00AC0F78" w:rsidRPr="00B101FC" w14:paraId="6C8E8065" w14:textId="77777777" w:rsidTr="00B101FC">
        <w:tc>
          <w:tcPr>
            <w:tcW w:w="1275" w:type="dxa"/>
          </w:tcPr>
          <w:p w14:paraId="7A41B61D" w14:textId="61B3E5B4" w:rsidR="00AC0F78" w:rsidRPr="00B101FC" w:rsidRDefault="00AC0F78" w:rsidP="00AC0F78">
            <w:pPr>
              <w:pStyle w:val="NoIndent"/>
              <w:spacing w:line="240" w:lineRule="auto"/>
              <w:rPr>
                <w:sz w:val="20"/>
                <w:szCs w:val="20"/>
              </w:rPr>
            </w:pPr>
            <w:proofErr w:type="spellStart"/>
            <w:r>
              <w:rPr>
                <w:sz w:val="20"/>
                <w:szCs w:val="20"/>
              </w:rPr>
              <w:t>Suecia</w:t>
            </w:r>
            <w:proofErr w:type="spellEnd"/>
          </w:p>
        </w:tc>
        <w:tc>
          <w:tcPr>
            <w:tcW w:w="851" w:type="dxa"/>
          </w:tcPr>
          <w:p w14:paraId="1C1BAB7C" w14:textId="1F7F4B39" w:rsidR="00AC0F78" w:rsidRPr="00B101FC" w:rsidRDefault="00AC0F78" w:rsidP="00AC0F78">
            <w:pPr>
              <w:pStyle w:val="NoIndent"/>
              <w:spacing w:line="240" w:lineRule="auto"/>
              <w:jc w:val="center"/>
              <w:rPr>
                <w:sz w:val="20"/>
                <w:szCs w:val="20"/>
              </w:rPr>
            </w:pPr>
            <w:r>
              <w:rPr>
                <w:sz w:val="20"/>
                <w:szCs w:val="20"/>
              </w:rPr>
              <w:t>81.25</w:t>
            </w:r>
          </w:p>
        </w:tc>
      </w:tr>
      <w:tr w:rsidR="00AC0F78" w:rsidRPr="00B101FC" w14:paraId="36A0E65A" w14:textId="77777777" w:rsidTr="00B101FC">
        <w:tc>
          <w:tcPr>
            <w:tcW w:w="1275" w:type="dxa"/>
          </w:tcPr>
          <w:p w14:paraId="125D16F0" w14:textId="14546FA5" w:rsidR="00AC0F78" w:rsidRPr="00B101FC" w:rsidRDefault="00AC0F78" w:rsidP="00AC0F78">
            <w:pPr>
              <w:pStyle w:val="NoIndent"/>
              <w:spacing w:line="240" w:lineRule="auto"/>
              <w:rPr>
                <w:sz w:val="20"/>
                <w:szCs w:val="20"/>
              </w:rPr>
            </w:pPr>
            <w:r>
              <w:rPr>
                <w:sz w:val="20"/>
                <w:szCs w:val="20"/>
              </w:rPr>
              <w:t>Dinamarca</w:t>
            </w:r>
          </w:p>
        </w:tc>
        <w:tc>
          <w:tcPr>
            <w:tcW w:w="851" w:type="dxa"/>
          </w:tcPr>
          <w:p w14:paraId="3F839967" w14:textId="0453BF18" w:rsidR="00AC0F78" w:rsidRPr="00B101FC" w:rsidRDefault="00AC0F78" w:rsidP="00AC0F78">
            <w:pPr>
              <w:pStyle w:val="NoIndent"/>
              <w:spacing w:line="240" w:lineRule="auto"/>
              <w:jc w:val="center"/>
              <w:rPr>
                <w:sz w:val="20"/>
                <w:szCs w:val="20"/>
              </w:rPr>
            </w:pPr>
            <w:r>
              <w:rPr>
                <w:sz w:val="20"/>
                <w:szCs w:val="20"/>
              </w:rPr>
              <w:t>78.45</w:t>
            </w:r>
          </w:p>
        </w:tc>
      </w:tr>
      <w:tr w:rsidR="00AC0F78" w:rsidRPr="00B101FC" w14:paraId="33296D60" w14:textId="77777777" w:rsidTr="00B101FC">
        <w:tc>
          <w:tcPr>
            <w:tcW w:w="1275" w:type="dxa"/>
          </w:tcPr>
          <w:p w14:paraId="212C74E3" w14:textId="283E49D0" w:rsidR="00AC0F78" w:rsidRPr="00B101FC" w:rsidRDefault="00AC0F78" w:rsidP="00AC0F78">
            <w:pPr>
              <w:pStyle w:val="NoIndent"/>
              <w:spacing w:line="240" w:lineRule="auto"/>
              <w:rPr>
                <w:sz w:val="20"/>
                <w:szCs w:val="20"/>
              </w:rPr>
            </w:pPr>
            <w:proofErr w:type="spellStart"/>
            <w:r>
              <w:rPr>
                <w:sz w:val="20"/>
                <w:szCs w:val="20"/>
              </w:rPr>
              <w:t>Países</w:t>
            </w:r>
            <w:proofErr w:type="spellEnd"/>
            <w:r>
              <w:rPr>
                <w:sz w:val="20"/>
                <w:szCs w:val="20"/>
              </w:rPr>
              <w:t xml:space="preserve"> </w:t>
            </w:r>
            <w:proofErr w:type="spellStart"/>
            <w:r>
              <w:rPr>
                <w:sz w:val="20"/>
                <w:szCs w:val="20"/>
              </w:rPr>
              <w:t>Bajos</w:t>
            </w:r>
            <w:proofErr w:type="spellEnd"/>
          </w:p>
        </w:tc>
        <w:tc>
          <w:tcPr>
            <w:tcW w:w="851" w:type="dxa"/>
          </w:tcPr>
          <w:p w14:paraId="71826A00" w14:textId="6486F5C5" w:rsidR="00AC0F78" w:rsidRPr="00B101FC" w:rsidRDefault="00AC0F78" w:rsidP="00AC0F78">
            <w:pPr>
              <w:pStyle w:val="NoIndent"/>
              <w:spacing w:line="240" w:lineRule="auto"/>
              <w:jc w:val="center"/>
              <w:rPr>
                <w:sz w:val="20"/>
                <w:szCs w:val="20"/>
              </w:rPr>
            </w:pPr>
            <w:r>
              <w:rPr>
                <w:sz w:val="20"/>
                <w:szCs w:val="20"/>
              </w:rPr>
              <w:t>73.99</w:t>
            </w:r>
          </w:p>
        </w:tc>
      </w:tr>
      <w:tr w:rsidR="00AC0F78" w:rsidRPr="00B101FC" w14:paraId="52525EF3" w14:textId="77777777" w:rsidTr="00B101FC">
        <w:tc>
          <w:tcPr>
            <w:tcW w:w="1275" w:type="dxa"/>
            <w:tcBorders>
              <w:bottom w:val="single" w:sz="12" w:space="0" w:color="auto"/>
            </w:tcBorders>
          </w:tcPr>
          <w:p w14:paraId="0743A842" w14:textId="37F96452" w:rsidR="00AC0F78" w:rsidRPr="00B101FC" w:rsidRDefault="00AC0F78" w:rsidP="00AC0F78">
            <w:pPr>
              <w:pStyle w:val="NoIndent"/>
              <w:spacing w:line="240" w:lineRule="auto"/>
              <w:rPr>
                <w:sz w:val="20"/>
                <w:szCs w:val="20"/>
              </w:rPr>
            </w:pPr>
            <w:r>
              <w:rPr>
                <w:sz w:val="20"/>
                <w:szCs w:val="20"/>
              </w:rPr>
              <w:t>Irlanda</w:t>
            </w:r>
          </w:p>
        </w:tc>
        <w:tc>
          <w:tcPr>
            <w:tcW w:w="851" w:type="dxa"/>
            <w:tcBorders>
              <w:bottom w:val="single" w:sz="12" w:space="0" w:color="auto"/>
            </w:tcBorders>
          </w:tcPr>
          <w:p w14:paraId="6FC0CBAB" w14:textId="78F1A253" w:rsidR="00AC0F78" w:rsidRPr="00B101FC" w:rsidRDefault="00AC0F78" w:rsidP="00AC0F78">
            <w:pPr>
              <w:pStyle w:val="NoIndent"/>
              <w:spacing w:line="240" w:lineRule="auto"/>
              <w:jc w:val="center"/>
              <w:rPr>
                <w:sz w:val="20"/>
                <w:szCs w:val="20"/>
              </w:rPr>
            </w:pPr>
            <w:r>
              <w:rPr>
                <w:sz w:val="20"/>
                <w:szCs w:val="20"/>
              </w:rPr>
              <w:t>70.03</w:t>
            </w:r>
          </w:p>
        </w:tc>
      </w:tr>
    </w:tbl>
    <w:p w14:paraId="3D11659F" w14:textId="77777777" w:rsidR="00B101FC" w:rsidRPr="00B101FC" w:rsidRDefault="00B101FC" w:rsidP="00AC0F78">
      <w:pPr>
        <w:pStyle w:val="ListParagraph"/>
        <w:spacing w:line="240" w:lineRule="auto"/>
        <w:ind w:firstLine="0"/>
        <w:rPr>
          <w:rStyle w:val="Emphasis"/>
          <w:rFonts w:ascii="Calibri" w:eastAsia="Calibri" w:hAnsi="Calibri" w:cs="Calibri"/>
          <w:color w:val="000000" w:themeColor="text1"/>
        </w:rPr>
      </w:pPr>
    </w:p>
    <w:p w14:paraId="1556CCB9" w14:textId="77777777" w:rsidR="00AC0F78" w:rsidRDefault="00AC0F78" w:rsidP="00AC0F78">
      <w:pPr>
        <w:spacing w:line="240" w:lineRule="auto"/>
        <w:ind w:firstLine="0"/>
        <w:rPr>
          <w:rFonts w:cstheme="minorHAnsi"/>
          <w:b/>
          <w:bCs/>
          <w:sz w:val="20"/>
          <w:szCs w:val="20"/>
          <w:lang w:val="es-ES"/>
        </w:rPr>
      </w:pPr>
      <w:r>
        <w:rPr>
          <w:rFonts w:cstheme="minorHAnsi"/>
          <w:b/>
          <w:bCs/>
          <w:sz w:val="20"/>
          <w:szCs w:val="20"/>
          <w:lang w:val="es-ES"/>
        </w:rPr>
        <w:t>5 países con peor score</w:t>
      </w:r>
      <w:r w:rsidR="003E213A" w:rsidRPr="00B101FC">
        <w:rPr>
          <w:rFonts w:cstheme="minorHAnsi"/>
          <w:b/>
          <w:bCs/>
          <w:sz w:val="20"/>
          <w:szCs w:val="20"/>
          <w:lang w:val="es-ES"/>
        </w:rPr>
        <w:t xml:space="preserve"> </w:t>
      </w:r>
      <w:r>
        <w:rPr>
          <w:rFonts w:cstheme="minorHAnsi"/>
          <w:b/>
          <w:bCs/>
          <w:sz w:val="20"/>
          <w:szCs w:val="20"/>
          <w:lang w:val="es-ES"/>
        </w:rPr>
        <w:t xml:space="preserve">medio </w:t>
      </w:r>
    </w:p>
    <w:p w14:paraId="3FA237ED" w14:textId="7184F924" w:rsidR="003E213A" w:rsidRPr="00AC0F78" w:rsidRDefault="003E213A" w:rsidP="00AC0F78">
      <w:pPr>
        <w:spacing w:line="240" w:lineRule="auto"/>
        <w:ind w:firstLine="0"/>
        <w:rPr>
          <w:sz w:val="20"/>
          <w:szCs w:val="20"/>
          <w:lang w:val="es-ES"/>
        </w:rPr>
      </w:pPr>
      <w:r w:rsidRPr="00B101FC">
        <w:rPr>
          <w:rFonts w:cstheme="minorHAnsi"/>
          <w:b/>
          <w:bCs/>
          <w:sz w:val="20"/>
          <w:szCs w:val="20"/>
          <w:lang w:val="es-ES"/>
        </w:rPr>
        <w:t>(Figura 05.</w:t>
      </w:r>
      <w:r w:rsidR="00AC0F78">
        <w:rPr>
          <w:rFonts w:cstheme="minorHAnsi"/>
          <w:b/>
          <w:bCs/>
          <w:sz w:val="20"/>
          <w:szCs w:val="20"/>
          <w:lang w:val="es-ES"/>
        </w:rPr>
        <w:t>3</w:t>
      </w:r>
      <w:r w:rsidRPr="00B101FC">
        <w:rPr>
          <w:rFonts w:cstheme="minorHAnsi"/>
          <w:b/>
          <w:bCs/>
          <w:sz w:val="20"/>
          <w:szCs w:val="20"/>
          <w:lang w:val="es-ES"/>
        </w:rPr>
        <w:t>):</w:t>
      </w:r>
      <w:r w:rsidRPr="00AC0F78">
        <w:rPr>
          <w:sz w:val="20"/>
          <w:szCs w:val="20"/>
          <w:lang w:val="es-ES"/>
        </w:rPr>
        <w:t xml:space="preserve"> </w:t>
      </w:r>
    </w:p>
    <w:p w14:paraId="4D484E72" w14:textId="77777777" w:rsidR="003E213A" w:rsidRPr="00B101FC" w:rsidRDefault="003E213A" w:rsidP="00AC0F78">
      <w:pPr>
        <w:spacing w:line="240" w:lineRule="auto"/>
        <w:ind w:firstLine="0"/>
        <w:rPr>
          <w:rFonts w:cstheme="minorHAnsi"/>
          <w:b/>
          <w:bCs/>
          <w:sz w:val="20"/>
          <w:szCs w:val="20"/>
          <w:lang w:val="es-ES"/>
        </w:rPr>
      </w:pPr>
    </w:p>
    <w:tbl>
      <w:tblPr>
        <w:tblW w:w="0" w:type="auto"/>
        <w:tblLayout w:type="fixed"/>
        <w:tblLook w:val="0600" w:firstRow="0" w:lastRow="0" w:firstColumn="0" w:lastColumn="0" w:noHBand="1" w:noVBand="1"/>
        <w:tblDescription w:val="Table"/>
      </w:tblPr>
      <w:tblGrid>
        <w:gridCol w:w="1275"/>
        <w:gridCol w:w="851"/>
      </w:tblGrid>
      <w:tr w:rsidR="00AC0F78" w:rsidRPr="00B101FC" w14:paraId="4A37B2FA" w14:textId="77777777" w:rsidTr="00E74258">
        <w:tc>
          <w:tcPr>
            <w:tcW w:w="1275" w:type="dxa"/>
            <w:tcBorders>
              <w:top w:val="single" w:sz="12" w:space="0" w:color="auto"/>
              <w:bottom w:val="single" w:sz="12" w:space="0" w:color="auto"/>
            </w:tcBorders>
          </w:tcPr>
          <w:p w14:paraId="29D9A89F" w14:textId="77777777" w:rsidR="00AC0F78" w:rsidRPr="00B101FC" w:rsidRDefault="00AC0F78" w:rsidP="00AC0F78">
            <w:pPr>
              <w:pStyle w:val="NoIndent"/>
              <w:spacing w:line="240" w:lineRule="auto"/>
              <w:rPr>
                <w:sz w:val="20"/>
                <w:szCs w:val="20"/>
              </w:rPr>
            </w:pPr>
            <w:r>
              <w:rPr>
                <w:sz w:val="20"/>
                <w:szCs w:val="20"/>
              </w:rPr>
              <w:t>País</w:t>
            </w:r>
          </w:p>
        </w:tc>
        <w:tc>
          <w:tcPr>
            <w:tcW w:w="851" w:type="dxa"/>
            <w:tcBorders>
              <w:top w:val="single" w:sz="12" w:space="0" w:color="auto"/>
              <w:bottom w:val="single" w:sz="12" w:space="0" w:color="auto"/>
            </w:tcBorders>
          </w:tcPr>
          <w:p w14:paraId="1E269BE7" w14:textId="77777777" w:rsidR="00AC0F78" w:rsidRPr="00B101FC" w:rsidRDefault="00AC0F78" w:rsidP="00AC0F78">
            <w:pPr>
              <w:pStyle w:val="NoIndent"/>
              <w:spacing w:line="240" w:lineRule="auto"/>
              <w:jc w:val="center"/>
              <w:rPr>
                <w:sz w:val="20"/>
                <w:szCs w:val="20"/>
              </w:rPr>
            </w:pPr>
            <w:r>
              <w:rPr>
                <w:sz w:val="20"/>
                <w:szCs w:val="20"/>
              </w:rPr>
              <w:t>Score</w:t>
            </w:r>
          </w:p>
        </w:tc>
      </w:tr>
      <w:tr w:rsidR="00AC0F78" w:rsidRPr="00B101FC" w14:paraId="3C3787AB" w14:textId="77777777" w:rsidTr="00E74258">
        <w:tc>
          <w:tcPr>
            <w:tcW w:w="1275" w:type="dxa"/>
            <w:tcBorders>
              <w:top w:val="single" w:sz="12" w:space="0" w:color="auto"/>
            </w:tcBorders>
          </w:tcPr>
          <w:p w14:paraId="257DA210" w14:textId="7A8FB650" w:rsidR="00AC0F78" w:rsidRPr="00B101FC" w:rsidRDefault="00AC0F78" w:rsidP="00AC0F78">
            <w:pPr>
              <w:pStyle w:val="NoIndent"/>
              <w:spacing w:line="240" w:lineRule="auto"/>
              <w:rPr>
                <w:sz w:val="20"/>
                <w:szCs w:val="20"/>
              </w:rPr>
            </w:pPr>
            <w:proofErr w:type="spellStart"/>
            <w:r>
              <w:rPr>
                <w:sz w:val="20"/>
                <w:szCs w:val="20"/>
              </w:rPr>
              <w:t>Hungría</w:t>
            </w:r>
            <w:proofErr w:type="spellEnd"/>
          </w:p>
        </w:tc>
        <w:tc>
          <w:tcPr>
            <w:tcW w:w="851" w:type="dxa"/>
            <w:tcBorders>
              <w:top w:val="single" w:sz="12" w:space="0" w:color="auto"/>
            </w:tcBorders>
          </w:tcPr>
          <w:p w14:paraId="5FBEF7DB" w14:textId="3647900D" w:rsidR="00AC0F78" w:rsidRPr="00B101FC" w:rsidRDefault="00AC0F78" w:rsidP="00AC0F78">
            <w:pPr>
              <w:pStyle w:val="NoIndent"/>
              <w:spacing w:line="240" w:lineRule="auto"/>
              <w:jc w:val="center"/>
              <w:rPr>
                <w:sz w:val="20"/>
                <w:szCs w:val="20"/>
              </w:rPr>
            </w:pPr>
            <w:r>
              <w:rPr>
                <w:sz w:val="20"/>
                <w:szCs w:val="20"/>
              </w:rPr>
              <w:t>49.47</w:t>
            </w:r>
          </w:p>
        </w:tc>
      </w:tr>
      <w:tr w:rsidR="00AC0F78" w:rsidRPr="00B101FC" w14:paraId="227779CF" w14:textId="77777777" w:rsidTr="00E74258">
        <w:tc>
          <w:tcPr>
            <w:tcW w:w="1275" w:type="dxa"/>
          </w:tcPr>
          <w:p w14:paraId="2A26E86A" w14:textId="60E65FB1" w:rsidR="00AC0F78" w:rsidRPr="00B101FC" w:rsidRDefault="00AC0F78" w:rsidP="00AC0F78">
            <w:pPr>
              <w:pStyle w:val="NoIndent"/>
              <w:spacing w:line="240" w:lineRule="auto"/>
              <w:rPr>
                <w:sz w:val="20"/>
                <w:szCs w:val="20"/>
              </w:rPr>
            </w:pPr>
            <w:proofErr w:type="spellStart"/>
            <w:r>
              <w:rPr>
                <w:sz w:val="20"/>
                <w:szCs w:val="20"/>
              </w:rPr>
              <w:t>Eslovaquia</w:t>
            </w:r>
            <w:proofErr w:type="spellEnd"/>
          </w:p>
        </w:tc>
        <w:tc>
          <w:tcPr>
            <w:tcW w:w="851" w:type="dxa"/>
          </w:tcPr>
          <w:p w14:paraId="31AF059F" w14:textId="7603B287" w:rsidR="00AC0F78" w:rsidRPr="00B101FC" w:rsidRDefault="00AC0F78" w:rsidP="00AC0F78">
            <w:pPr>
              <w:pStyle w:val="NoIndent"/>
              <w:spacing w:line="240" w:lineRule="auto"/>
              <w:jc w:val="center"/>
              <w:rPr>
                <w:sz w:val="20"/>
                <w:szCs w:val="20"/>
              </w:rPr>
            </w:pPr>
            <w:r>
              <w:rPr>
                <w:sz w:val="20"/>
                <w:szCs w:val="20"/>
              </w:rPr>
              <w:t>48.73</w:t>
            </w:r>
          </w:p>
        </w:tc>
      </w:tr>
      <w:tr w:rsidR="00AC0F78" w:rsidRPr="00B101FC" w14:paraId="3FDCC8CF" w14:textId="77777777" w:rsidTr="00E74258">
        <w:tc>
          <w:tcPr>
            <w:tcW w:w="1275" w:type="dxa"/>
          </w:tcPr>
          <w:p w14:paraId="036A2CCA" w14:textId="1492A2E6" w:rsidR="00AC0F78" w:rsidRPr="00B101FC" w:rsidRDefault="00AC0F78" w:rsidP="00AC0F78">
            <w:pPr>
              <w:pStyle w:val="NoIndent"/>
              <w:spacing w:line="240" w:lineRule="auto"/>
              <w:rPr>
                <w:sz w:val="20"/>
                <w:szCs w:val="20"/>
              </w:rPr>
            </w:pPr>
            <w:proofErr w:type="spellStart"/>
            <w:r>
              <w:rPr>
                <w:sz w:val="20"/>
                <w:szCs w:val="20"/>
              </w:rPr>
              <w:t>Rumanía</w:t>
            </w:r>
            <w:proofErr w:type="spellEnd"/>
          </w:p>
        </w:tc>
        <w:tc>
          <w:tcPr>
            <w:tcW w:w="851" w:type="dxa"/>
          </w:tcPr>
          <w:p w14:paraId="1B44F7A2" w14:textId="32AA17DD" w:rsidR="00AC0F78" w:rsidRPr="00B101FC" w:rsidRDefault="00AC0F78" w:rsidP="00AC0F78">
            <w:pPr>
              <w:pStyle w:val="NoIndent"/>
              <w:spacing w:line="240" w:lineRule="auto"/>
              <w:jc w:val="center"/>
              <w:rPr>
                <w:sz w:val="20"/>
                <w:szCs w:val="20"/>
              </w:rPr>
            </w:pPr>
            <w:r>
              <w:rPr>
                <w:sz w:val="20"/>
                <w:szCs w:val="20"/>
              </w:rPr>
              <w:t>36.94</w:t>
            </w:r>
          </w:p>
        </w:tc>
      </w:tr>
      <w:tr w:rsidR="00AC0F78" w:rsidRPr="00B101FC" w14:paraId="0053E038" w14:textId="77777777" w:rsidTr="00E74258">
        <w:tc>
          <w:tcPr>
            <w:tcW w:w="1275" w:type="dxa"/>
          </w:tcPr>
          <w:p w14:paraId="592D7B66" w14:textId="0737095B" w:rsidR="00AC0F78" w:rsidRPr="00B101FC" w:rsidRDefault="00AC0F78" w:rsidP="00AC0F78">
            <w:pPr>
              <w:pStyle w:val="NoIndent"/>
              <w:spacing w:line="240" w:lineRule="auto"/>
              <w:rPr>
                <w:sz w:val="20"/>
                <w:szCs w:val="20"/>
              </w:rPr>
            </w:pPr>
            <w:proofErr w:type="spellStart"/>
            <w:r>
              <w:rPr>
                <w:sz w:val="20"/>
                <w:szCs w:val="20"/>
              </w:rPr>
              <w:t>Croacia</w:t>
            </w:r>
            <w:proofErr w:type="spellEnd"/>
          </w:p>
        </w:tc>
        <w:tc>
          <w:tcPr>
            <w:tcW w:w="851" w:type="dxa"/>
          </w:tcPr>
          <w:p w14:paraId="40E3DAF6" w14:textId="5633142F" w:rsidR="00AC0F78" w:rsidRPr="00B101FC" w:rsidRDefault="00AC0F78" w:rsidP="00AC0F78">
            <w:pPr>
              <w:pStyle w:val="NoIndent"/>
              <w:spacing w:line="240" w:lineRule="auto"/>
              <w:jc w:val="center"/>
              <w:rPr>
                <w:sz w:val="20"/>
                <w:szCs w:val="20"/>
              </w:rPr>
            </w:pPr>
            <w:r>
              <w:rPr>
                <w:sz w:val="20"/>
                <w:szCs w:val="20"/>
              </w:rPr>
              <w:t>36.74</w:t>
            </w:r>
          </w:p>
        </w:tc>
      </w:tr>
      <w:tr w:rsidR="00AC0F78" w:rsidRPr="00B101FC" w14:paraId="478CF8DB" w14:textId="77777777" w:rsidTr="00E74258">
        <w:tc>
          <w:tcPr>
            <w:tcW w:w="1275" w:type="dxa"/>
            <w:tcBorders>
              <w:bottom w:val="single" w:sz="12" w:space="0" w:color="auto"/>
            </w:tcBorders>
          </w:tcPr>
          <w:p w14:paraId="616C259B" w14:textId="451C11E6" w:rsidR="00AC0F78" w:rsidRPr="00B101FC" w:rsidRDefault="00AC0F78" w:rsidP="00AC0F78">
            <w:pPr>
              <w:pStyle w:val="NoIndent"/>
              <w:spacing w:line="240" w:lineRule="auto"/>
              <w:rPr>
                <w:sz w:val="20"/>
                <w:szCs w:val="20"/>
              </w:rPr>
            </w:pPr>
            <w:r>
              <w:rPr>
                <w:sz w:val="20"/>
                <w:szCs w:val="20"/>
              </w:rPr>
              <w:t>Bulgaria</w:t>
            </w:r>
          </w:p>
        </w:tc>
        <w:tc>
          <w:tcPr>
            <w:tcW w:w="851" w:type="dxa"/>
            <w:tcBorders>
              <w:bottom w:val="single" w:sz="12" w:space="0" w:color="auto"/>
            </w:tcBorders>
          </w:tcPr>
          <w:p w14:paraId="0CEBA7B1" w14:textId="16D38CAD" w:rsidR="00AC0F78" w:rsidRPr="00B101FC" w:rsidRDefault="00AC0F78" w:rsidP="00AC0F78">
            <w:pPr>
              <w:pStyle w:val="NoIndent"/>
              <w:spacing w:line="240" w:lineRule="auto"/>
              <w:jc w:val="center"/>
              <w:rPr>
                <w:sz w:val="20"/>
                <w:szCs w:val="20"/>
              </w:rPr>
            </w:pPr>
            <w:r>
              <w:rPr>
                <w:sz w:val="20"/>
                <w:szCs w:val="20"/>
              </w:rPr>
              <w:t>31.74</w:t>
            </w:r>
          </w:p>
        </w:tc>
      </w:tr>
    </w:tbl>
    <w:p w14:paraId="406A46E6" w14:textId="77777777" w:rsidR="00AC0F78" w:rsidRDefault="00AC0F78" w:rsidP="00AC0F78">
      <w:pPr>
        <w:pStyle w:val="ListParagraph"/>
        <w:spacing w:line="240" w:lineRule="auto"/>
        <w:ind w:firstLine="0"/>
        <w:rPr>
          <w:rStyle w:val="Emphasis"/>
          <w:rFonts w:ascii="Calibri" w:eastAsia="Calibri" w:hAnsi="Calibri" w:cs="Calibri"/>
          <w:color w:val="000000" w:themeColor="text1"/>
        </w:rPr>
        <w:sectPr w:rsidR="00AC0F78" w:rsidSect="00AC0F78">
          <w:type w:val="continuous"/>
          <w:pgSz w:w="12240" w:h="15840"/>
          <w:pgMar w:top="1440" w:right="1440" w:bottom="1440" w:left="1440" w:header="720" w:footer="720" w:gutter="0"/>
          <w:cols w:num="2" w:space="720"/>
          <w:titlePg/>
          <w:docGrid w:linePitch="360"/>
        </w:sectPr>
      </w:pPr>
    </w:p>
    <w:p w14:paraId="7AC4384B" w14:textId="1BE05861" w:rsidR="576062CF" w:rsidRDefault="00363E86" w:rsidP="00D83EDA">
      <w:pPr>
        <w:spacing w:line="240" w:lineRule="auto"/>
        <w:ind w:firstLine="0"/>
        <w:rPr>
          <w:rFonts w:cstheme="minorHAnsi"/>
          <w:sz w:val="20"/>
          <w:szCs w:val="20"/>
          <w:lang w:val="es-ES"/>
        </w:rPr>
      </w:pPr>
      <w:r w:rsidRPr="00363E86">
        <w:rPr>
          <w:rFonts w:cstheme="minorHAnsi"/>
          <w:sz w:val="20"/>
          <w:szCs w:val="20"/>
          <w:lang w:val="es-ES"/>
        </w:rPr>
        <w:t>Ob</w:t>
      </w:r>
      <w:r>
        <w:rPr>
          <w:rFonts w:cstheme="minorHAnsi"/>
          <w:sz w:val="20"/>
          <w:szCs w:val="20"/>
          <w:lang w:val="es-ES"/>
        </w:rPr>
        <w:t>servamos</w:t>
      </w:r>
      <w:r w:rsidR="00AC0F78">
        <w:rPr>
          <w:rFonts w:cstheme="minorHAnsi"/>
          <w:sz w:val="20"/>
          <w:szCs w:val="20"/>
          <w:lang w:val="es-ES"/>
        </w:rPr>
        <w:t xml:space="preserve"> que las notas medias por país son en general altas</w:t>
      </w:r>
      <w:r>
        <w:rPr>
          <w:rFonts w:cstheme="minorHAnsi"/>
          <w:sz w:val="20"/>
          <w:szCs w:val="20"/>
          <w:lang w:val="es-ES"/>
        </w:rPr>
        <w:t>, con solo</w:t>
      </w:r>
      <w:r w:rsidR="00AC0F78">
        <w:rPr>
          <w:rFonts w:cstheme="minorHAnsi"/>
          <w:sz w:val="20"/>
          <w:szCs w:val="20"/>
          <w:lang w:val="es-ES"/>
        </w:rPr>
        <w:t xml:space="preserve"> tres países </w:t>
      </w:r>
      <w:r>
        <w:rPr>
          <w:rFonts w:cstheme="minorHAnsi"/>
          <w:sz w:val="20"/>
          <w:szCs w:val="20"/>
          <w:lang w:val="es-ES"/>
        </w:rPr>
        <w:t>por debajo de</w:t>
      </w:r>
      <w:r w:rsidR="00AC0F78">
        <w:rPr>
          <w:rFonts w:cstheme="minorHAnsi"/>
          <w:sz w:val="20"/>
          <w:szCs w:val="20"/>
          <w:lang w:val="es-ES"/>
        </w:rPr>
        <w:t xml:space="preserve"> 40 sobre 100. Si bajamos al nivel región</w:t>
      </w:r>
      <w:r w:rsidR="00A92742">
        <w:rPr>
          <w:rFonts w:cstheme="minorHAnsi"/>
          <w:sz w:val="20"/>
          <w:szCs w:val="20"/>
          <w:lang w:val="es-ES"/>
        </w:rPr>
        <w:t xml:space="preserve"> observamos notas más bajas</w:t>
      </w:r>
      <w:r w:rsidR="00D83EDA">
        <w:rPr>
          <w:rFonts w:cstheme="minorHAnsi"/>
          <w:sz w:val="20"/>
          <w:szCs w:val="20"/>
          <w:lang w:val="es-ES"/>
        </w:rPr>
        <w:t>:</w:t>
      </w:r>
    </w:p>
    <w:p w14:paraId="121D4755" w14:textId="77777777" w:rsidR="0062515D" w:rsidRDefault="0062515D" w:rsidP="00D83EDA">
      <w:pPr>
        <w:spacing w:line="240" w:lineRule="auto"/>
        <w:ind w:firstLine="0"/>
        <w:rPr>
          <w:rFonts w:cstheme="minorHAnsi"/>
          <w:sz w:val="20"/>
          <w:szCs w:val="20"/>
          <w:lang w:val="es-ES"/>
        </w:rPr>
      </w:pPr>
    </w:p>
    <w:p w14:paraId="13E54A39" w14:textId="77777777" w:rsidR="0062515D" w:rsidRDefault="0062515D" w:rsidP="00D83EDA">
      <w:pPr>
        <w:spacing w:line="240" w:lineRule="auto"/>
        <w:ind w:firstLine="0"/>
        <w:rPr>
          <w:rFonts w:cstheme="minorHAnsi"/>
          <w:b/>
          <w:bCs/>
          <w:sz w:val="20"/>
          <w:szCs w:val="20"/>
          <w:lang w:val="es-ES"/>
        </w:rPr>
        <w:sectPr w:rsidR="0062515D" w:rsidSect="00AC0F78">
          <w:type w:val="continuous"/>
          <w:pgSz w:w="12240" w:h="15840"/>
          <w:pgMar w:top="1440" w:right="1440" w:bottom="1440" w:left="1440" w:header="720" w:footer="720" w:gutter="0"/>
          <w:cols w:space="720"/>
          <w:titlePg/>
          <w:docGrid w:linePitch="360"/>
        </w:sectPr>
      </w:pPr>
    </w:p>
    <w:p w14:paraId="085A4F81" w14:textId="2C4CA6D4" w:rsidR="0062515D" w:rsidRDefault="0062515D" w:rsidP="00D83EDA">
      <w:pPr>
        <w:spacing w:line="240" w:lineRule="auto"/>
        <w:ind w:firstLine="0"/>
        <w:rPr>
          <w:rFonts w:cstheme="minorHAnsi"/>
          <w:sz w:val="20"/>
          <w:szCs w:val="20"/>
          <w:lang w:val="es-ES"/>
        </w:rPr>
      </w:pPr>
      <w:r>
        <w:rPr>
          <w:rFonts w:cstheme="minorHAnsi"/>
          <w:b/>
          <w:bCs/>
          <w:sz w:val="20"/>
          <w:szCs w:val="20"/>
          <w:lang w:val="es-ES"/>
        </w:rPr>
        <w:t xml:space="preserve">10 regiones con mejor score </w:t>
      </w:r>
      <w:r w:rsidRPr="00B101FC">
        <w:rPr>
          <w:rFonts w:cstheme="minorHAnsi"/>
          <w:b/>
          <w:bCs/>
          <w:sz w:val="20"/>
          <w:szCs w:val="20"/>
          <w:lang w:val="es-ES"/>
        </w:rPr>
        <w:t>(Figura 05.</w:t>
      </w:r>
      <w:r>
        <w:rPr>
          <w:rFonts w:cstheme="minorHAnsi"/>
          <w:b/>
          <w:bCs/>
          <w:sz w:val="20"/>
          <w:szCs w:val="20"/>
          <w:lang w:val="es-ES"/>
        </w:rPr>
        <w:t>4</w:t>
      </w:r>
      <w:r w:rsidRPr="00B101FC">
        <w:rPr>
          <w:rFonts w:cstheme="minorHAnsi"/>
          <w:b/>
          <w:bCs/>
          <w:sz w:val="20"/>
          <w:szCs w:val="20"/>
          <w:lang w:val="es-ES"/>
        </w:rPr>
        <w:t>):</w:t>
      </w:r>
      <w:r w:rsidRPr="00AC0F78">
        <w:rPr>
          <w:sz w:val="20"/>
          <w:szCs w:val="20"/>
          <w:lang w:val="es-ES"/>
        </w:rPr>
        <w:t xml:space="preserve"> </w:t>
      </w:r>
    </w:p>
    <w:p w14:paraId="032C7E59" w14:textId="77777777" w:rsidR="00D83EDA" w:rsidRDefault="00D83EDA" w:rsidP="00D83EDA">
      <w:pPr>
        <w:spacing w:line="240" w:lineRule="auto"/>
        <w:ind w:firstLine="0"/>
        <w:rPr>
          <w:rFonts w:cstheme="minorHAnsi"/>
          <w:sz w:val="20"/>
          <w:szCs w:val="20"/>
          <w:lang w:val="es-ES"/>
        </w:rPr>
      </w:pPr>
    </w:p>
    <w:tbl>
      <w:tblPr>
        <w:tblW w:w="0" w:type="auto"/>
        <w:tblLayout w:type="fixed"/>
        <w:tblLook w:val="0600" w:firstRow="0" w:lastRow="0" w:firstColumn="0" w:lastColumn="0" w:noHBand="1" w:noVBand="1"/>
        <w:tblDescription w:val="Table"/>
      </w:tblPr>
      <w:tblGrid>
        <w:gridCol w:w="567"/>
        <w:gridCol w:w="1843"/>
        <w:gridCol w:w="709"/>
        <w:gridCol w:w="708"/>
      </w:tblGrid>
      <w:tr w:rsidR="00D83EDA" w:rsidRPr="0062515D" w14:paraId="10A0D25F" w14:textId="77777777" w:rsidTr="0062515D">
        <w:tc>
          <w:tcPr>
            <w:tcW w:w="567" w:type="dxa"/>
            <w:tcBorders>
              <w:top w:val="single" w:sz="12" w:space="0" w:color="auto"/>
              <w:bottom w:val="single" w:sz="12" w:space="0" w:color="auto"/>
            </w:tcBorders>
          </w:tcPr>
          <w:p w14:paraId="37CDFE27" w14:textId="3DE6532E" w:rsidR="00D83EDA" w:rsidRPr="0062515D" w:rsidRDefault="00D83EDA" w:rsidP="0062515D">
            <w:pPr>
              <w:pStyle w:val="NoIndent"/>
              <w:spacing w:line="240" w:lineRule="auto"/>
              <w:jc w:val="center"/>
              <w:rPr>
                <w:sz w:val="18"/>
                <w:szCs w:val="18"/>
              </w:rPr>
            </w:pPr>
            <w:r w:rsidRPr="0062515D">
              <w:rPr>
                <w:sz w:val="18"/>
                <w:szCs w:val="18"/>
              </w:rPr>
              <w:t>País</w:t>
            </w:r>
          </w:p>
        </w:tc>
        <w:tc>
          <w:tcPr>
            <w:tcW w:w="1843" w:type="dxa"/>
            <w:tcBorders>
              <w:top w:val="single" w:sz="12" w:space="0" w:color="auto"/>
              <w:bottom w:val="single" w:sz="12" w:space="0" w:color="auto"/>
            </w:tcBorders>
          </w:tcPr>
          <w:p w14:paraId="61A74876" w14:textId="6E924712" w:rsidR="00D83EDA" w:rsidRPr="0062515D" w:rsidRDefault="00D83EDA" w:rsidP="0062515D">
            <w:pPr>
              <w:pStyle w:val="NoIndent"/>
              <w:spacing w:line="240" w:lineRule="auto"/>
              <w:rPr>
                <w:sz w:val="18"/>
                <w:szCs w:val="18"/>
              </w:rPr>
            </w:pPr>
            <w:r w:rsidRPr="0062515D">
              <w:rPr>
                <w:sz w:val="18"/>
                <w:szCs w:val="18"/>
              </w:rPr>
              <w:t>Region</w:t>
            </w:r>
          </w:p>
        </w:tc>
        <w:tc>
          <w:tcPr>
            <w:tcW w:w="709" w:type="dxa"/>
            <w:tcBorders>
              <w:top w:val="single" w:sz="12" w:space="0" w:color="auto"/>
              <w:bottom w:val="single" w:sz="12" w:space="0" w:color="auto"/>
            </w:tcBorders>
          </w:tcPr>
          <w:p w14:paraId="749BE1E6" w14:textId="07F51EB2" w:rsidR="00D83EDA" w:rsidRPr="0062515D" w:rsidRDefault="00D83EDA" w:rsidP="0062515D">
            <w:pPr>
              <w:pStyle w:val="NoIndent"/>
              <w:spacing w:line="240" w:lineRule="auto"/>
              <w:jc w:val="center"/>
              <w:rPr>
                <w:sz w:val="18"/>
                <w:szCs w:val="18"/>
              </w:rPr>
            </w:pPr>
            <w:r w:rsidRPr="0062515D">
              <w:rPr>
                <w:sz w:val="18"/>
                <w:szCs w:val="18"/>
              </w:rPr>
              <w:t>SPI</w:t>
            </w:r>
          </w:p>
        </w:tc>
        <w:tc>
          <w:tcPr>
            <w:tcW w:w="708" w:type="dxa"/>
            <w:tcBorders>
              <w:top w:val="single" w:sz="12" w:space="0" w:color="auto"/>
              <w:bottom w:val="single" w:sz="12" w:space="0" w:color="auto"/>
            </w:tcBorders>
          </w:tcPr>
          <w:p w14:paraId="1B363C8D" w14:textId="62DA560F" w:rsidR="00D83EDA" w:rsidRPr="0062515D" w:rsidRDefault="00D83EDA" w:rsidP="0062515D">
            <w:pPr>
              <w:pStyle w:val="NoIndent"/>
              <w:spacing w:line="240" w:lineRule="auto"/>
              <w:jc w:val="center"/>
              <w:rPr>
                <w:sz w:val="18"/>
                <w:szCs w:val="18"/>
              </w:rPr>
            </w:pPr>
            <w:r w:rsidRPr="0062515D">
              <w:rPr>
                <w:sz w:val="18"/>
                <w:szCs w:val="18"/>
              </w:rPr>
              <w:t>GDP</w:t>
            </w:r>
          </w:p>
        </w:tc>
      </w:tr>
      <w:tr w:rsidR="00D83EDA" w:rsidRPr="0062515D" w14:paraId="34F4126D" w14:textId="77777777" w:rsidTr="0062515D">
        <w:tc>
          <w:tcPr>
            <w:tcW w:w="567" w:type="dxa"/>
            <w:tcBorders>
              <w:top w:val="single" w:sz="12" w:space="0" w:color="auto"/>
            </w:tcBorders>
          </w:tcPr>
          <w:p w14:paraId="04B33DAA" w14:textId="3125CD7F" w:rsidR="00D83EDA" w:rsidRPr="0062515D" w:rsidRDefault="0062515D" w:rsidP="0062515D">
            <w:pPr>
              <w:pStyle w:val="NoIndent"/>
              <w:spacing w:line="240" w:lineRule="auto"/>
              <w:jc w:val="center"/>
              <w:rPr>
                <w:sz w:val="18"/>
                <w:szCs w:val="18"/>
              </w:rPr>
            </w:pPr>
            <w:r w:rsidRPr="0062515D">
              <w:rPr>
                <w:sz w:val="18"/>
                <w:szCs w:val="18"/>
              </w:rPr>
              <w:t>SE</w:t>
            </w:r>
          </w:p>
        </w:tc>
        <w:tc>
          <w:tcPr>
            <w:tcW w:w="1843" w:type="dxa"/>
            <w:tcBorders>
              <w:top w:val="single" w:sz="12" w:space="0" w:color="auto"/>
            </w:tcBorders>
          </w:tcPr>
          <w:p w14:paraId="645605C0" w14:textId="045AF6E5" w:rsidR="00D83EDA" w:rsidRPr="0062515D" w:rsidRDefault="0062515D" w:rsidP="0062515D">
            <w:pPr>
              <w:pStyle w:val="NoIndent"/>
              <w:spacing w:line="240" w:lineRule="auto"/>
              <w:rPr>
                <w:sz w:val="18"/>
                <w:szCs w:val="18"/>
              </w:rPr>
            </w:pPr>
            <w:r w:rsidRPr="0062515D">
              <w:rPr>
                <w:sz w:val="18"/>
                <w:szCs w:val="18"/>
              </w:rPr>
              <w:t>Stockholm</w:t>
            </w:r>
          </w:p>
        </w:tc>
        <w:tc>
          <w:tcPr>
            <w:tcW w:w="709" w:type="dxa"/>
            <w:tcBorders>
              <w:top w:val="single" w:sz="12" w:space="0" w:color="auto"/>
            </w:tcBorders>
          </w:tcPr>
          <w:p w14:paraId="6B514A3E" w14:textId="5BC8001B" w:rsidR="00D83EDA" w:rsidRPr="0062515D" w:rsidRDefault="0062515D" w:rsidP="0062515D">
            <w:pPr>
              <w:pStyle w:val="NoIndent"/>
              <w:spacing w:line="240" w:lineRule="auto"/>
              <w:jc w:val="center"/>
              <w:rPr>
                <w:sz w:val="18"/>
                <w:szCs w:val="18"/>
              </w:rPr>
            </w:pPr>
            <w:r>
              <w:rPr>
                <w:sz w:val="18"/>
                <w:szCs w:val="18"/>
              </w:rPr>
              <w:t>84.63</w:t>
            </w:r>
          </w:p>
        </w:tc>
        <w:tc>
          <w:tcPr>
            <w:tcW w:w="708" w:type="dxa"/>
            <w:tcBorders>
              <w:top w:val="single" w:sz="12" w:space="0" w:color="auto"/>
            </w:tcBorders>
          </w:tcPr>
          <w:p w14:paraId="289A222A" w14:textId="43A99E2F" w:rsidR="00D83EDA" w:rsidRPr="0062515D" w:rsidRDefault="0062515D" w:rsidP="0062515D">
            <w:pPr>
              <w:pStyle w:val="NoIndent"/>
              <w:spacing w:line="240" w:lineRule="auto"/>
              <w:jc w:val="center"/>
              <w:rPr>
                <w:sz w:val="18"/>
                <w:szCs w:val="18"/>
              </w:rPr>
            </w:pPr>
            <w:r>
              <w:rPr>
                <w:sz w:val="18"/>
                <w:szCs w:val="18"/>
              </w:rPr>
              <w:t>56.62</w:t>
            </w:r>
          </w:p>
        </w:tc>
      </w:tr>
      <w:tr w:rsidR="00D83EDA" w:rsidRPr="0062515D" w14:paraId="3AA99BD7" w14:textId="77777777" w:rsidTr="0062515D">
        <w:tc>
          <w:tcPr>
            <w:tcW w:w="567" w:type="dxa"/>
          </w:tcPr>
          <w:p w14:paraId="1273A9EE" w14:textId="1FCD1262" w:rsidR="00D83EDA" w:rsidRPr="0062515D" w:rsidRDefault="0062515D" w:rsidP="0062515D">
            <w:pPr>
              <w:pStyle w:val="NoIndent"/>
              <w:spacing w:line="240" w:lineRule="auto"/>
              <w:jc w:val="center"/>
              <w:rPr>
                <w:sz w:val="18"/>
                <w:szCs w:val="18"/>
              </w:rPr>
            </w:pPr>
            <w:r>
              <w:rPr>
                <w:sz w:val="18"/>
                <w:szCs w:val="18"/>
              </w:rPr>
              <w:t>FI</w:t>
            </w:r>
          </w:p>
        </w:tc>
        <w:tc>
          <w:tcPr>
            <w:tcW w:w="1843" w:type="dxa"/>
          </w:tcPr>
          <w:p w14:paraId="2B172287" w14:textId="789B6924" w:rsidR="00D83EDA" w:rsidRPr="0062515D" w:rsidRDefault="0062515D" w:rsidP="0062515D">
            <w:pPr>
              <w:pStyle w:val="NoIndent"/>
              <w:spacing w:line="240" w:lineRule="auto"/>
              <w:rPr>
                <w:sz w:val="18"/>
                <w:szCs w:val="18"/>
              </w:rPr>
            </w:pPr>
            <w:r>
              <w:rPr>
                <w:sz w:val="18"/>
                <w:szCs w:val="18"/>
              </w:rPr>
              <w:t>Helsinki-</w:t>
            </w:r>
            <w:proofErr w:type="spellStart"/>
            <w:r>
              <w:rPr>
                <w:sz w:val="18"/>
                <w:szCs w:val="18"/>
              </w:rPr>
              <w:t>Uusimaa</w:t>
            </w:r>
            <w:proofErr w:type="spellEnd"/>
          </w:p>
        </w:tc>
        <w:tc>
          <w:tcPr>
            <w:tcW w:w="709" w:type="dxa"/>
          </w:tcPr>
          <w:p w14:paraId="7A4ACA20" w14:textId="3FB352E5" w:rsidR="00D83EDA" w:rsidRPr="0062515D" w:rsidRDefault="0062515D" w:rsidP="0062515D">
            <w:pPr>
              <w:pStyle w:val="NoIndent"/>
              <w:spacing w:line="240" w:lineRule="auto"/>
              <w:jc w:val="center"/>
              <w:rPr>
                <w:sz w:val="18"/>
                <w:szCs w:val="18"/>
              </w:rPr>
            </w:pPr>
            <w:r>
              <w:rPr>
                <w:sz w:val="18"/>
                <w:szCs w:val="18"/>
              </w:rPr>
              <w:t>83.90</w:t>
            </w:r>
          </w:p>
        </w:tc>
        <w:tc>
          <w:tcPr>
            <w:tcW w:w="708" w:type="dxa"/>
          </w:tcPr>
          <w:p w14:paraId="22393672" w14:textId="6D329424" w:rsidR="00D83EDA" w:rsidRPr="0062515D" w:rsidRDefault="0062515D" w:rsidP="0062515D">
            <w:pPr>
              <w:pStyle w:val="NoIndent"/>
              <w:spacing w:line="240" w:lineRule="auto"/>
              <w:jc w:val="center"/>
              <w:rPr>
                <w:sz w:val="18"/>
                <w:szCs w:val="18"/>
              </w:rPr>
            </w:pPr>
            <w:r>
              <w:rPr>
                <w:sz w:val="18"/>
                <w:szCs w:val="18"/>
              </w:rPr>
              <w:t>47.32</w:t>
            </w:r>
          </w:p>
        </w:tc>
      </w:tr>
      <w:tr w:rsidR="00D83EDA" w:rsidRPr="0062515D" w14:paraId="2ED23B76" w14:textId="77777777" w:rsidTr="0062515D">
        <w:tc>
          <w:tcPr>
            <w:tcW w:w="567" w:type="dxa"/>
          </w:tcPr>
          <w:p w14:paraId="17CC649E" w14:textId="4257FBEF" w:rsidR="00D83EDA" w:rsidRPr="0062515D" w:rsidRDefault="0062515D" w:rsidP="0062515D">
            <w:pPr>
              <w:pStyle w:val="NoIndent"/>
              <w:spacing w:line="240" w:lineRule="auto"/>
              <w:jc w:val="center"/>
              <w:rPr>
                <w:sz w:val="18"/>
                <w:szCs w:val="18"/>
              </w:rPr>
            </w:pPr>
            <w:r>
              <w:rPr>
                <w:sz w:val="18"/>
                <w:szCs w:val="18"/>
              </w:rPr>
              <w:t>FI</w:t>
            </w:r>
          </w:p>
        </w:tc>
        <w:tc>
          <w:tcPr>
            <w:tcW w:w="1843" w:type="dxa"/>
          </w:tcPr>
          <w:p w14:paraId="265D668D" w14:textId="1D0041F5" w:rsidR="00D83EDA" w:rsidRPr="0062515D" w:rsidRDefault="0062515D" w:rsidP="0062515D">
            <w:pPr>
              <w:pStyle w:val="NoIndent"/>
              <w:spacing w:line="240" w:lineRule="auto"/>
              <w:rPr>
                <w:sz w:val="18"/>
                <w:szCs w:val="18"/>
              </w:rPr>
            </w:pPr>
            <w:proofErr w:type="spellStart"/>
            <w:r>
              <w:rPr>
                <w:sz w:val="18"/>
                <w:szCs w:val="18"/>
              </w:rPr>
              <w:t>Pohjois</w:t>
            </w:r>
            <w:proofErr w:type="spellEnd"/>
            <w:r>
              <w:rPr>
                <w:sz w:val="18"/>
                <w:szCs w:val="18"/>
              </w:rPr>
              <w:t xml:space="preserve">-ja </w:t>
            </w:r>
            <w:proofErr w:type="spellStart"/>
            <w:r>
              <w:rPr>
                <w:sz w:val="18"/>
                <w:szCs w:val="18"/>
              </w:rPr>
              <w:t>Itä</w:t>
            </w:r>
            <w:proofErr w:type="spellEnd"/>
            <w:r>
              <w:rPr>
                <w:sz w:val="18"/>
                <w:szCs w:val="18"/>
              </w:rPr>
              <w:t>-Suomi</w:t>
            </w:r>
          </w:p>
        </w:tc>
        <w:tc>
          <w:tcPr>
            <w:tcW w:w="709" w:type="dxa"/>
          </w:tcPr>
          <w:p w14:paraId="173CCF40" w14:textId="305EF2CF" w:rsidR="00D83EDA" w:rsidRPr="0062515D" w:rsidRDefault="0062515D" w:rsidP="0062515D">
            <w:pPr>
              <w:pStyle w:val="NoIndent"/>
              <w:spacing w:line="240" w:lineRule="auto"/>
              <w:jc w:val="center"/>
              <w:rPr>
                <w:sz w:val="18"/>
                <w:szCs w:val="18"/>
              </w:rPr>
            </w:pPr>
            <w:r>
              <w:rPr>
                <w:sz w:val="18"/>
                <w:szCs w:val="18"/>
              </w:rPr>
              <w:t>83.57</w:t>
            </w:r>
          </w:p>
        </w:tc>
        <w:tc>
          <w:tcPr>
            <w:tcW w:w="708" w:type="dxa"/>
          </w:tcPr>
          <w:p w14:paraId="12E79987" w14:textId="3F173EBB" w:rsidR="00D83EDA" w:rsidRPr="0062515D" w:rsidRDefault="0062515D" w:rsidP="0062515D">
            <w:pPr>
              <w:pStyle w:val="NoIndent"/>
              <w:spacing w:line="240" w:lineRule="auto"/>
              <w:jc w:val="center"/>
              <w:rPr>
                <w:sz w:val="18"/>
                <w:szCs w:val="18"/>
              </w:rPr>
            </w:pPr>
            <w:r>
              <w:rPr>
                <w:sz w:val="18"/>
                <w:szCs w:val="18"/>
              </w:rPr>
              <w:t>29.52</w:t>
            </w:r>
          </w:p>
        </w:tc>
      </w:tr>
      <w:tr w:rsidR="00D83EDA" w:rsidRPr="0062515D" w14:paraId="6FD493E0" w14:textId="77777777" w:rsidTr="0062515D">
        <w:tc>
          <w:tcPr>
            <w:tcW w:w="567" w:type="dxa"/>
          </w:tcPr>
          <w:p w14:paraId="523FE772" w14:textId="04F5211F" w:rsidR="00D83EDA" w:rsidRPr="0062515D" w:rsidRDefault="0062515D" w:rsidP="0062515D">
            <w:pPr>
              <w:pStyle w:val="NoIndent"/>
              <w:spacing w:line="240" w:lineRule="auto"/>
              <w:jc w:val="center"/>
              <w:rPr>
                <w:sz w:val="18"/>
                <w:szCs w:val="18"/>
              </w:rPr>
            </w:pPr>
            <w:r>
              <w:rPr>
                <w:sz w:val="18"/>
                <w:szCs w:val="18"/>
              </w:rPr>
              <w:t>SE</w:t>
            </w:r>
          </w:p>
        </w:tc>
        <w:tc>
          <w:tcPr>
            <w:tcW w:w="1843" w:type="dxa"/>
          </w:tcPr>
          <w:p w14:paraId="2D3014CD" w14:textId="3C9C9C73" w:rsidR="00D83EDA" w:rsidRPr="0062515D" w:rsidRDefault="0062515D" w:rsidP="0062515D">
            <w:pPr>
              <w:pStyle w:val="NoIndent"/>
              <w:spacing w:line="240" w:lineRule="auto"/>
              <w:rPr>
                <w:sz w:val="18"/>
                <w:szCs w:val="18"/>
              </w:rPr>
            </w:pPr>
            <w:proofErr w:type="spellStart"/>
            <w:r>
              <w:rPr>
                <w:sz w:val="18"/>
                <w:szCs w:val="18"/>
              </w:rPr>
              <w:t>Östra</w:t>
            </w:r>
            <w:proofErr w:type="spellEnd"/>
            <w:r>
              <w:rPr>
                <w:sz w:val="18"/>
                <w:szCs w:val="18"/>
              </w:rPr>
              <w:t xml:space="preserve"> </w:t>
            </w:r>
            <w:proofErr w:type="spellStart"/>
            <w:r>
              <w:rPr>
                <w:sz w:val="18"/>
                <w:szCs w:val="18"/>
              </w:rPr>
              <w:t>Mellansverige</w:t>
            </w:r>
            <w:proofErr w:type="spellEnd"/>
          </w:p>
        </w:tc>
        <w:tc>
          <w:tcPr>
            <w:tcW w:w="709" w:type="dxa"/>
          </w:tcPr>
          <w:p w14:paraId="789EE87D" w14:textId="7FC72C21" w:rsidR="00D83EDA" w:rsidRPr="0062515D" w:rsidRDefault="0062515D" w:rsidP="0062515D">
            <w:pPr>
              <w:pStyle w:val="NoIndent"/>
              <w:spacing w:line="240" w:lineRule="auto"/>
              <w:jc w:val="center"/>
              <w:rPr>
                <w:sz w:val="18"/>
                <w:szCs w:val="18"/>
              </w:rPr>
            </w:pPr>
            <w:r>
              <w:rPr>
                <w:sz w:val="18"/>
                <w:szCs w:val="18"/>
              </w:rPr>
              <w:t>83.36</w:t>
            </w:r>
          </w:p>
        </w:tc>
        <w:tc>
          <w:tcPr>
            <w:tcW w:w="708" w:type="dxa"/>
          </w:tcPr>
          <w:p w14:paraId="0349E8B8" w14:textId="314A5BE8" w:rsidR="00D83EDA" w:rsidRPr="0062515D" w:rsidRDefault="0062515D" w:rsidP="0062515D">
            <w:pPr>
              <w:pStyle w:val="NoIndent"/>
              <w:spacing w:line="240" w:lineRule="auto"/>
              <w:jc w:val="center"/>
              <w:rPr>
                <w:sz w:val="18"/>
                <w:szCs w:val="18"/>
              </w:rPr>
            </w:pPr>
            <w:r>
              <w:rPr>
                <w:sz w:val="18"/>
                <w:szCs w:val="18"/>
              </w:rPr>
              <w:t>33.81</w:t>
            </w:r>
          </w:p>
        </w:tc>
      </w:tr>
      <w:tr w:rsidR="00D83EDA" w:rsidRPr="0062515D" w14:paraId="6530B852" w14:textId="77777777" w:rsidTr="0062515D">
        <w:tc>
          <w:tcPr>
            <w:tcW w:w="567" w:type="dxa"/>
          </w:tcPr>
          <w:p w14:paraId="4939DFB3" w14:textId="2FD420B7" w:rsidR="00D83EDA" w:rsidRPr="0062515D" w:rsidRDefault="0062515D" w:rsidP="0062515D">
            <w:pPr>
              <w:pStyle w:val="NoIndent"/>
              <w:spacing w:line="240" w:lineRule="auto"/>
              <w:jc w:val="center"/>
              <w:rPr>
                <w:sz w:val="18"/>
                <w:szCs w:val="18"/>
              </w:rPr>
            </w:pPr>
            <w:r>
              <w:rPr>
                <w:sz w:val="18"/>
                <w:szCs w:val="18"/>
              </w:rPr>
              <w:t>DK</w:t>
            </w:r>
          </w:p>
        </w:tc>
        <w:tc>
          <w:tcPr>
            <w:tcW w:w="1843" w:type="dxa"/>
          </w:tcPr>
          <w:p w14:paraId="526B02CB" w14:textId="77AB2C11" w:rsidR="00D83EDA" w:rsidRPr="0062515D" w:rsidRDefault="0062515D" w:rsidP="0062515D">
            <w:pPr>
              <w:pStyle w:val="NoIndent"/>
              <w:spacing w:line="240" w:lineRule="auto"/>
              <w:rPr>
                <w:sz w:val="18"/>
                <w:szCs w:val="18"/>
              </w:rPr>
            </w:pPr>
            <w:proofErr w:type="spellStart"/>
            <w:r>
              <w:rPr>
                <w:sz w:val="18"/>
                <w:szCs w:val="18"/>
              </w:rPr>
              <w:t>Hovedstaden</w:t>
            </w:r>
            <w:proofErr w:type="spellEnd"/>
          </w:p>
        </w:tc>
        <w:tc>
          <w:tcPr>
            <w:tcW w:w="709" w:type="dxa"/>
          </w:tcPr>
          <w:p w14:paraId="4C47C273" w14:textId="6DD42EFC" w:rsidR="00D83EDA" w:rsidRPr="0062515D" w:rsidRDefault="0062515D" w:rsidP="0062515D">
            <w:pPr>
              <w:pStyle w:val="NoIndent"/>
              <w:spacing w:line="240" w:lineRule="auto"/>
              <w:jc w:val="center"/>
              <w:rPr>
                <w:sz w:val="18"/>
                <w:szCs w:val="18"/>
              </w:rPr>
            </w:pPr>
            <w:r>
              <w:rPr>
                <w:sz w:val="18"/>
                <w:szCs w:val="18"/>
              </w:rPr>
              <w:t>82.28</w:t>
            </w:r>
          </w:p>
        </w:tc>
        <w:tc>
          <w:tcPr>
            <w:tcW w:w="708" w:type="dxa"/>
          </w:tcPr>
          <w:p w14:paraId="77FB893F" w14:textId="6A156C50" w:rsidR="00D83EDA" w:rsidRPr="0062515D" w:rsidRDefault="0062515D" w:rsidP="0062515D">
            <w:pPr>
              <w:pStyle w:val="NoIndent"/>
              <w:spacing w:line="240" w:lineRule="auto"/>
              <w:jc w:val="center"/>
              <w:rPr>
                <w:sz w:val="18"/>
                <w:szCs w:val="18"/>
              </w:rPr>
            </w:pPr>
            <w:r>
              <w:rPr>
                <w:sz w:val="18"/>
                <w:szCs w:val="18"/>
              </w:rPr>
              <w:t>73.26</w:t>
            </w:r>
          </w:p>
        </w:tc>
      </w:tr>
      <w:tr w:rsidR="00D83EDA" w:rsidRPr="0062515D" w14:paraId="145A1F35" w14:textId="77777777" w:rsidTr="0062515D">
        <w:tc>
          <w:tcPr>
            <w:tcW w:w="567" w:type="dxa"/>
          </w:tcPr>
          <w:p w14:paraId="1BD9FDDE" w14:textId="168D7623" w:rsidR="00D83EDA" w:rsidRPr="0062515D" w:rsidRDefault="0062515D" w:rsidP="0062515D">
            <w:pPr>
              <w:pStyle w:val="NoIndent"/>
              <w:spacing w:line="240" w:lineRule="auto"/>
              <w:jc w:val="center"/>
              <w:rPr>
                <w:sz w:val="18"/>
                <w:szCs w:val="18"/>
              </w:rPr>
            </w:pPr>
            <w:r>
              <w:rPr>
                <w:sz w:val="18"/>
                <w:szCs w:val="18"/>
              </w:rPr>
              <w:t>SE</w:t>
            </w:r>
          </w:p>
        </w:tc>
        <w:tc>
          <w:tcPr>
            <w:tcW w:w="1843" w:type="dxa"/>
          </w:tcPr>
          <w:p w14:paraId="19F6F669" w14:textId="6243FD30" w:rsidR="00D83EDA" w:rsidRPr="0062515D" w:rsidRDefault="0062515D" w:rsidP="0062515D">
            <w:pPr>
              <w:pStyle w:val="NoIndent"/>
              <w:spacing w:line="240" w:lineRule="auto"/>
              <w:rPr>
                <w:sz w:val="18"/>
                <w:szCs w:val="18"/>
              </w:rPr>
            </w:pPr>
            <w:proofErr w:type="spellStart"/>
            <w:r>
              <w:rPr>
                <w:sz w:val="18"/>
                <w:szCs w:val="18"/>
              </w:rPr>
              <w:t>Övre</w:t>
            </w:r>
            <w:proofErr w:type="spellEnd"/>
            <w:r>
              <w:rPr>
                <w:sz w:val="18"/>
                <w:szCs w:val="18"/>
              </w:rPr>
              <w:t xml:space="preserve"> Norrland</w:t>
            </w:r>
          </w:p>
        </w:tc>
        <w:tc>
          <w:tcPr>
            <w:tcW w:w="709" w:type="dxa"/>
          </w:tcPr>
          <w:p w14:paraId="14ECF0A3" w14:textId="125F089E" w:rsidR="00D83EDA" w:rsidRPr="0062515D" w:rsidRDefault="0062515D" w:rsidP="0062515D">
            <w:pPr>
              <w:pStyle w:val="NoIndent"/>
              <w:spacing w:line="240" w:lineRule="auto"/>
              <w:jc w:val="center"/>
              <w:rPr>
                <w:sz w:val="18"/>
                <w:szCs w:val="18"/>
              </w:rPr>
            </w:pPr>
            <w:r>
              <w:rPr>
                <w:sz w:val="18"/>
                <w:szCs w:val="18"/>
              </w:rPr>
              <w:t>81.79</w:t>
            </w:r>
          </w:p>
        </w:tc>
        <w:tc>
          <w:tcPr>
            <w:tcW w:w="708" w:type="dxa"/>
          </w:tcPr>
          <w:p w14:paraId="60D85F86" w14:textId="43BD019E" w:rsidR="00D83EDA" w:rsidRPr="0062515D" w:rsidRDefault="0062515D" w:rsidP="0062515D">
            <w:pPr>
              <w:pStyle w:val="NoIndent"/>
              <w:spacing w:line="240" w:lineRule="auto"/>
              <w:jc w:val="center"/>
              <w:rPr>
                <w:sz w:val="18"/>
                <w:szCs w:val="18"/>
              </w:rPr>
            </w:pPr>
            <w:r>
              <w:rPr>
                <w:sz w:val="18"/>
                <w:szCs w:val="18"/>
              </w:rPr>
              <w:t>44.01</w:t>
            </w:r>
          </w:p>
        </w:tc>
      </w:tr>
      <w:tr w:rsidR="00D83EDA" w:rsidRPr="0062515D" w14:paraId="79351077" w14:textId="77777777" w:rsidTr="0062515D">
        <w:tc>
          <w:tcPr>
            <w:tcW w:w="567" w:type="dxa"/>
          </w:tcPr>
          <w:p w14:paraId="5B3E3918" w14:textId="3EB4ACB7" w:rsidR="00D83EDA" w:rsidRPr="0062515D" w:rsidRDefault="0062515D" w:rsidP="0062515D">
            <w:pPr>
              <w:pStyle w:val="NoIndent"/>
              <w:spacing w:line="240" w:lineRule="auto"/>
              <w:jc w:val="center"/>
              <w:rPr>
                <w:sz w:val="18"/>
                <w:szCs w:val="18"/>
              </w:rPr>
            </w:pPr>
            <w:r>
              <w:rPr>
                <w:sz w:val="18"/>
                <w:szCs w:val="18"/>
              </w:rPr>
              <w:t>FI</w:t>
            </w:r>
          </w:p>
        </w:tc>
        <w:tc>
          <w:tcPr>
            <w:tcW w:w="1843" w:type="dxa"/>
          </w:tcPr>
          <w:p w14:paraId="6D839DEA" w14:textId="36630654" w:rsidR="00D83EDA" w:rsidRPr="0062515D" w:rsidRDefault="0062515D" w:rsidP="0062515D">
            <w:pPr>
              <w:pStyle w:val="NoIndent"/>
              <w:spacing w:line="240" w:lineRule="auto"/>
              <w:rPr>
                <w:sz w:val="18"/>
                <w:szCs w:val="18"/>
              </w:rPr>
            </w:pPr>
            <w:proofErr w:type="spellStart"/>
            <w:r>
              <w:rPr>
                <w:sz w:val="18"/>
                <w:szCs w:val="18"/>
              </w:rPr>
              <w:t>Âland</w:t>
            </w:r>
            <w:proofErr w:type="spellEnd"/>
          </w:p>
        </w:tc>
        <w:tc>
          <w:tcPr>
            <w:tcW w:w="709" w:type="dxa"/>
          </w:tcPr>
          <w:p w14:paraId="7D21356B" w14:textId="74554216" w:rsidR="00D83EDA" w:rsidRPr="0062515D" w:rsidRDefault="0062515D" w:rsidP="0062515D">
            <w:pPr>
              <w:pStyle w:val="NoIndent"/>
              <w:spacing w:line="240" w:lineRule="auto"/>
              <w:jc w:val="center"/>
              <w:rPr>
                <w:sz w:val="18"/>
                <w:szCs w:val="18"/>
              </w:rPr>
            </w:pPr>
            <w:r>
              <w:rPr>
                <w:sz w:val="18"/>
                <w:szCs w:val="18"/>
              </w:rPr>
              <w:t>81.42</w:t>
            </w:r>
          </w:p>
        </w:tc>
        <w:tc>
          <w:tcPr>
            <w:tcW w:w="708" w:type="dxa"/>
          </w:tcPr>
          <w:p w14:paraId="7E0B32B1" w14:textId="00C0A91A" w:rsidR="00D83EDA" w:rsidRPr="0062515D" w:rsidRDefault="0062515D" w:rsidP="0062515D">
            <w:pPr>
              <w:pStyle w:val="NoIndent"/>
              <w:spacing w:line="240" w:lineRule="auto"/>
              <w:jc w:val="center"/>
              <w:rPr>
                <w:sz w:val="18"/>
                <w:szCs w:val="18"/>
              </w:rPr>
            </w:pPr>
            <w:r>
              <w:rPr>
                <w:sz w:val="18"/>
                <w:szCs w:val="18"/>
              </w:rPr>
              <w:t>36.85</w:t>
            </w:r>
          </w:p>
        </w:tc>
      </w:tr>
      <w:tr w:rsidR="00D83EDA" w:rsidRPr="0062515D" w14:paraId="02F5200C" w14:textId="77777777" w:rsidTr="0062515D">
        <w:tc>
          <w:tcPr>
            <w:tcW w:w="567" w:type="dxa"/>
          </w:tcPr>
          <w:p w14:paraId="2A452FA9" w14:textId="481AD48C" w:rsidR="00D83EDA" w:rsidRPr="0062515D" w:rsidRDefault="0062515D" w:rsidP="0062515D">
            <w:pPr>
              <w:pStyle w:val="NoIndent"/>
              <w:spacing w:line="240" w:lineRule="auto"/>
              <w:jc w:val="center"/>
              <w:rPr>
                <w:sz w:val="18"/>
                <w:szCs w:val="18"/>
              </w:rPr>
            </w:pPr>
            <w:r>
              <w:rPr>
                <w:sz w:val="18"/>
                <w:szCs w:val="18"/>
              </w:rPr>
              <w:t>SE</w:t>
            </w:r>
          </w:p>
        </w:tc>
        <w:tc>
          <w:tcPr>
            <w:tcW w:w="1843" w:type="dxa"/>
          </w:tcPr>
          <w:p w14:paraId="65C6B897" w14:textId="03F5C5F0" w:rsidR="00D83EDA" w:rsidRPr="0062515D" w:rsidRDefault="0062515D" w:rsidP="0062515D">
            <w:pPr>
              <w:pStyle w:val="NoIndent"/>
              <w:spacing w:line="240" w:lineRule="auto"/>
              <w:rPr>
                <w:sz w:val="18"/>
                <w:szCs w:val="18"/>
              </w:rPr>
            </w:pPr>
            <w:proofErr w:type="spellStart"/>
            <w:r>
              <w:rPr>
                <w:sz w:val="18"/>
                <w:szCs w:val="18"/>
              </w:rPr>
              <w:t>Mellersta</w:t>
            </w:r>
            <w:proofErr w:type="spellEnd"/>
            <w:r>
              <w:rPr>
                <w:sz w:val="18"/>
                <w:szCs w:val="18"/>
              </w:rPr>
              <w:t xml:space="preserve"> Norrland</w:t>
            </w:r>
          </w:p>
        </w:tc>
        <w:tc>
          <w:tcPr>
            <w:tcW w:w="709" w:type="dxa"/>
          </w:tcPr>
          <w:p w14:paraId="3B422DA7" w14:textId="59690DC0" w:rsidR="00D83EDA" w:rsidRPr="0062515D" w:rsidRDefault="0062515D" w:rsidP="0062515D">
            <w:pPr>
              <w:pStyle w:val="NoIndent"/>
              <w:spacing w:line="240" w:lineRule="auto"/>
              <w:jc w:val="center"/>
              <w:rPr>
                <w:sz w:val="18"/>
                <w:szCs w:val="18"/>
              </w:rPr>
            </w:pPr>
            <w:r>
              <w:rPr>
                <w:sz w:val="18"/>
                <w:szCs w:val="18"/>
              </w:rPr>
              <w:t>81.07</w:t>
            </w:r>
          </w:p>
        </w:tc>
        <w:tc>
          <w:tcPr>
            <w:tcW w:w="708" w:type="dxa"/>
          </w:tcPr>
          <w:p w14:paraId="74DE2F8A" w14:textId="54A82AA2" w:rsidR="00D83EDA" w:rsidRPr="0062515D" w:rsidRDefault="0062515D" w:rsidP="0062515D">
            <w:pPr>
              <w:pStyle w:val="NoIndent"/>
              <w:spacing w:line="240" w:lineRule="auto"/>
              <w:jc w:val="center"/>
              <w:rPr>
                <w:sz w:val="18"/>
                <w:szCs w:val="18"/>
              </w:rPr>
            </w:pPr>
            <w:r>
              <w:rPr>
                <w:sz w:val="18"/>
                <w:szCs w:val="18"/>
              </w:rPr>
              <w:t>36.05</w:t>
            </w:r>
          </w:p>
        </w:tc>
      </w:tr>
      <w:tr w:rsidR="00D83EDA" w:rsidRPr="0062515D" w14:paraId="3FA69B49" w14:textId="77777777" w:rsidTr="0062515D">
        <w:tc>
          <w:tcPr>
            <w:tcW w:w="567" w:type="dxa"/>
          </w:tcPr>
          <w:p w14:paraId="5E645A9B" w14:textId="56B59C07" w:rsidR="00D83EDA" w:rsidRPr="0062515D" w:rsidRDefault="0062515D" w:rsidP="0062515D">
            <w:pPr>
              <w:pStyle w:val="NoIndent"/>
              <w:spacing w:line="240" w:lineRule="auto"/>
              <w:jc w:val="center"/>
              <w:rPr>
                <w:sz w:val="18"/>
                <w:szCs w:val="18"/>
              </w:rPr>
            </w:pPr>
            <w:r>
              <w:rPr>
                <w:sz w:val="18"/>
                <w:szCs w:val="18"/>
              </w:rPr>
              <w:t>FI</w:t>
            </w:r>
          </w:p>
        </w:tc>
        <w:tc>
          <w:tcPr>
            <w:tcW w:w="1843" w:type="dxa"/>
          </w:tcPr>
          <w:p w14:paraId="249A6A98" w14:textId="2BDC51AB" w:rsidR="00D83EDA" w:rsidRPr="0062515D" w:rsidRDefault="0062515D" w:rsidP="0062515D">
            <w:pPr>
              <w:pStyle w:val="NoIndent"/>
              <w:spacing w:line="240" w:lineRule="auto"/>
              <w:rPr>
                <w:sz w:val="18"/>
                <w:szCs w:val="18"/>
              </w:rPr>
            </w:pPr>
            <w:proofErr w:type="spellStart"/>
            <w:r>
              <w:rPr>
                <w:sz w:val="18"/>
                <w:szCs w:val="18"/>
              </w:rPr>
              <w:t>Länsi</w:t>
            </w:r>
            <w:proofErr w:type="spellEnd"/>
            <w:r>
              <w:rPr>
                <w:sz w:val="18"/>
                <w:szCs w:val="18"/>
              </w:rPr>
              <w:t>-Suomi</w:t>
            </w:r>
          </w:p>
        </w:tc>
        <w:tc>
          <w:tcPr>
            <w:tcW w:w="709" w:type="dxa"/>
          </w:tcPr>
          <w:p w14:paraId="4AF4D1D6" w14:textId="464B4139" w:rsidR="00D83EDA" w:rsidRPr="0062515D" w:rsidRDefault="0062515D" w:rsidP="0062515D">
            <w:pPr>
              <w:pStyle w:val="NoIndent"/>
              <w:spacing w:line="240" w:lineRule="auto"/>
              <w:jc w:val="center"/>
              <w:rPr>
                <w:sz w:val="18"/>
                <w:szCs w:val="18"/>
              </w:rPr>
            </w:pPr>
            <w:r>
              <w:rPr>
                <w:sz w:val="18"/>
                <w:szCs w:val="18"/>
              </w:rPr>
              <w:t>81.07</w:t>
            </w:r>
          </w:p>
        </w:tc>
        <w:tc>
          <w:tcPr>
            <w:tcW w:w="708" w:type="dxa"/>
          </w:tcPr>
          <w:p w14:paraId="2D22DD4E" w14:textId="613A278C" w:rsidR="00D83EDA" w:rsidRPr="0062515D" w:rsidRDefault="0062515D" w:rsidP="0062515D">
            <w:pPr>
              <w:pStyle w:val="NoIndent"/>
              <w:spacing w:line="240" w:lineRule="auto"/>
              <w:jc w:val="center"/>
              <w:rPr>
                <w:sz w:val="18"/>
                <w:szCs w:val="18"/>
              </w:rPr>
            </w:pPr>
            <w:r>
              <w:rPr>
                <w:sz w:val="18"/>
                <w:szCs w:val="18"/>
              </w:rPr>
              <w:t>30.86</w:t>
            </w:r>
          </w:p>
        </w:tc>
      </w:tr>
      <w:tr w:rsidR="00D83EDA" w:rsidRPr="0062515D" w14:paraId="14980D57" w14:textId="77777777" w:rsidTr="0062515D">
        <w:tc>
          <w:tcPr>
            <w:tcW w:w="567" w:type="dxa"/>
            <w:tcBorders>
              <w:bottom w:val="single" w:sz="12" w:space="0" w:color="auto"/>
            </w:tcBorders>
          </w:tcPr>
          <w:p w14:paraId="191C0838" w14:textId="57480C5B" w:rsidR="00D83EDA" w:rsidRPr="0062515D" w:rsidRDefault="0062515D" w:rsidP="0062515D">
            <w:pPr>
              <w:pStyle w:val="NoIndent"/>
              <w:spacing w:line="240" w:lineRule="auto"/>
              <w:jc w:val="center"/>
              <w:rPr>
                <w:sz w:val="18"/>
                <w:szCs w:val="18"/>
              </w:rPr>
            </w:pPr>
            <w:r>
              <w:rPr>
                <w:sz w:val="18"/>
                <w:szCs w:val="18"/>
              </w:rPr>
              <w:t>DK</w:t>
            </w:r>
          </w:p>
        </w:tc>
        <w:tc>
          <w:tcPr>
            <w:tcW w:w="1843" w:type="dxa"/>
            <w:tcBorders>
              <w:bottom w:val="single" w:sz="12" w:space="0" w:color="auto"/>
            </w:tcBorders>
          </w:tcPr>
          <w:p w14:paraId="1043F7B7" w14:textId="3A430BAD" w:rsidR="00D83EDA" w:rsidRPr="0062515D" w:rsidRDefault="0062515D" w:rsidP="0062515D">
            <w:pPr>
              <w:pStyle w:val="NoIndent"/>
              <w:spacing w:line="240" w:lineRule="auto"/>
              <w:rPr>
                <w:sz w:val="18"/>
                <w:szCs w:val="18"/>
              </w:rPr>
            </w:pPr>
            <w:r>
              <w:rPr>
                <w:sz w:val="18"/>
                <w:szCs w:val="18"/>
              </w:rPr>
              <w:t>Midtjylland</w:t>
            </w:r>
          </w:p>
        </w:tc>
        <w:tc>
          <w:tcPr>
            <w:tcW w:w="709" w:type="dxa"/>
            <w:tcBorders>
              <w:bottom w:val="single" w:sz="12" w:space="0" w:color="auto"/>
            </w:tcBorders>
          </w:tcPr>
          <w:p w14:paraId="63740B6E" w14:textId="6EAD7C8A" w:rsidR="00D83EDA" w:rsidRPr="0062515D" w:rsidRDefault="0062515D" w:rsidP="0062515D">
            <w:pPr>
              <w:pStyle w:val="NoIndent"/>
              <w:spacing w:line="240" w:lineRule="auto"/>
              <w:jc w:val="center"/>
              <w:rPr>
                <w:sz w:val="18"/>
                <w:szCs w:val="18"/>
              </w:rPr>
            </w:pPr>
            <w:r>
              <w:rPr>
                <w:sz w:val="18"/>
                <w:szCs w:val="18"/>
              </w:rPr>
              <w:t>81.05</w:t>
            </w:r>
          </w:p>
        </w:tc>
        <w:tc>
          <w:tcPr>
            <w:tcW w:w="708" w:type="dxa"/>
            <w:tcBorders>
              <w:bottom w:val="single" w:sz="12" w:space="0" w:color="auto"/>
            </w:tcBorders>
          </w:tcPr>
          <w:p w14:paraId="75E778EA" w14:textId="57290C8D" w:rsidR="00D83EDA" w:rsidRPr="0062515D" w:rsidRDefault="0062515D" w:rsidP="0062515D">
            <w:pPr>
              <w:pStyle w:val="NoIndent"/>
              <w:spacing w:line="240" w:lineRule="auto"/>
              <w:jc w:val="center"/>
              <w:rPr>
                <w:sz w:val="18"/>
                <w:szCs w:val="18"/>
              </w:rPr>
            </w:pPr>
            <w:r>
              <w:rPr>
                <w:sz w:val="18"/>
                <w:szCs w:val="18"/>
              </w:rPr>
              <w:t>42.84</w:t>
            </w:r>
          </w:p>
        </w:tc>
      </w:tr>
    </w:tbl>
    <w:p w14:paraId="62AFFC91" w14:textId="77777777" w:rsidR="00D83EDA" w:rsidRDefault="00D83EDA" w:rsidP="00D83EDA">
      <w:pPr>
        <w:spacing w:line="240" w:lineRule="auto"/>
        <w:ind w:firstLine="0"/>
        <w:rPr>
          <w:rFonts w:cstheme="minorHAnsi"/>
          <w:sz w:val="20"/>
          <w:szCs w:val="20"/>
          <w:lang w:val="es-ES"/>
        </w:rPr>
      </w:pPr>
    </w:p>
    <w:p w14:paraId="5077F3C4" w14:textId="4F886247" w:rsidR="0062515D" w:rsidRDefault="0062515D" w:rsidP="00D83EDA">
      <w:pPr>
        <w:spacing w:line="240" w:lineRule="auto"/>
        <w:ind w:firstLine="0"/>
        <w:rPr>
          <w:rFonts w:cstheme="minorHAnsi"/>
          <w:sz w:val="20"/>
          <w:szCs w:val="20"/>
          <w:lang w:val="es-ES"/>
        </w:rPr>
      </w:pPr>
      <w:r>
        <w:rPr>
          <w:rFonts w:cstheme="minorHAnsi"/>
          <w:b/>
          <w:bCs/>
          <w:sz w:val="20"/>
          <w:szCs w:val="20"/>
          <w:lang w:val="es-ES"/>
        </w:rPr>
        <w:t xml:space="preserve">10 regiones con peor score </w:t>
      </w:r>
      <w:r w:rsidRPr="00B101FC">
        <w:rPr>
          <w:rFonts w:cstheme="minorHAnsi"/>
          <w:b/>
          <w:bCs/>
          <w:sz w:val="20"/>
          <w:szCs w:val="20"/>
          <w:lang w:val="es-ES"/>
        </w:rPr>
        <w:t>(Figura 05.</w:t>
      </w:r>
      <w:r>
        <w:rPr>
          <w:rFonts w:cstheme="minorHAnsi"/>
          <w:b/>
          <w:bCs/>
          <w:sz w:val="20"/>
          <w:szCs w:val="20"/>
          <w:lang w:val="es-ES"/>
        </w:rPr>
        <w:t>5</w:t>
      </w:r>
      <w:r w:rsidRPr="00B101FC">
        <w:rPr>
          <w:rFonts w:cstheme="minorHAnsi"/>
          <w:b/>
          <w:bCs/>
          <w:sz w:val="20"/>
          <w:szCs w:val="20"/>
          <w:lang w:val="es-ES"/>
        </w:rPr>
        <w:t>):</w:t>
      </w:r>
      <w:r w:rsidRPr="00AC0F78">
        <w:rPr>
          <w:sz w:val="20"/>
          <w:szCs w:val="20"/>
          <w:lang w:val="es-ES"/>
        </w:rPr>
        <w:t xml:space="preserve"> </w:t>
      </w:r>
    </w:p>
    <w:p w14:paraId="45F1A8DE" w14:textId="77777777" w:rsidR="0062515D" w:rsidRDefault="0062515D" w:rsidP="00D83EDA">
      <w:pPr>
        <w:spacing w:line="240" w:lineRule="auto"/>
        <w:ind w:firstLine="0"/>
        <w:rPr>
          <w:rFonts w:cstheme="minorHAnsi"/>
          <w:sz w:val="20"/>
          <w:szCs w:val="20"/>
          <w:lang w:val="es-ES"/>
        </w:rPr>
      </w:pPr>
    </w:p>
    <w:tbl>
      <w:tblPr>
        <w:tblW w:w="0" w:type="auto"/>
        <w:tblLayout w:type="fixed"/>
        <w:tblLook w:val="0600" w:firstRow="0" w:lastRow="0" w:firstColumn="0" w:lastColumn="0" w:noHBand="1" w:noVBand="1"/>
        <w:tblDescription w:val="Table"/>
      </w:tblPr>
      <w:tblGrid>
        <w:gridCol w:w="709"/>
        <w:gridCol w:w="1843"/>
        <w:gridCol w:w="709"/>
        <w:gridCol w:w="708"/>
      </w:tblGrid>
      <w:tr w:rsidR="00D83EDA" w:rsidRPr="0062515D" w14:paraId="66FB6F21" w14:textId="77777777" w:rsidTr="0062515D">
        <w:tc>
          <w:tcPr>
            <w:tcW w:w="709" w:type="dxa"/>
            <w:tcBorders>
              <w:top w:val="single" w:sz="12" w:space="0" w:color="auto"/>
              <w:bottom w:val="single" w:sz="12" w:space="0" w:color="auto"/>
            </w:tcBorders>
          </w:tcPr>
          <w:p w14:paraId="33EA856D" w14:textId="77777777" w:rsidR="00D83EDA" w:rsidRPr="0062515D" w:rsidRDefault="00D83EDA" w:rsidP="0062515D">
            <w:pPr>
              <w:pStyle w:val="NoIndent"/>
              <w:spacing w:line="240" w:lineRule="auto"/>
              <w:jc w:val="center"/>
              <w:rPr>
                <w:sz w:val="18"/>
                <w:szCs w:val="18"/>
              </w:rPr>
            </w:pPr>
            <w:r w:rsidRPr="0062515D">
              <w:rPr>
                <w:sz w:val="18"/>
                <w:szCs w:val="18"/>
              </w:rPr>
              <w:t>País</w:t>
            </w:r>
          </w:p>
        </w:tc>
        <w:tc>
          <w:tcPr>
            <w:tcW w:w="1843" w:type="dxa"/>
            <w:tcBorders>
              <w:top w:val="single" w:sz="12" w:space="0" w:color="auto"/>
              <w:bottom w:val="single" w:sz="12" w:space="0" w:color="auto"/>
            </w:tcBorders>
          </w:tcPr>
          <w:p w14:paraId="470D6949" w14:textId="77777777" w:rsidR="00D83EDA" w:rsidRPr="0062515D" w:rsidRDefault="00D83EDA" w:rsidP="00E74258">
            <w:pPr>
              <w:pStyle w:val="NoIndent"/>
              <w:spacing w:line="240" w:lineRule="auto"/>
              <w:rPr>
                <w:sz w:val="18"/>
                <w:szCs w:val="18"/>
              </w:rPr>
            </w:pPr>
            <w:r w:rsidRPr="0062515D">
              <w:rPr>
                <w:sz w:val="18"/>
                <w:szCs w:val="18"/>
              </w:rPr>
              <w:t>Region</w:t>
            </w:r>
          </w:p>
        </w:tc>
        <w:tc>
          <w:tcPr>
            <w:tcW w:w="709" w:type="dxa"/>
            <w:tcBorders>
              <w:top w:val="single" w:sz="12" w:space="0" w:color="auto"/>
              <w:bottom w:val="single" w:sz="12" w:space="0" w:color="auto"/>
            </w:tcBorders>
          </w:tcPr>
          <w:p w14:paraId="688CE252" w14:textId="77777777" w:rsidR="00D83EDA" w:rsidRPr="0062515D" w:rsidRDefault="00D83EDA" w:rsidP="0062515D">
            <w:pPr>
              <w:pStyle w:val="NoIndent"/>
              <w:spacing w:line="240" w:lineRule="auto"/>
              <w:jc w:val="center"/>
              <w:rPr>
                <w:sz w:val="18"/>
                <w:szCs w:val="18"/>
              </w:rPr>
            </w:pPr>
            <w:r w:rsidRPr="0062515D">
              <w:rPr>
                <w:sz w:val="18"/>
                <w:szCs w:val="18"/>
              </w:rPr>
              <w:t>SPI</w:t>
            </w:r>
          </w:p>
        </w:tc>
        <w:tc>
          <w:tcPr>
            <w:tcW w:w="708" w:type="dxa"/>
            <w:tcBorders>
              <w:top w:val="single" w:sz="12" w:space="0" w:color="auto"/>
              <w:bottom w:val="single" w:sz="12" w:space="0" w:color="auto"/>
            </w:tcBorders>
          </w:tcPr>
          <w:p w14:paraId="7FD34498" w14:textId="2A0E3863" w:rsidR="00D83EDA" w:rsidRPr="0062515D" w:rsidRDefault="00D83EDA" w:rsidP="0062515D">
            <w:pPr>
              <w:pStyle w:val="NoIndent"/>
              <w:spacing w:line="240" w:lineRule="auto"/>
              <w:jc w:val="center"/>
              <w:rPr>
                <w:sz w:val="18"/>
                <w:szCs w:val="18"/>
              </w:rPr>
            </w:pPr>
            <w:r w:rsidRPr="0062515D">
              <w:rPr>
                <w:sz w:val="18"/>
                <w:szCs w:val="18"/>
              </w:rPr>
              <w:t xml:space="preserve">GDP </w:t>
            </w:r>
          </w:p>
        </w:tc>
      </w:tr>
      <w:tr w:rsidR="00D83EDA" w:rsidRPr="0062515D" w14:paraId="575682B3" w14:textId="77777777" w:rsidTr="0062515D">
        <w:tc>
          <w:tcPr>
            <w:tcW w:w="709" w:type="dxa"/>
            <w:tcBorders>
              <w:top w:val="single" w:sz="12" w:space="0" w:color="auto"/>
            </w:tcBorders>
          </w:tcPr>
          <w:p w14:paraId="56E34531" w14:textId="1964C551" w:rsidR="00D83EDA" w:rsidRPr="0062515D" w:rsidRDefault="0062515D" w:rsidP="0062515D">
            <w:pPr>
              <w:pStyle w:val="NoIndent"/>
              <w:spacing w:line="240" w:lineRule="auto"/>
              <w:jc w:val="center"/>
              <w:rPr>
                <w:sz w:val="18"/>
                <w:szCs w:val="18"/>
              </w:rPr>
            </w:pPr>
            <w:r>
              <w:rPr>
                <w:sz w:val="18"/>
                <w:szCs w:val="18"/>
              </w:rPr>
              <w:t>FR</w:t>
            </w:r>
          </w:p>
        </w:tc>
        <w:tc>
          <w:tcPr>
            <w:tcW w:w="1843" w:type="dxa"/>
            <w:tcBorders>
              <w:top w:val="single" w:sz="12" w:space="0" w:color="auto"/>
            </w:tcBorders>
          </w:tcPr>
          <w:p w14:paraId="67E23A78" w14:textId="02C36762" w:rsidR="00D83EDA" w:rsidRPr="0062515D" w:rsidRDefault="0062515D" w:rsidP="00E74258">
            <w:pPr>
              <w:pStyle w:val="NoIndent"/>
              <w:spacing w:line="240" w:lineRule="auto"/>
              <w:rPr>
                <w:sz w:val="18"/>
                <w:szCs w:val="18"/>
              </w:rPr>
            </w:pPr>
            <w:proofErr w:type="spellStart"/>
            <w:r>
              <w:rPr>
                <w:sz w:val="18"/>
                <w:szCs w:val="18"/>
              </w:rPr>
              <w:t>Guyane</w:t>
            </w:r>
            <w:proofErr w:type="spellEnd"/>
          </w:p>
        </w:tc>
        <w:tc>
          <w:tcPr>
            <w:tcW w:w="709" w:type="dxa"/>
            <w:tcBorders>
              <w:top w:val="single" w:sz="12" w:space="0" w:color="auto"/>
            </w:tcBorders>
          </w:tcPr>
          <w:p w14:paraId="6CEA0D58" w14:textId="11E474B3" w:rsidR="00D83EDA" w:rsidRPr="0062515D" w:rsidRDefault="0062515D" w:rsidP="0062515D">
            <w:pPr>
              <w:pStyle w:val="NoIndent"/>
              <w:spacing w:line="240" w:lineRule="auto"/>
              <w:jc w:val="center"/>
              <w:rPr>
                <w:sz w:val="18"/>
                <w:szCs w:val="18"/>
              </w:rPr>
            </w:pPr>
            <w:r>
              <w:rPr>
                <w:sz w:val="18"/>
                <w:szCs w:val="18"/>
              </w:rPr>
              <w:t>34.95</w:t>
            </w:r>
          </w:p>
        </w:tc>
        <w:tc>
          <w:tcPr>
            <w:tcW w:w="708" w:type="dxa"/>
            <w:tcBorders>
              <w:top w:val="single" w:sz="12" w:space="0" w:color="auto"/>
            </w:tcBorders>
          </w:tcPr>
          <w:p w14:paraId="6A0EDD8E" w14:textId="124E6AE5" w:rsidR="00D83EDA" w:rsidRPr="0062515D" w:rsidRDefault="0062515D" w:rsidP="0062515D">
            <w:pPr>
              <w:pStyle w:val="NoIndent"/>
              <w:spacing w:line="240" w:lineRule="auto"/>
              <w:jc w:val="center"/>
              <w:rPr>
                <w:sz w:val="18"/>
                <w:szCs w:val="18"/>
              </w:rPr>
            </w:pPr>
            <w:r>
              <w:rPr>
                <w:sz w:val="18"/>
                <w:szCs w:val="18"/>
              </w:rPr>
              <w:t>6.35</w:t>
            </w:r>
          </w:p>
        </w:tc>
      </w:tr>
      <w:tr w:rsidR="00D83EDA" w:rsidRPr="0062515D" w14:paraId="5307359A" w14:textId="77777777" w:rsidTr="0062515D">
        <w:tc>
          <w:tcPr>
            <w:tcW w:w="709" w:type="dxa"/>
          </w:tcPr>
          <w:p w14:paraId="2CE0FF5F" w14:textId="41F8740B" w:rsidR="00D83EDA" w:rsidRPr="0062515D" w:rsidRDefault="0062515D" w:rsidP="0062515D">
            <w:pPr>
              <w:pStyle w:val="NoIndent"/>
              <w:spacing w:line="240" w:lineRule="auto"/>
              <w:jc w:val="center"/>
              <w:rPr>
                <w:sz w:val="18"/>
                <w:szCs w:val="18"/>
              </w:rPr>
            </w:pPr>
            <w:r>
              <w:rPr>
                <w:sz w:val="18"/>
                <w:szCs w:val="18"/>
              </w:rPr>
              <w:t>HR</w:t>
            </w:r>
          </w:p>
        </w:tc>
        <w:tc>
          <w:tcPr>
            <w:tcW w:w="1843" w:type="dxa"/>
          </w:tcPr>
          <w:p w14:paraId="4EB19A08" w14:textId="041729FD" w:rsidR="00D83EDA" w:rsidRPr="0062515D" w:rsidRDefault="0062515D" w:rsidP="00E74258">
            <w:pPr>
              <w:pStyle w:val="NoIndent"/>
              <w:spacing w:line="240" w:lineRule="auto"/>
              <w:rPr>
                <w:sz w:val="18"/>
                <w:szCs w:val="18"/>
              </w:rPr>
            </w:pPr>
            <w:r>
              <w:rPr>
                <w:sz w:val="18"/>
                <w:szCs w:val="18"/>
              </w:rPr>
              <w:t>Grad Zagreb</w:t>
            </w:r>
          </w:p>
        </w:tc>
        <w:tc>
          <w:tcPr>
            <w:tcW w:w="709" w:type="dxa"/>
          </w:tcPr>
          <w:p w14:paraId="0E6EF96E" w14:textId="5AF94878" w:rsidR="00D83EDA" w:rsidRPr="0062515D" w:rsidRDefault="0062515D" w:rsidP="0062515D">
            <w:pPr>
              <w:pStyle w:val="NoIndent"/>
              <w:spacing w:line="240" w:lineRule="auto"/>
              <w:jc w:val="center"/>
              <w:rPr>
                <w:sz w:val="18"/>
                <w:szCs w:val="18"/>
              </w:rPr>
            </w:pPr>
            <w:r>
              <w:rPr>
                <w:sz w:val="18"/>
                <w:szCs w:val="18"/>
              </w:rPr>
              <w:t>34.60</w:t>
            </w:r>
          </w:p>
        </w:tc>
        <w:tc>
          <w:tcPr>
            <w:tcW w:w="708" w:type="dxa"/>
          </w:tcPr>
          <w:p w14:paraId="5263A03D" w14:textId="3849E4EA" w:rsidR="00D83EDA" w:rsidRPr="0062515D" w:rsidRDefault="0062515D" w:rsidP="0062515D">
            <w:pPr>
              <w:pStyle w:val="NoIndent"/>
              <w:spacing w:line="240" w:lineRule="auto"/>
              <w:jc w:val="center"/>
              <w:rPr>
                <w:sz w:val="18"/>
                <w:szCs w:val="18"/>
              </w:rPr>
            </w:pPr>
            <w:r>
              <w:rPr>
                <w:sz w:val="18"/>
                <w:szCs w:val="18"/>
              </w:rPr>
              <w:t>20.93</w:t>
            </w:r>
          </w:p>
        </w:tc>
      </w:tr>
      <w:tr w:rsidR="00D83EDA" w:rsidRPr="0062515D" w14:paraId="6ECF0E88" w14:textId="77777777" w:rsidTr="0062515D">
        <w:tc>
          <w:tcPr>
            <w:tcW w:w="709" w:type="dxa"/>
          </w:tcPr>
          <w:p w14:paraId="56A02EEF" w14:textId="619926AD" w:rsidR="00D83EDA" w:rsidRPr="0062515D" w:rsidRDefault="0062515D" w:rsidP="0062515D">
            <w:pPr>
              <w:pStyle w:val="NoIndent"/>
              <w:spacing w:line="240" w:lineRule="auto"/>
              <w:jc w:val="center"/>
              <w:rPr>
                <w:sz w:val="18"/>
                <w:szCs w:val="18"/>
              </w:rPr>
            </w:pPr>
            <w:r>
              <w:rPr>
                <w:sz w:val="18"/>
                <w:szCs w:val="18"/>
              </w:rPr>
              <w:t>BG</w:t>
            </w:r>
          </w:p>
        </w:tc>
        <w:tc>
          <w:tcPr>
            <w:tcW w:w="1843" w:type="dxa"/>
          </w:tcPr>
          <w:p w14:paraId="5A35666E" w14:textId="54C833EE" w:rsidR="00D83EDA" w:rsidRPr="0062515D" w:rsidRDefault="0062515D" w:rsidP="00E74258">
            <w:pPr>
              <w:pStyle w:val="NoIndent"/>
              <w:spacing w:line="240" w:lineRule="auto"/>
              <w:rPr>
                <w:sz w:val="18"/>
                <w:szCs w:val="18"/>
              </w:rPr>
            </w:pPr>
            <w:proofErr w:type="spellStart"/>
            <w:r>
              <w:rPr>
                <w:sz w:val="18"/>
                <w:szCs w:val="18"/>
              </w:rPr>
              <w:t>Severoiztochen</w:t>
            </w:r>
            <w:proofErr w:type="spellEnd"/>
          </w:p>
        </w:tc>
        <w:tc>
          <w:tcPr>
            <w:tcW w:w="709" w:type="dxa"/>
          </w:tcPr>
          <w:p w14:paraId="4DA78179" w14:textId="3FD5DEDE" w:rsidR="00D83EDA" w:rsidRPr="0062515D" w:rsidRDefault="0062515D" w:rsidP="0062515D">
            <w:pPr>
              <w:pStyle w:val="NoIndent"/>
              <w:spacing w:line="240" w:lineRule="auto"/>
              <w:jc w:val="center"/>
              <w:rPr>
                <w:sz w:val="18"/>
                <w:szCs w:val="18"/>
              </w:rPr>
            </w:pPr>
            <w:r>
              <w:rPr>
                <w:sz w:val="18"/>
                <w:szCs w:val="18"/>
              </w:rPr>
              <w:t>33.37</w:t>
            </w:r>
          </w:p>
        </w:tc>
        <w:tc>
          <w:tcPr>
            <w:tcW w:w="708" w:type="dxa"/>
          </w:tcPr>
          <w:p w14:paraId="2E1ECDEF" w14:textId="07198AD6" w:rsidR="00D83EDA" w:rsidRPr="0062515D" w:rsidRDefault="0062515D" w:rsidP="0062515D">
            <w:pPr>
              <w:pStyle w:val="NoIndent"/>
              <w:spacing w:line="240" w:lineRule="auto"/>
              <w:jc w:val="center"/>
              <w:rPr>
                <w:sz w:val="18"/>
                <w:szCs w:val="18"/>
              </w:rPr>
            </w:pPr>
            <w:r>
              <w:rPr>
                <w:sz w:val="18"/>
                <w:szCs w:val="18"/>
              </w:rPr>
              <w:t>1.61</w:t>
            </w:r>
          </w:p>
        </w:tc>
      </w:tr>
      <w:tr w:rsidR="00D83EDA" w:rsidRPr="0062515D" w14:paraId="38371DC6" w14:textId="77777777" w:rsidTr="0062515D">
        <w:tc>
          <w:tcPr>
            <w:tcW w:w="709" w:type="dxa"/>
          </w:tcPr>
          <w:p w14:paraId="186D66E7" w14:textId="655FEDAD" w:rsidR="00D83EDA" w:rsidRPr="0062515D" w:rsidRDefault="0062515D" w:rsidP="0062515D">
            <w:pPr>
              <w:pStyle w:val="NoIndent"/>
              <w:spacing w:line="240" w:lineRule="auto"/>
              <w:jc w:val="center"/>
              <w:rPr>
                <w:sz w:val="18"/>
                <w:szCs w:val="18"/>
              </w:rPr>
            </w:pPr>
            <w:r>
              <w:rPr>
                <w:sz w:val="18"/>
                <w:szCs w:val="18"/>
              </w:rPr>
              <w:t>RO</w:t>
            </w:r>
          </w:p>
        </w:tc>
        <w:tc>
          <w:tcPr>
            <w:tcW w:w="1843" w:type="dxa"/>
          </w:tcPr>
          <w:p w14:paraId="38116A2F" w14:textId="57FB7F42" w:rsidR="00D83EDA" w:rsidRPr="0062515D" w:rsidRDefault="0062515D" w:rsidP="00E74258">
            <w:pPr>
              <w:pStyle w:val="NoIndent"/>
              <w:spacing w:line="240" w:lineRule="auto"/>
              <w:rPr>
                <w:sz w:val="18"/>
                <w:szCs w:val="18"/>
              </w:rPr>
            </w:pPr>
            <w:r>
              <w:rPr>
                <w:sz w:val="18"/>
                <w:szCs w:val="18"/>
              </w:rPr>
              <w:t>Nord-Est</w:t>
            </w:r>
          </w:p>
        </w:tc>
        <w:tc>
          <w:tcPr>
            <w:tcW w:w="709" w:type="dxa"/>
          </w:tcPr>
          <w:p w14:paraId="0F2364BE" w14:textId="54EAD1CF" w:rsidR="00D83EDA" w:rsidRPr="0062515D" w:rsidRDefault="0062515D" w:rsidP="0062515D">
            <w:pPr>
              <w:pStyle w:val="NoIndent"/>
              <w:spacing w:line="240" w:lineRule="auto"/>
              <w:jc w:val="center"/>
              <w:rPr>
                <w:sz w:val="18"/>
                <w:szCs w:val="18"/>
              </w:rPr>
            </w:pPr>
            <w:r>
              <w:rPr>
                <w:sz w:val="18"/>
                <w:szCs w:val="18"/>
              </w:rPr>
              <w:t>33.21</w:t>
            </w:r>
          </w:p>
        </w:tc>
        <w:tc>
          <w:tcPr>
            <w:tcW w:w="708" w:type="dxa"/>
          </w:tcPr>
          <w:p w14:paraId="5BDC946E" w14:textId="57F14CDB" w:rsidR="00D83EDA" w:rsidRPr="0062515D" w:rsidRDefault="0062515D" w:rsidP="0062515D">
            <w:pPr>
              <w:pStyle w:val="NoIndent"/>
              <w:spacing w:line="240" w:lineRule="auto"/>
              <w:jc w:val="center"/>
              <w:rPr>
                <w:sz w:val="18"/>
                <w:szCs w:val="18"/>
              </w:rPr>
            </w:pPr>
            <w:r>
              <w:rPr>
                <w:sz w:val="18"/>
                <w:szCs w:val="18"/>
              </w:rPr>
              <w:t>0.54</w:t>
            </w:r>
          </w:p>
        </w:tc>
      </w:tr>
      <w:tr w:rsidR="00D83EDA" w:rsidRPr="0062515D" w14:paraId="72D33DD4" w14:textId="77777777" w:rsidTr="0062515D">
        <w:tc>
          <w:tcPr>
            <w:tcW w:w="709" w:type="dxa"/>
          </w:tcPr>
          <w:p w14:paraId="357DF84B" w14:textId="45DE162E" w:rsidR="00D83EDA" w:rsidRPr="0062515D" w:rsidRDefault="0062515D" w:rsidP="0062515D">
            <w:pPr>
              <w:pStyle w:val="NoIndent"/>
              <w:spacing w:line="240" w:lineRule="auto"/>
              <w:jc w:val="center"/>
              <w:rPr>
                <w:sz w:val="18"/>
                <w:szCs w:val="18"/>
              </w:rPr>
            </w:pPr>
            <w:r>
              <w:rPr>
                <w:sz w:val="18"/>
                <w:szCs w:val="18"/>
              </w:rPr>
              <w:t>BG</w:t>
            </w:r>
          </w:p>
        </w:tc>
        <w:tc>
          <w:tcPr>
            <w:tcW w:w="1843" w:type="dxa"/>
          </w:tcPr>
          <w:p w14:paraId="3CAB1409" w14:textId="31D3ABD0" w:rsidR="00D83EDA" w:rsidRPr="0062515D" w:rsidRDefault="00A92742" w:rsidP="00E74258">
            <w:pPr>
              <w:pStyle w:val="NoIndent"/>
              <w:spacing w:line="240" w:lineRule="auto"/>
              <w:rPr>
                <w:sz w:val="18"/>
                <w:szCs w:val="18"/>
              </w:rPr>
            </w:pPr>
            <w:r>
              <w:rPr>
                <w:sz w:val="18"/>
                <w:szCs w:val="18"/>
              </w:rPr>
              <w:t xml:space="preserve">Yuzhen </w:t>
            </w:r>
            <w:proofErr w:type="spellStart"/>
            <w:r>
              <w:rPr>
                <w:sz w:val="18"/>
                <w:szCs w:val="18"/>
              </w:rPr>
              <w:t>tsentralen</w:t>
            </w:r>
            <w:proofErr w:type="spellEnd"/>
          </w:p>
        </w:tc>
        <w:tc>
          <w:tcPr>
            <w:tcW w:w="709" w:type="dxa"/>
          </w:tcPr>
          <w:p w14:paraId="0A2C7F5B" w14:textId="14E81C08" w:rsidR="00D83EDA" w:rsidRPr="0062515D" w:rsidRDefault="00A92742" w:rsidP="0062515D">
            <w:pPr>
              <w:pStyle w:val="NoIndent"/>
              <w:spacing w:line="240" w:lineRule="auto"/>
              <w:jc w:val="center"/>
              <w:rPr>
                <w:sz w:val="18"/>
                <w:szCs w:val="18"/>
              </w:rPr>
            </w:pPr>
            <w:r>
              <w:rPr>
                <w:sz w:val="18"/>
                <w:szCs w:val="18"/>
              </w:rPr>
              <w:t>32.67</w:t>
            </w:r>
          </w:p>
        </w:tc>
        <w:tc>
          <w:tcPr>
            <w:tcW w:w="708" w:type="dxa"/>
          </w:tcPr>
          <w:p w14:paraId="681E709E" w14:textId="7DE893B1" w:rsidR="00D83EDA" w:rsidRPr="0062515D" w:rsidRDefault="00A92742" w:rsidP="0062515D">
            <w:pPr>
              <w:pStyle w:val="NoIndent"/>
              <w:spacing w:line="240" w:lineRule="auto"/>
              <w:jc w:val="center"/>
              <w:rPr>
                <w:sz w:val="18"/>
                <w:szCs w:val="18"/>
              </w:rPr>
            </w:pPr>
            <w:r>
              <w:rPr>
                <w:sz w:val="18"/>
                <w:szCs w:val="18"/>
              </w:rPr>
              <w:t>0.72</w:t>
            </w:r>
          </w:p>
        </w:tc>
      </w:tr>
      <w:tr w:rsidR="00D83EDA" w:rsidRPr="0062515D" w14:paraId="39AC84A6" w14:textId="77777777" w:rsidTr="0062515D">
        <w:tc>
          <w:tcPr>
            <w:tcW w:w="709" w:type="dxa"/>
          </w:tcPr>
          <w:p w14:paraId="2CF7E574" w14:textId="5940D1D4" w:rsidR="00D83EDA" w:rsidRPr="0062515D" w:rsidRDefault="00A92742" w:rsidP="0062515D">
            <w:pPr>
              <w:pStyle w:val="NoIndent"/>
              <w:spacing w:line="240" w:lineRule="auto"/>
              <w:jc w:val="center"/>
              <w:rPr>
                <w:sz w:val="18"/>
                <w:szCs w:val="18"/>
              </w:rPr>
            </w:pPr>
            <w:r>
              <w:rPr>
                <w:sz w:val="18"/>
                <w:szCs w:val="18"/>
              </w:rPr>
              <w:t>RO</w:t>
            </w:r>
          </w:p>
        </w:tc>
        <w:tc>
          <w:tcPr>
            <w:tcW w:w="1843" w:type="dxa"/>
          </w:tcPr>
          <w:p w14:paraId="3D2A5B4C" w14:textId="6F2A6791" w:rsidR="00D83EDA" w:rsidRPr="0062515D" w:rsidRDefault="00A92742" w:rsidP="00E74258">
            <w:pPr>
              <w:pStyle w:val="NoIndent"/>
              <w:spacing w:line="240" w:lineRule="auto"/>
              <w:rPr>
                <w:sz w:val="18"/>
                <w:szCs w:val="18"/>
              </w:rPr>
            </w:pPr>
            <w:r>
              <w:rPr>
                <w:sz w:val="18"/>
                <w:szCs w:val="18"/>
              </w:rPr>
              <w:t xml:space="preserve">Sud-Vest </w:t>
            </w:r>
            <w:proofErr w:type="spellStart"/>
            <w:r>
              <w:rPr>
                <w:sz w:val="18"/>
                <w:szCs w:val="18"/>
              </w:rPr>
              <w:t>Oltenia</w:t>
            </w:r>
            <w:proofErr w:type="spellEnd"/>
          </w:p>
        </w:tc>
        <w:tc>
          <w:tcPr>
            <w:tcW w:w="709" w:type="dxa"/>
          </w:tcPr>
          <w:p w14:paraId="1CFD4961" w14:textId="1E06CFD6" w:rsidR="00D83EDA" w:rsidRPr="0062515D" w:rsidRDefault="00A92742" w:rsidP="0062515D">
            <w:pPr>
              <w:pStyle w:val="NoIndent"/>
              <w:spacing w:line="240" w:lineRule="auto"/>
              <w:jc w:val="center"/>
              <w:rPr>
                <w:sz w:val="18"/>
                <w:szCs w:val="18"/>
              </w:rPr>
            </w:pPr>
            <w:r>
              <w:rPr>
                <w:sz w:val="18"/>
                <w:szCs w:val="18"/>
              </w:rPr>
              <w:t>31.98</w:t>
            </w:r>
          </w:p>
        </w:tc>
        <w:tc>
          <w:tcPr>
            <w:tcW w:w="708" w:type="dxa"/>
          </w:tcPr>
          <w:p w14:paraId="3BF4CEC1" w14:textId="79F9FCDE" w:rsidR="00D83EDA" w:rsidRPr="0062515D" w:rsidRDefault="00A92742" w:rsidP="0062515D">
            <w:pPr>
              <w:pStyle w:val="NoIndent"/>
              <w:spacing w:line="240" w:lineRule="auto"/>
              <w:jc w:val="center"/>
              <w:rPr>
                <w:sz w:val="18"/>
                <w:szCs w:val="18"/>
              </w:rPr>
            </w:pPr>
            <w:r>
              <w:rPr>
                <w:sz w:val="18"/>
                <w:szCs w:val="18"/>
              </w:rPr>
              <w:t>2.50</w:t>
            </w:r>
          </w:p>
        </w:tc>
      </w:tr>
      <w:tr w:rsidR="00D83EDA" w:rsidRPr="0062515D" w14:paraId="044C3DFF" w14:textId="77777777" w:rsidTr="0062515D">
        <w:tc>
          <w:tcPr>
            <w:tcW w:w="709" w:type="dxa"/>
          </w:tcPr>
          <w:p w14:paraId="2A69B989" w14:textId="3C428B8C" w:rsidR="00D83EDA" w:rsidRPr="0062515D" w:rsidRDefault="00A92742" w:rsidP="0062515D">
            <w:pPr>
              <w:pStyle w:val="NoIndent"/>
              <w:spacing w:line="240" w:lineRule="auto"/>
              <w:jc w:val="center"/>
              <w:rPr>
                <w:sz w:val="18"/>
                <w:szCs w:val="18"/>
              </w:rPr>
            </w:pPr>
            <w:r>
              <w:rPr>
                <w:sz w:val="18"/>
                <w:szCs w:val="18"/>
              </w:rPr>
              <w:t>BG</w:t>
            </w:r>
          </w:p>
        </w:tc>
        <w:tc>
          <w:tcPr>
            <w:tcW w:w="1843" w:type="dxa"/>
          </w:tcPr>
          <w:p w14:paraId="34FF7F75" w14:textId="6C559143" w:rsidR="00D83EDA" w:rsidRPr="0062515D" w:rsidRDefault="00A92742" w:rsidP="00E74258">
            <w:pPr>
              <w:pStyle w:val="NoIndent"/>
              <w:spacing w:line="240" w:lineRule="auto"/>
              <w:rPr>
                <w:sz w:val="18"/>
                <w:szCs w:val="18"/>
              </w:rPr>
            </w:pPr>
            <w:r>
              <w:rPr>
                <w:sz w:val="18"/>
                <w:szCs w:val="18"/>
              </w:rPr>
              <w:t xml:space="preserve">Severen </w:t>
            </w:r>
            <w:proofErr w:type="spellStart"/>
            <w:r>
              <w:rPr>
                <w:sz w:val="18"/>
                <w:szCs w:val="18"/>
              </w:rPr>
              <w:t>tsentralen</w:t>
            </w:r>
            <w:proofErr w:type="spellEnd"/>
          </w:p>
        </w:tc>
        <w:tc>
          <w:tcPr>
            <w:tcW w:w="709" w:type="dxa"/>
          </w:tcPr>
          <w:p w14:paraId="48C9784E" w14:textId="25263239" w:rsidR="00D83EDA" w:rsidRPr="0062515D" w:rsidRDefault="00A92742" w:rsidP="0062515D">
            <w:pPr>
              <w:pStyle w:val="NoIndent"/>
              <w:spacing w:line="240" w:lineRule="auto"/>
              <w:jc w:val="center"/>
              <w:rPr>
                <w:sz w:val="18"/>
                <w:szCs w:val="18"/>
              </w:rPr>
            </w:pPr>
            <w:r>
              <w:rPr>
                <w:sz w:val="18"/>
                <w:szCs w:val="18"/>
              </w:rPr>
              <w:t>31.95</w:t>
            </w:r>
          </w:p>
        </w:tc>
        <w:tc>
          <w:tcPr>
            <w:tcW w:w="708" w:type="dxa"/>
          </w:tcPr>
          <w:p w14:paraId="74192924" w14:textId="15E787E0" w:rsidR="00D83EDA" w:rsidRPr="0062515D" w:rsidRDefault="00A92742" w:rsidP="0062515D">
            <w:pPr>
              <w:pStyle w:val="NoIndent"/>
              <w:spacing w:line="240" w:lineRule="auto"/>
              <w:jc w:val="center"/>
              <w:rPr>
                <w:sz w:val="18"/>
                <w:szCs w:val="18"/>
              </w:rPr>
            </w:pPr>
            <w:r>
              <w:rPr>
                <w:sz w:val="18"/>
                <w:szCs w:val="18"/>
              </w:rPr>
              <w:t>0.36</w:t>
            </w:r>
          </w:p>
        </w:tc>
      </w:tr>
      <w:tr w:rsidR="00D83EDA" w:rsidRPr="0062515D" w14:paraId="2524684F" w14:textId="77777777" w:rsidTr="0062515D">
        <w:tc>
          <w:tcPr>
            <w:tcW w:w="709" w:type="dxa"/>
          </w:tcPr>
          <w:p w14:paraId="7BF3131C" w14:textId="17F16DA3" w:rsidR="00D83EDA" w:rsidRPr="0062515D" w:rsidRDefault="00A92742" w:rsidP="0062515D">
            <w:pPr>
              <w:pStyle w:val="NoIndent"/>
              <w:spacing w:line="240" w:lineRule="auto"/>
              <w:jc w:val="center"/>
              <w:rPr>
                <w:sz w:val="18"/>
                <w:szCs w:val="18"/>
              </w:rPr>
            </w:pPr>
            <w:r>
              <w:rPr>
                <w:sz w:val="18"/>
                <w:szCs w:val="18"/>
              </w:rPr>
              <w:t>RO</w:t>
            </w:r>
          </w:p>
        </w:tc>
        <w:tc>
          <w:tcPr>
            <w:tcW w:w="1843" w:type="dxa"/>
          </w:tcPr>
          <w:p w14:paraId="37311135" w14:textId="1D9BC1D8" w:rsidR="00D83EDA" w:rsidRPr="0062515D" w:rsidRDefault="00A92742" w:rsidP="00E74258">
            <w:pPr>
              <w:pStyle w:val="NoIndent"/>
              <w:spacing w:line="240" w:lineRule="auto"/>
              <w:rPr>
                <w:sz w:val="18"/>
                <w:szCs w:val="18"/>
              </w:rPr>
            </w:pPr>
            <w:r>
              <w:rPr>
                <w:sz w:val="18"/>
                <w:szCs w:val="18"/>
              </w:rPr>
              <w:t>Sud-</w:t>
            </w:r>
            <w:proofErr w:type="spellStart"/>
            <w:r>
              <w:rPr>
                <w:sz w:val="18"/>
                <w:szCs w:val="18"/>
              </w:rPr>
              <w:t>Munteria</w:t>
            </w:r>
            <w:proofErr w:type="spellEnd"/>
          </w:p>
        </w:tc>
        <w:tc>
          <w:tcPr>
            <w:tcW w:w="709" w:type="dxa"/>
          </w:tcPr>
          <w:p w14:paraId="706DF7CA" w14:textId="501E1CE3" w:rsidR="00D83EDA" w:rsidRPr="0062515D" w:rsidRDefault="00A92742" w:rsidP="0062515D">
            <w:pPr>
              <w:pStyle w:val="NoIndent"/>
              <w:spacing w:line="240" w:lineRule="auto"/>
              <w:jc w:val="center"/>
              <w:rPr>
                <w:sz w:val="18"/>
                <w:szCs w:val="18"/>
              </w:rPr>
            </w:pPr>
            <w:r>
              <w:rPr>
                <w:sz w:val="18"/>
                <w:szCs w:val="18"/>
              </w:rPr>
              <w:t>30.50</w:t>
            </w:r>
          </w:p>
        </w:tc>
        <w:tc>
          <w:tcPr>
            <w:tcW w:w="708" w:type="dxa"/>
          </w:tcPr>
          <w:p w14:paraId="45C802E8" w14:textId="7284487C" w:rsidR="00D83EDA" w:rsidRPr="0062515D" w:rsidRDefault="00A92742" w:rsidP="0062515D">
            <w:pPr>
              <w:pStyle w:val="NoIndent"/>
              <w:spacing w:line="240" w:lineRule="auto"/>
              <w:jc w:val="center"/>
              <w:rPr>
                <w:sz w:val="18"/>
                <w:szCs w:val="18"/>
              </w:rPr>
            </w:pPr>
            <w:r>
              <w:rPr>
                <w:sz w:val="18"/>
                <w:szCs w:val="18"/>
              </w:rPr>
              <w:t>2.50</w:t>
            </w:r>
          </w:p>
        </w:tc>
      </w:tr>
      <w:tr w:rsidR="00D83EDA" w:rsidRPr="0062515D" w14:paraId="4CCA8DB5" w14:textId="77777777" w:rsidTr="0062515D">
        <w:tc>
          <w:tcPr>
            <w:tcW w:w="709" w:type="dxa"/>
          </w:tcPr>
          <w:p w14:paraId="00C25301" w14:textId="15E0A8C5" w:rsidR="00D83EDA" w:rsidRPr="0062515D" w:rsidRDefault="00A92742" w:rsidP="0062515D">
            <w:pPr>
              <w:pStyle w:val="NoIndent"/>
              <w:spacing w:line="240" w:lineRule="auto"/>
              <w:jc w:val="center"/>
              <w:rPr>
                <w:sz w:val="18"/>
                <w:szCs w:val="18"/>
              </w:rPr>
            </w:pPr>
            <w:r>
              <w:rPr>
                <w:sz w:val="18"/>
                <w:szCs w:val="18"/>
              </w:rPr>
              <w:t>BG</w:t>
            </w:r>
          </w:p>
        </w:tc>
        <w:tc>
          <w:tcPr>
            <w:tcW w:w="1843" w:type="dxa"/>
          </w:tcPr>
          <w:p w14:paraId="39F6F899" w14:textId="263F92D4" w:rsidR="00D83EDA" w:rsidRPr="0062515D" w:rsidRDefault="00A92742" w:rsidP="00E74258">
            <w:pPr>
              <w:pStyle w:val="NoIndent"/>
              <w:spacing w:line="240" w:lineRule="auto"/>
              <w:rPr>
                <w:sz w:val="18"/>
                <w:szCs w:val="18"/>
              </w:rPr>
            </w:pPr>
            <w:proofErr w:type="spellStart"/>
            <w:r>
              <w:rPr>
                <w:sz w:val="18"/>
                <w:szCs w:val="18"/>
              </w:rPr>
              <w:t>Severozapaden</w:t>
            </w:r>
            <w:proofErr w:type="spellEnd"/>
          </w:p>
        </w:tc>
        <w:tc>
          <w:tcPr>
            <w:tcW w:w="709" w:type="dxa"/>
          </w:tcPr>
          <w:p w14:paraId="52ABD801" w14:textId="4CCB66C1" w:rsidR="00D83EDA" w:rsidRPr="0062515D" w:rsidRDefault="00A92742" w:rsidP="0062515D">
            <w:pPr>
              <w:pStyle w:val="NoIndent"/>
              <w:spacing w:line="240" w:lineRule="auto"/>
              <w:jc w:val="center"/>
              <w:rPr>
                <w:sz w:val="18"/>
                <w:szCs w:val="18"/>
              </w:rPr>
            </w:pPr>
            <w:r>
              <w:rPr>
                <w:sz w:val="18"/>
                <w:szCs w:val="18"/>
              </w:rPr>
              <w:t>28.84</w:t>
            </w:r>
          </w:p>
        </w:tc>
        <w:tc>
          <w:tcPr>
            <w:tcW w:w="708" w:type="dxa"/>
          </w:tcPr>
          <w:p w14:paraId="258A7C2D" w14:textId="7A70106A" w:rsidR="00D83EDA" w:rsidRPr="0062515D" w:rsidRDefault="00A92742" w:rsidP="0062515D">
            <w:pPr>
              <w:pStyle w:val="NoIndent"/>
              <w:spacing w:line="240" w:lineRule="auto"/>
              <w:jc w:val="center"/>
              <w:rPr>
                <w:sz w:val="18"/>
                <w:szCs w:val="18"/>
              </w:rPr>
            </w:pPr>
            <w:r>
              <w:rPr>
                <w:sz w:val="18"/>
                <w:szCs w:val="18"/>
              </w:rPr>
              <w:t>0.00</w:t>
            </w:r>
          </w:p>
        </w:tc>
      </w:tr>
      <w:tr w:rsidR="00D83EDA" w:rsidRPr="0062515D" w14:paraId="3652CD83" w14:textId="77777777" w:rsidTr="0062515D">
        <w:tc>
          <w:tcPr>
            <w:tcW w:w="709" w:type="dxa"/>
            <w:tcBorders>
              <w:bottom w:val="single" w:sz="12" w:space="0" w:color="auto"/>
            </w:tcBorders>
          </w:tcPr>
          <w:p w14:paraId="11AB3DE9" w14:textId="4FC9E267" w:rsidR="00D83EDA" w:rsidRPr="0062515D" w:rsidRDefault="00A92742" w:rsidP="0062515D">
            <w:pPr>
              <w:pStyle w:val="NoIndent"/>
              <w:spacing w:line="240" w:lineRule="auto"/>
              <w:jc w:val="center"/>
              <w:rPr>
                <w:sz w:val="18"/>
                <w:szCs w:val="18"/>
              </w:rPr>
            </w:pPr>
            <w:r>
              <w:rPr>
                <w:sz w:val="18"/>
                <w:szCs w:val="18"/>
              </w:rPr>
              <w:t>BG</w:t>
            </w:r>
          </w:p>
        </w:tc>
        <w:tc>
          <w:tcPr>
            <w:tcW w:w="1843" w:type="dxa"/>
            <w:tcBorders>
              <w:bottom w:val="single" w:sz="12" w:space="0" w:color="auto"/>
            </w:tcBorders>
          </w:tcPr>
          <w:p w14:paraId="7172CF5C" w14:textId="6BAE0030" w:rsidR="00D83EDA" w:rsidRPr="0062515D" w:rsidRDefault="00A92742" w:rsidP="00E74258">
            <w:pPr>
              <w:pStyle w:val="NoIndent"/>
              <w:spacing w:line="240" w:lineRule="auto"/>
              <w:rPr>
                <w:sz w:val="18"/>
                <w:szCs w:val="18"/>
              </w:rPr>
            </w:pPr>
            <w:proofErr w:type="spellStart"/>
            <w:r>
              <w:rPr>
                <w:sz w:val="18"/>
                <w:szCs w:val="18"/>
              </w:rPr>
              <w:t>Yugoiztochen</w:t>
            </w:r>
            <w:proofErr w:type="spellEnd"/>
          </w:p>
        </w:tc>
        <w:tc>
          <w:tcPr>
            <w:tcW w:w="709" w:type="dxa"/>
            <w:tcBorders>
              <w:bottom w:val="single" w:sz="12" w:space="0" w:color="auto"/>
            </w:tcBorders>
          </w:tcPr>
          <w:p w14:paraId="5C89F3B5" w14:textId="52B0B742" w:rsidR="00D83EDA" w:rsidRPr="0062515D" w:rsidRDefault="00A92742" w:rsidP="0062515D">
            <w:pPr>
              <w:pStyle w:val="NoIndent"/>
              <w:spacing w:line="240" w:lineRule="auto"/>
              <w:jc w:val="center"/>
              <w:rPr>
                <w:sz w:val="18"/>
                <w:szCs w:val="18"/>
              </w:rPr>
            </w:pPr>
            <w:r>
              <w:rPr>
                <w:sz w:val="18"/>
                <w:szCs w:val="18"/>
              </w:rPr>
              <w:t>24.72</w:t>
            </w:r>
          </w:p>
        </w:tc>
        <w:tc>
          <w:tcPr>
            <w:tcW w:w="708" w:type="dxa"/>
            <w:tcBorders>
              <w:bottom w:val="single" w:sz="12" w:space="0" w:color="auto"/>
            </w:tcBorders>
          </w:tcPr>
          <w:p w14:paraId="33574730" w14:textId="6B507082" w:rsidR="00D83EDA" w:rsidRPr="0062515D" w:rsidRDefault="00A92742" w:rsidP="0062515D">
            <w:pPr>
              <w:pStyle w:val="NoIndent"/>
              <w:spacing w:line="240" w:lineRule="auto"/>
              <w:jc w:val="center"/>
              <w:rPr>
                <w:sz w:val="18"/>
                <w:szCs w:val="18"/>
              </w:rPr>
            </w:pPr>
            <w:r>
              <w:rPr>
                <w:sz w:val="18"/>
                <w:szCs w:val="18"/>
              </w:rPr>
              <w:t>3.04</w:t>
            </w:r>
          </w:p>
        </w:tc>
      </w:tr>
    </w:tbl>
    <w:p w14:paraId="5E5D3BFB" w14:textId="77777777" w:rsidR="0062515D" w:rsidRDefault="0062515D" w:rsidP="00D83EDA">
      <w:pPr>
        <w:spacing w:line="240" w:lineRule="auto"/>
        <w:ind w:firstLine="0"/>
        <w:rPr>
          <w:rFonts w:cstheme="minorHAnsi"/>
          <w:sz w:val="20"/>
          <w:szCs w:val="20"/>
          <w:lang w:val="es-ES"/>
        </w:rPr>
        <w:sectPr w:rsidR="0062515D" w:rsidSect="0062515D">
          <w:type w:val="continuous"/>
          <w:pgSz w:w="12240" w:h="15840"/>
          <w:pgMar w:top="1440" w:right="1440" w:bottom="1440" w:left="1440" w:header="720" w:footer="720" w:gutter="0"/>
          <w:cols w:num="2" w:space="720"/>
          <w:titlePg/>
          <w:docGrid w:linePitch="360"/>
        </w:sectPr>
      </w:pPr>
    </w:p>
    <w:p w14:paraId="632253F1" w14:textId="77777777" w:rsidR="002C64AE" w:rsidRDefault="002C64AE" w:rsidP="00363E86">
      <w:pPr>
        <w:pStyle w:val="Heading2"/>
        <w:rPr>
          <w:lang w:val="es-ES"/>
        </w:rPr>
      </w:pPr>
    </w:p>
    <w:p w14:paraId="60CD9E67" w14:textId="428E2B5D" w:rsidR="00363E86" w:rsidRDefault="00363E86" w:rsidP="00363E86">
      <w:pPr>
        <w:pStyle w:val="Heading2"/>
        <w:rPr>
          <w:rFonts w:cstheme="minorHAnsi"/>
          <w:sz w:val="20"/>
          <w:szCs w:val="20"/>
          <w:lang w:val="es-ES"/>
        </w:rPr>
      </w:pPr>
      <w:bookmarkStart w:id="64" w:name="_Toc177028043"/>
      <w:bookmarkStart w:id="65" w:name="_Toc177028205"/>
      <w:r>
        <w:rPr>
          <w:lang w:val="es-ES"/>
        </w:rPr>
        <w:t xml:space="preserve">VI.2. </w:t>
      </w:r>
      <w:r w:rsidRPr="00363E86">
        <w:rPr>
          <w:lang w:val="es-ES"/>
        </w:rPr>
        <w:t>Comparación SPI y PIB per Cápita</w:t>
      </w:r>
      <w:bookmarkEnd w:id="64"/>
      <w:bookmarkEnd w:id="65"/>
    </w:p>
    <w:p w14:paraId="21E790CF" w14:textId="201500D5" w:rsidR="003759D5" w:rsidRDefault="00A92742" w:rsidP="00D83EDA">
      <w:pPr>
        <w:spacing w:line="240" w:lineRule="auto"/>
        <w:ind w:firstLine="0"/>
        <w:rPr>
          <w:rFonts w:cstheme="minorHAnsi"/>
          <w:sz w:val="20"/>
          <w:szCs w:val="20"/>
          <w:lang w:val="es-ES"/>
        </w:rPr>
      </w:pPr>
      <w:r w:rsidRPr="00A92742">
        <w:rPr>
          <w:rFonts w:cstheme="minorHAnsi"/>
          <w:sz w:val="20"/>
          <w:szCs w:val="20"/>
          <w:lang w:val="es-ES"/>
        </w:rPr>
        <w:t>Al comparar el SPI con el PIB per cápita por región (GDP), observamos que el nivel económico de las regiones con mayor SPI no es necesariamente el más alto, presentándose una gran variedad de combinaciones. Sin embargo, en las regiones con un SPI más bajo, el PIB per cápita tiende a ser, en general, muy reducido</w:t>
      </w:r>
      <w:r>
        <w:rPr>
          <w:rFonts w:cstheme="minorHAnsi"/>
          <w:sz w:val="20"/>
          <w:szCs w:val="20"/>
          <w:lang w:val="es-ES"/>
        </w:rPr>
        <w:t>.</w:t>
      </w:r>
    </w:p>
    <w:p w14:paraId="7B7E7D43" w14:textId="77777777" w:rsidR="003759D5" w:rsidRDefault="003759D5" w:rsidP="00D83EDA">
      <w:pPr>
        <w:spacing w:line="240" w:lineRule="auto"/>
        <w:ind w:firstLine="0"/>
        <w:rPr>
          <w:rFonts w:cstheme="minorHAnsi"/>
          <w:sz w:val="20"/>
          <w:szCs w:val="20"/>
          <w:lang w:val="es-ES"/>
        </w:rPr>
      </w:pPr>
    </w:p>
    <w:p w14:paraId="25DFC0A8" w14:textId="09A697B0" w:rsidR="00D83EDA" w:rsidRDefault="003759D5" w:rsidP="00D83EDA">
      <w:pPr>
        <w:spacing w:line="240" w:lineRule="auto"/>
        <w:ind w:firstLine="0"/>
        <w:rPr>
          <w:rFonts w:cstheme="minorHAnsi"/>
          <w:sz w:val="20"/>
          <w:szCs w:val="20"/>
          <w:lang w:val="es-ES"/>
        </w:rPr>
      </w:pPr>
      <w:r>
        <w:rPr>
          <w:rFonts w:cstheme="minorHAnsi"/>
          <w:sz w:val="20"/>
          <w:szCs w:val="20"/>
          <w:lang w:val="es-ES"/>
        </w:rPr>
        <w:t xml:space="preserve">En las </w:t>
      </w:r>
      <w:r>
        <w:rPr>
          <w:rFonts w:cstheme="minorHAnsi"/>
          <w:b/>
          <w:bCs/>
          <w:sz w:val="20"/>
          <w:szCs w:val="20"/>
          <w:lang w:val="es-ES"/>
        </w:rPr>
        <w:t>Figura</w:t>
      </w:r>
      <w:r w:rsidR="00363E86">
        <w:rPr>
          <w:rFonts w:cstheme="minorHAnsi"/>
          <w:b/>
          <w:bCs/>
          <w:sz w:val="20"/>
          <w:szCs w:val="20"/>
          <w:lang w:val="es-ES"/>
        </w:rPr>
        <w:t>s</w:t>
      </w:r>
      <w:r>
        <w:rPr>
          <w:rFonts w:cstheme="minorHAnsi"/>
          <w:b/>
          <w:bCs/>
          <w:sz w:val="20"/>
          <w:szCs w:val="20"/>
          <w:lang w:val="es-ES"/>
        </w:rPr>
        <w:t xml:space="preserve"> 05.7</w:t>
      </w:r>
      <w:r>
        <w:rPr>
          <w:rFonts w:cstheme="minorHAnsi"/>
          <w:sz w:val="20"/>
          <w:szCs w:val="20"/>
          <w:lang w:val="es-ES"/>
        </w:rPr>
        <w:t xml:space="preserve"> y </w:t>
      </w:r>
      <w:r>
        <w:rPr>
          <w:rFonts w:cstheme="minorHAnsi"/>
          <w:b/>
          <w:bCs/>
          <w:sz w:val="20"/>
          <w:szCs w:val="20"/>
          <w:lang w:val="es-ES"/>
        </w:rPr>
        <w:t>05.8</w:t>
      </w:r>
      <w:r w:rsidR="005B28F8">
        <w:rPr>
          <w:rFonts w:cstheme="minorHAnsi"/>
          <w:sz w:val="20"/>
          <w:szCs w:val="20"/>
          <w:lang w:val="es-ES"/>
        </w:rPr>
        <w:t xml:space="preserve"> </w:t>
      </w:r>
      <w:r w:rsidR="005B28F8" w:rsidRPr="005B28F8">
        <w:rPr>
          <w:rFonts w:cstheme="minorHAnsi"/>
          <w:sz w:val="20"/>
          <w:szCs w:val="20"/>
          <w:lang w:val="es-ES"/>
        </w:rPr>
        <w:t xml:space="preserve">se muestran las </w:t>
      </w:r>
      <w:r w:rsidR="001F152D" w:rsidRPr="005B28F8">
        <w:rPr>
          <w:rFonts w:cstheme="minorHAnsi"/>
          <w:sz w:val="20"/>
          <w:szCs w:val="20"/>
          <w:lang w:val="es-ES"/>
        </w:rPr>
        <w:t>10 mejores y 10 peores regiones</w:t>
      </w:r>
      <w:r w:rsidR="001F152D">
        <w:rPr>
          <w:rFonts w:cstheme="minorHAnsi"/>
          <w:sz w:val="20"/>
          <w:szCs w:val="20"/>
          <w:lang w:val="es-ES"/>
        </w:rPr>
        <w:t xml:space="preserve"> </w:t>
      </w:r>
      <w:r w:rsidR="001F152D" w:rsidRPr="001F152D">
        <w:rPr>
          <w:rFonts w:cstheme="minorHAnsi"/>
          <w:sz w:val="20"/>
          <w:szCs w:val="20"/>
          <w:lang w:val="es-ES"/>
        </w:rPr>
        <w:t>en cuanto a SPI y dimensiones</w:t>
      </w:r>
      <w:r w:rsidR="001F152D">
        <w:rPr>
          <w:rFonts w:cstheme="minorHAnsi"/>
          <w:sz w:val="20"/>
          <w:szCs w:val="20"/>
          <w:lang w:val="es-ES"/>
        </w:rPr>
        <w:t xml:space="preserve"> </w:t>
      </w:r>
      <w:r w:rsidR="005B28F8" w:rsidRPr="005B28F8">
        <w:rPr>
          <w:rFonts w:cstheme="minorHAnsi"/>
          <w:sz w:val="20"/>
          <w:szCs w:val="20"/>
          <w:lang w:val="es-ES"/>
        </w:rPr>
        <w:t>(Necesidades Básicas, Fundamentos de Bienestar y Oportunidades)</w:t>
      </w:r>
      <w:r w:rsidR="00363E86">
        <w:rPr>
          <w:rFonts w:cstheme="minorHAnsi"/>
          <w:sz w:val="20"/>
          <w:szCs w:val="20"/>
          <w:lang w:val="es-ES"/>
        </w:rPr>
        <w:t xml:space="preserve">, </w:t>
      </w:r>
      <w:r w:rsidR="001F152D" w:rsidRPr="001F152D">
        <w:rPr>
          <w:rFonts w:cstheme="minorHAnsi"/>
          <w:sz w:val="20"/>
          <w:szCs w:val="20"/>
          <w:lang w:val="es-ES"/>
        </w:rPr>
        <w:t>destacando que no todas las regiones con buen SPI son las mejores en las tres dimensiones</w:t>
      </w:r>
      <w:r w:rsidR="005B28F8" w:rsidRPr="005B28F8">
        <w:rPr>
          <w:rFonts w:cstheme="minorHAnsi"/>
          <w:sz w:val="20"/>
          <w:szCs w:val="20"/>
          <w:lang w:val="es-ES"/>
        </w:rPr>
        <w:t>. Hay regiones que obtienen las calificaciones más altas en Necesidades Básicas, pero no aparecen en el top 10 del SPI</w:t>
      </w:r>
      <w:r w:rsidR="005B28F8">
        <w:rPr>
          <w:rFonts w:cstheme="minorHAnsi"/>
          <w:sz w:val="20"/>
          <w:szCs w:val="20"/>
          <w:lang w:val="es-ES"/>
        </w:rPr>
        <w:t xml:space="preserve"> (Creta). </w:t>
      </w:r>
      <w:r w:rsidR="00BE23D7" w:rsidRPr="00BE23D7">
        <w:rPr>
          <w:rFonts w:cstheme="minorHAnsi"/>
          <w:sz w:val="20"/>
          <w:szCs w:val="20"/>
          <w:lang w:val="es-ES"/>
        </w:rPr>
        <w:t xml:space="preserve">Sin embargo, en el caso de las regiones con un </w:t>
      </w:r>
      <w:r w:rsidR="00BE23D7" w:rsidRPr="00BE23D7">
        <w:rPr>
          <w:rFonts w:cstheme="minorHAnsi"/>
          <w:sz w:val="20"/>
          <w:szCs w:val="20"/>
          <w:lang w:val="es-ES"/>
        </w:rPr>
        <w:lastRenderedPageBreak/>
        <w:t xml:space="preserve">SPI bajo, el patrón es más </w:t>
      </w:r>
      <w:r w:rsidR="00BE23D7">
        <w:rPr>
          <w:rFonts w:cstheme="minorHAnsi"/>
          <w:sz w:val="20"/>
          <w:szCs w:val="20"/>
          <w:lang w:val="es-ES"/>
        </w:rPr>
        <w:t xml:space="preserve">evidente: si la región está a la cola en alguna de las tres dimensiones, probablemente estará a la cola del SPI. Ver en las </w:t>
      </w:r>
      <w:r w:rsidR="00BE23D7">
        <w:rPr>
          <w:rFonts w:cstheme="minorHAnsi"/>
          <w:b/>
          <w:bCs/>
          <w:sz w:val="20"/>
          <w:szCs w:val="20"/>
          <w:lang w:val="es-ES"/>
        </w:rPr>
        <w:t xml:space="preserve">Figura 05.9 </w:t>
      </w:r>
      <w:r w:rsidR="00BE23D7">
        <w:rPr>
          <w:rFonts w:cstheme="minorHAnsi"/>
          <w:sz w:val="20"/>
          <w:szCs w:val="20"/>
          <w:lang w:val="es-ES"/>
        </w:rPr>
        <w:t xml:space="preserve">y </w:t>
      </w:r>
      <w:r w:rsidR="00BE23D7">
        <w:rPr>
          <w:rFonts w:cstheme="minorHAnsi"/>
          <w:b/>
          <w:bCs/>
          <w:sz w:val="20"/>
          <w:szCs w:val="20"/>
          <w:lang w:val="es-ES"/>
        </w:rPr>
        <w:t>Figura 05.10</w:t>
      </w:r>
      <w:r w:rsidR="00BE23D7">
        <w:rPr>
          <w:rFonts w:cstheme="minorHAnsi"/>
          <w:sz w:val="20"/>
          <w:szCs w:val="20"/>
          <w:lang w:val="es-ES"/>
        </w:rPr>
        <w:t xml:space="preserve"> el mapa de todas las regiones según SPI, dimensiones y PIB per cápita.</w:t>
      </w:r>
    </w:p>
    <w:p w14:paraId="5E8CA8AD" w14:textId="77777777" w:rsidR="002C64AE" w:rsidRDefault="002C64AE" w:rsidP="00D83EDA">
      <w:pPr>
        <w:spacing w:line="240" w:lineRule="auto"/>
        <w:ind w:firstLine="0"/>
        <w:rPr>
          <w:rFonts w:cstheme="minorHAnsi"/>
          <w:sz w:val="20"/>
          <w:szCs w:val="20"/>
          <w:lang w:val="es-ES"/>
        </w:rPr>
      </w:pPr>
    </w:p>
    <w:p w14:paraId="2EEB0034" w14:textId="77777777" w:rsidR="00BE23D7" w:rsidRDefault="00BE23D7" w:rsidP="00D83EDA">
      <w:pPr>
        <w:spacing w:line="240" w:lineRule="auto"/>
        <w:ind w:firstLine="0"/>
        <w:rPr>
          <w:rFonts w:cstheme="minorHAnsi"/>
          <w:sz w:val="20"/>
          <w:szCs w:val="20"/>
          <w:lang w:val="es-ES"/>
        </w:rPr>
      </w:pPr>
    </w:p>
    <w:p w14:paraId="6A3F9069" w14:textId="0683F27A" w:rsidR="00E01CBF" w:rsidRDefault="001F152D" w:rsidP="001F152D">
      <w:pPr>
        <w:pStyle w:val="Heading2"/>
        <w:rPr>
          <w:rFonts w:cstheme="minorHAnsi"/>
          <w:b w:val="0"/>
          <w:bCs w:val="0"/>
          <w:sz w:val="20"/>
          <w:szCs w:val="20"/>
          <w:lang w:val="es-ES"/>
        </w:rPr>
      </w:pPr>
      <w:bookmarkStart w:id="66" w:name="_Toc177028044"/>
      <w:bookmarkStart w:id="67" w:name="_Toc177028206"/>
      <w:r>
        <w:rPr>
          <w:lang w:val="es-ES"/>
        </w:rPr>
        <w:t xml:space="preserve">VI.3. </w:t>
      </w:r>
      <w:r w:rsidR="00E01CBF" w:rsidRPr="00E01CBF">
        <w:rPr>
          <w:lang w:val="es-ES"/>
        </w:rPr>
        <w:t xml:space="preserve">Clasificación por </w:t>
      </w:r>
      <w:r w:rsidR="00BE23D7" w:rsidRPr="00E01CBF">
        <w:rPr>
          <w:lang w:val="es-ES"/>
        </w:rPr>
        <w:t>SPI y PIB per cápita:</w:t>
      </w:r>
      <w:bookmarkEnd w:id="66"/>
      <w:bookmarkEnd w:id="67"/>
    </w:p>
    <w:p w14:paraId="22D896F3" w14:textId="77777777" w:rsidR="00132858" w:rsidRDefault="00E01CBF" w:rsidP="0081218D">
      <w:pPr>
        <w:spacing w:line="240" w:lineRule="auto"/>
        <w:ind w:firstLine="0"/>
        <w:rPr>
          <w:rFonts w:cstheme="minorHAnsi"/>
          <w:sz w:val="20"/>
          <w:szCs w:val="20"/>
          <w:lang w:val="es-ES"/>
        </w:rPr>
      </w:pPr>
      <w:r>
        <w:rPr>
          <w:rFonts w:cstheme="minorHAnsi"/>
          <w:sz w:val="20"/>
          <w:szCs w:val="20"/>
          <w:lang w:val="es-ES"/>
        </w:rPr>
        <w:t>Clasificamos las regiones en función de sus puntaciones alcanzadas para los dos índices que miden el desarrollo social.</w:t>
      </w:r>
      <w:r w:rsidR="001F152D">
        <w:rPr>
          <w:rFonts w:cstheme="minorHAnsi"/>
          <w:sz w:val="20"/>
          <w:szCs w:val="20"/>
          <w:lang w:val="es-ES"/>
        </w:rPr>
        <w:t xml:space="preserve"> </w:t>
      </w:r>
    </w:p>
    <w:p w14:paraId="7781DA16" w14:textId="77777777" w:rsidR="00132858" w:rsidRDefault="00132858" w:rsidP="0081218D">
      <w:pPr>
        <w:spacing w:line="240" w:lineRule="auto"/>
        <w:ind w:firstLine="0"/>
        <w:rPr>
          <w:rFonts w:cstheme="minorHAnsi"/>
          <w:sz w:val="20"/>
          <w:szCs w:val="20"/>
          <w:lang w:val="es-ES"/>
        </w:rPr>
      </w:pPr>
    </w:p>
    <w:p w14:paraId="0D17AB85" w14:textId="6A23B91F" w:rsidR="00BE23D7" w:rsidRDefault="00BE23D7" w:rsidP="0081218D">
      <w:pPr>
        <w:spacing w:line="240" w:lineRule="auto"/>
        <w:ind w:firstLine="0"/>
        <w:rPr>
          <w:rFonts w:cstheme="minorHAnsi"/>
          <w:sz w:val="20"/>
          <w:szCs w:val="20"/>
          <w:lang w:val="es-ES"/>
        </w:rPr>
      </w:pPr>
      <w:r w:rsidRPr="00BE23D7">
        <w:rPr>
          <w:rFonts w:cstheme="minorHAnsi"/>
          <w:sz w:val="20"/>
          <w:szCs w:val="20"/>
          <w:lang w:val="es-ES"/>
        </w:rPr>
        <w:t xml:space="preserve">Ya hemos observado en </w:t>
      </w:r>
      <w:r>
        <w:rPr>
          <w:rFonts w:cstheme="minorHAnsi"/>
          <w:sz w:val="20"/>
          <w:szCs w:val="20"/>
          <w:lang w:val="es-ES"/>
        </w:rPr>
        <w:t>fases anteriores que existe una correlación positiva entre ambos indicadores</w:t>
      </w:r>
      <w:r w:rsidR="0081218D">
        <w:rPr>
          <w:rFonts w:cstheme="minorHAnsi"/>
          <w:sz w:val="20"/>
          <w:szCs w:val="20"/>
          <w:lang w:val="es-ES"/>
        </w:rPr>
        <w:t>, sin embargo, sus distribuciones son muy distintas (</w:t>
      </w:r>
      <w:r w:rsidR="0081218D">
        <w:rPr>
          <w:rFonts w:cstheme="minorHAnsi"/>
          <w:b/>
          <w:bCs/>
          <w:sz w:val="20"/>
          <w:szCs w:val="20"/>
          <w:lang w:val="es-ES"/>
        </w:rPr>
        <w:t xml:space="preserve">Figura 05.11 </w:t>
      </w:r>
      <w:r w:rsidR="0081218D">
        <w:rPr>
          <w:rFonts w:cstheme="minorHAnsi"/>
          <w:sz w:val="20"/>
          <w:szCs w:val="20"/>
          <w:lang w:val="es-ES"/>
        </w:rPr>
        <w:t xml:space="preserve">y </w:t>
      </w:r>
      <w:r w:rsidR="0081218D">
        <w:rPr>
          <w:rFonts w:cstheme="minorHAnsi"/>
          <w:b/>
          <w:bCs/>
          <w:sz w:val="20"/>
          <w:szCs w:val="20"/>
          <w:lang w:val="es-ES"/>
        </w:rPr>
        <w:t>Figura 05.1</w:t>
      </w:r>
      <w:r w:rsidR="0081218D">
        <w:rPr>
          <w:rFonts w:cstheme="minorHAnsi"/>
          <w:sz w:val="20"/>
          <w:szCs w:val="20"/>
          <w:lang w:val="es-ES"/>
        </w:rPr>
        <w:t xml:space="preserve">): La distribución del SPI es más simétrica y concentrada en torno a valores medios, indicando que la mayoría de las regiones están en niveles moderados, mientras que la distribución del PIB per cápita es más sesgada hacia la derecha, con una alta variabilidad y una concentración en la parte baja, lo que refleja una brecha significativa entre las regiones </w:t>
      </w:r>
      <w:r w:rsidR="00E01CBF">
        <w:rPr>
          <w:rFonts w:cstheme="minorHAnsi"/>
          <w:sz w:val="20"/>
          <w:szCs w:val="20"/>
          <w:lang w:val="es-ES"/>
        </w:rPr>
        <w:t>más</w:t>
      </w:r>
      <w:r w:rsidR="0081218D">
        <w:rPr>
          <w:rFonts w:cstheme="minorHAnsi"/>
          <w:sz w:val="20"/>
          <w:szCs w:val="20"/>
          <w:lang w:val="es-ES"/>
        </w:rPr>
        <w:t xml:space="preserve"> ricas y </w:t>
      </w:r>
      <w:r w:rsidR="00E01CBF">
        <w:rPr>
          <w:rFonts w:cstheme="minorHAnsi"/>
          <w:sz w:val="20"/>
          <w:szCs w:val="20"/>
          <w:lang w:val="es-ES"/>
        </w:rPr>
        <w:t>más</w:t>
      </w:r>
      <w:r w:rsidR="0081218D">
        <w:rPr>
          <w:rFonts w:cstheme="minorHAnsi"/>
          <w:sz w:val="20"/>
          <w:szCs w:val="20"/>
          <w:lang w:val="es-ES"/>
        </w:rPr>
        <w:t xml:space="preserve"> pobres.</w:t>
      </w:r>
      <w:r w:rsidR="00E01CBF">
        <w:rPr>
          <w:rFonts w:cstheme="minorHAnsi"/>
          <w:sz w:val="20"/>
          <w:szCs w:val="20"/>
          <w:lang w:val="es-ES"/>
        </w:rPr>
        <w:t xml:space="preserve"> </w:t>
      </w:r>
    </w:p>
    <w:p w14:paraId="39A92CD1" w14:textId="77777777" w:rsidR="00E01CBF" w:rsidRDefault="00E01CBF" w:rsidP="0081218D">
      <w:pPr>
        <w:spacing w:line="240" w:lineRule="auto"/>
        <w:ind w:firstLine="0"/>
        <w:rPr>
          <w:rFonts w:cstheme="minorHAnsi"/>
          <w:sz w:val="20"/>
          <w:szCs w:val="20"/>
          <w:lang w:val="es-ES"/>
        </w:rPr>
      </w:pPr>
    </w:p>
    <w:p w14:paraId="0951A296" w14:textId="4A338736" w:rsidR="00E01CBF" w:rsidRDefault="00E01CBF" w:rsidP="0081218D">
      <w:pPr>
        <w:spacing w:line="240" w:lineRule="auto"/>
        <w:ind w:firstLine="0"/>
        <w:rPr>
          <w:rFonts w:cstheme="minorHAnsi"/>
          <w:sz w:val="20"/>
          <w:szCs w:val="20"/>
          <w:lang w:val="es-ES"/>
        </w:rPr>
      </w:pPr>
      <w:r>
        <w:rPr>
          <w:rFonts w:cstheme="minorHAnsi"/>
          <w:sz w:val="20"/>
          <w:szCs w:val="20"/>
          <w:lang w:val="es-ES"/>
        </w:rPr>
        <w:t xml:space="preserve">En la </w:t>
      </w:r>
      <w:r>
        <w:rPr>
          <w:rFonts w:cstheme="minorHAnsi"/>
          <w:b/>
          <w:bCs/>
          <w:sz w:val="20"/>
          <w:szCs w:val="20"/>
          <w:lang w:val="es-ES"/>
        </w:rPr>
        <w:t>Figura 05.14</w:t>
      </w:r>
      <w:r>
        <w:rPr>
          <w:rFonts w:cstheme="minorHAnsi"/>
          <w:sz w:val="20"/>
          <w:szCs w:val="20"/>
          <w:lang w:val="es-ES"/>
        </w:rPr>
        <w:t xml:space="preserve"> visualizamos</w:t>
      </w:r>
      <w:r w:rsidR="006C1D14">
        <w:rPr>
          <w:rFonts w:cstheme="minorHAnsi"/>
          <w:sz w:val="20"/>
          <w:szCs w:val="20"/>
          <w:lang w:val="es-ES"/>
        </w:rPr>
        <w:t xml:space="preserve"> la estructura jerárquica de agrupamiento de los datos en función de cuatro métodos de enlace. Estos métodos afectan la manera en que los clústeres o grupos se combinan en cada paso del proceso jerárquico. De un primer vistazo podemos deducir que el método “Ward”, método que minimiza la varianza dentro de los clústeres, y el método “Complete”, basado en la “distancia” máxima entre cualquier par de datos entre clústeres, ofrecen una separación más clara. Dependiendo de la “altura” en la que cortemos el </w:t>
      </w:r>
      <w:proofErr w:type="spellStart"/>
      <w:r w:rsidR="006C1D14">
        <w:rPr>
          <w:rFonts w:cstheme="minorHAnsi"/>
          <w:sz w:val="20"/>
          <w:szCs w:val="20"/>
          <w:lang w:val="es-ES"/>
        </w:rPr>
        <w:t>dendograma</w:t>
      </w:r>
      <w:proofErr w:type="spellEnd"/>
      <w:r w:rsidR="006C1D14">
        <w:rPr>
          <w:rFonts w:cstheme="minorHAnsi"/>
          <w:sz w:val="20"/>
          <w:szCs w:val="20"/>
          <w:lang w:val="es-ES"/>
        </w:rPr>
        <w:t xml:space="preserve"> </w:t>
      </w:r>
      <w:r w:rsidR="00CB7B3B">
        <w:rPr>
          <w:rFonts w:cstheme="minorHAnsi"/>
          <w:sz w:val="20"/>
          <w:szCs w:val="20"/>
          <w:lang w:val="es-ES"/>
        </w:rPr>
        <w:t>estaría</w:t>
      </w:r>
      <w:r w:rsidR="00A83925">
        <w:rPr>
          <w:rFonts w:cstheme="minorHAnsi"/>
          <w:sz w:val="20"/>
          <w:szCs w:val="20"/>
          <w:lang w:val="es-ES"/>
        </w:rPr>
        <w:t>mos</w:t>
      </w:r>
      <w:r w:rsidR="00CB7B3B">
        <w:rPr>
          <w:rFonts w:cstheme="minorHAnsi"/>
          <w:sz w:val="20"/>
          <w:szCs w:val="20"/>
          <w:lang w:val="es-ES"/>
        </w:rPr>
        <w:t xml:space="preserve"> hablando de entre 4, 5 o 6 grupos diferenciados. Para evaluar </w:t>
      </w:r>
      <w:r w:rsidR="00132858">
        <w:rPr>
          <w:rFonts w:cstheme="minorHAnsi"/>
          <w:sz w:val="20"/>
          <w:szCs w:val="20"/>
          <w:lang w:val="es-ES"/>
        </w:rPr>
        <w:t>qué</w:t>
      </w:r>
      <w:r w:rsidR="00CB7B3B">
        <w:rPr>
          <w:rFonts w:cstheme="minorHAnsi"/>
          <w:sz w:val="20"/>
          <w:szCs w:val="20"/>
          <w:lang w:val="es-ES"/>
        </w:rPr>
        <w:t xml:space="preserve"> número de grupos es el adecuado utilizamos el método Ward y extraemos dos métricas de evaluación: </w:t>
      </w:r>
    </w:p>
    <w:p w14:paraId="5235A9D8" w14:textId="77777777" w:rsidR="00CB7B3B" w:rsidRDefault="00CB7B3B" w:rsidP="0081218D">
      <w:pPr>
        <w:spacing w:line="240" w:lineRule="auto"/>
        <w:ind w:firstLine="0"/>
        <w:rPr>
          <w:rFonts w:cstheme="minorHAnsi"/>
          <w:sz w:val="20"/>
          <w:szCs w:val="20"/>
          <w:lang w:val="es-ES"/>
        </w:rPr>
      </w:pPr>
    </w:p>
    <w:p w14:paraId="36E815A3" w14:textId="6F312D95" w:rsidR="00CB7B3B" w:rsidRDefault="00CB7B3B" w:rsidP="002F727D">
      <w:pPr>
        <w:pStyle w:val="ListParagraph"/>
        <w:numPr>
          <w:ilvl w:val="0"/>
          <w:numId w:val="3"/>
        </w:numPr>
        <w:spacing w:line="240" w:lineRule="auto"/>
        <w:rPr>
          <w:rFonts w:cstheme="minorHAnsi"/>
          <w:sz w:val="20"/>
          <w:szCs w:val="20"/>
          <w:lang w:val="es-ES"/>
        </w:rPr>
      </w:pPr>
      <w:r w:rsidRPr="00CB7B3B">
        <w:rPr>
          <w:rFonts w:cstheme="minorHAnsi"/>
          <w:b/>
          <w:bCs/>
          <w:sz w:val="20"/>
          <w:szCs w:val="20"/>
          <w:lang w:val="es-ES"/>
        </w:rPr>
        <w:t>Silueta</w:t>
      </w:r>
      <w:r w:rsidRPr="00CB7B3B">
        <w:rPr>
          <w:rFonts w:cstheme="minorHAnsi"/>
          <w:sz w:val="20"/>
          <w:szCs w:val="20"/>
          <w:lang w:val="es-ES"/>
        </w:rPr>
        <w:t xml:space="preserve">: </w:t>
      </w:r>
      <w:r>
        <w:rPr>
          <w:rFonts w:cstheme="minorHAnsi"/>
          <w:sz w:val="20"/>
          <w:szCs w:val="20"/>
          <w:lang w:val="es-ES"/>
        </w:rPr>
        <w:t>El</w:t>
      </w:r>
      <w:r w:rsidRPr="00CB7B3B">
        <w:rPr>
          <w:rFonts w:cstheme="minorHAnsi"/>
          <w:sz w:val="20"/>
          <w:szCs w:val="20"/>
          <w:lang w:val="es-ES"/>
        </w:rPr>
        <w:t xml:space="preserve"> coeficiente de silueta mide cómo de bien cada punto está agrupado con respecto a otros puntos en su mismo clúster en comparación con puntos en clústeres diferentes. Cada punto recibe un valor de silueta entre -1 y +1: un valor cercano a +1 indica que el punto está bien agrupado, mientras que un valor cercano a -1 sugiere que el punto podría estar mal agrupado o en el clúster equivocado. </w:t>
      </w:r>
    </w:p>
    <w:p w14:paraId="71BBFBE2" w14:textId="77777777" w:rsidR="00CB7B3B" w:rsidRPr="00CB7B3B" w:rsidRDefault="00CB7B3B" w:rsidP="00CB7B3B">
      <w:pPr>
        <w:pStyle w:val="ListParagraph"/>
        <w:spacing w:line="240" w:lineRule="auto"/>
        <w:ind w:firstLine="0"/>
        <w:rPr>
          <w:rFonts w:cstheme="minorHAnsi"/>
          <w:sz w:val="20"/>
          <w:szCs w:val="20"/>
          <w:lang w:val="es-ES"/>
        </w:rPr>
      </w:pPr>
    </w:p>
    <w:p w14:paraId="12867293" w14:textId="77777777" w:rsidR="00CB7B3B" w:rsidRDefault="00CB7B3B" w:rsidP="00CB7B3B">
      <w:pPr>
        <w:pStyle w:val="ListParagraph"/>
        <w:numPr>
          <w:ilvl w:val="0"/>
          <w:numId w:val="3"/>
        </w:numPr>
        <w:spacing w:line="240" w:lineRule="auto"/>
        <w:rPr>
          <w:rFonts w:cstheme="minorHAnsi"/>
          <w:sz w:val="20"/>
          <w:szCs w:val="20"/>
          <w:lang w:val="es-ES"/>
        </w:rPr>
      </w:pPr>
      <w:r w:rsidRPr="00CB7B3B">
        <w:rPr>
          <w:rFonts w:cstheme="minorHAnsi"/>
          <w:sz w:val="20"/>
          <w:szCs w:val="20"/>
          <w:lang w:val="es-ES"/>
        </w:rPr>
        <w:t xml:space="preserve">El </w:t>
      </w:r>
      <w:r w:rsidRPr="00CB7B3B">
        <w:rPr>
          <w:rFonts w:cstheme="minorHAnsi"/>
          <w:b/>
          <w:bCs/>
          <w:sz w:val="20"/>
          <w:szCs w:val="20"/>
          <w:lang w:val="es-ES"/>
        </w:rPr>
        <w:t xml:space="preserve">índice de </w:t>
      </w:r>
      <w:proofErr w:type="spellStart"/>
      <w:r w:rsidRPr="00CB7B3B">
        <w:rPr>
          <w:rFonts w:cstheme="minorHAnsi"/>
          <w:b/>
          <w:bCs/>
          <w:sz w:val="20"/>
          <w:szCs w:val="20"/>
          <w:lang w:val="es-ES"/>
        </w:rPr>
        <w:t>Calinski-Harabasz</w:t>
      </w:r>
      <w:proofErr w:type="spellEnd"/>
      <w:r>
        <w:rPr>
          <w:rFonts w:cstheme="minorHAnsi"/>
          <w:sz w:val="20"/>
          <w:szCs w:val="20"/>
          <w:lang w:val="es-ES"/>
        </w:rPr>
        <w:t>:</w:t>
      </w:r>
      <w:r w:rsidRPr="00CB7B3B">
        <w:rPr>
          <w:rFonts w:cstheme="minorHAnsi"/>
          <w:sz w:val="20"/>
          <w:szCs w:val="20"/>
          <w:lang w:val="es-ES"/>
        </w:rPr>
        <w:t xml:space="preserve"> también conocido como el índice de varianza </w:t>
      </w:r>
      <w:proofErr w:type="spellStart"/>
      <w:r w:rsidRPr="00CB7B3B">
        <w:rPr>
          <w:rFonts w:cstheme="minorHAnsi"/>
          <w:sz w:val="20"/>
          <w:szCs w:val="20"/>
          <w:lang w:val="es-ES"/>
        </w:rPr>
        <w:t>entre-clústeres</w:t>
      </w:r>
      <w:proofErr w:type="spellEnd"/>
      <w:r>
        <w:rPr>
          <w:rFonts w:cstheme="minorHAnsi"/>
          <w:sz w:val="20"/>
          <w:szCs w:val="20"/>
          <w:lang w:val="es-ES"/>
        </w:rPr>
        <w:t>,</w:t>
      </w:r>
      <w:r w:rsidRPr="00CB7B3B">
        <w:rPr>
          <w:rFonts w:cstheme="minorHAnsi"/>
          <w:sz w:val="20"/>
          <w:szCs w:val="20"/>
          <w:lang w:val="es-ES"/>
        </w:rPr>
        <w:t xml:space="preserve"> mide la compactibilidad de los clústeres y la separación entre ellos. Se basa en comparar la varianza dentro de los clústeres con la varianza entre clústeres. Un valor alto del índice indica que los clústeres están bien separados entre sí y que los puntos dentro de cada clúster son muy similares entre sí, sugiriendo una buena estructura de agrupamiento. En cambio, un valor bajo sugiere que los clústeres pueden estar solapados o que los puntos dentro de los clústeres no son muy homogéneos.</w:t>
      </w:r>
    </w:p>
    <w:p w14:paraId="6405E730" w14:textId="77777777" w:rsidR="005E4163" w:rsidRDefault="005E4163" w:rsidP="005E4163">
      <w:pPr>
        <w:spacing w:line="240" w:lineRule="auto"/>
        <w:ind w:firstLine="0"/>
        <w:rPr>
          <w:rFonts w:cstheme="minorHAnsi"/>
          <w:sz w:val="20"/>
          <w:szCs w:val="20"/>
          <w:lang w:val="es-ES"/>
        </w:rPr>
      </w:pPr>
    </w:p>
    <w:p w14:paraId="19D429B0" w14:textId="2E4ABA3D" w:rsidR="005E4163" w:rsidRPr="005E4163" w:rsidRDefault="005E4163" w:rsidP="005E4163">
      <w:pPr>
        <w:spacing w:line="240" w:lineRule="auto"/>
        <w:ind w:firstLine="0"/>
        <w:rPr>
          <w:rFonts w:cstheme="minorHAnsi"/>
          <w:sz w:val="20"/>
          <w:szCs w:val="20"/>
          <w:lang w:val="es-ES"/>
        </w:rPr>
      </w:pPr>
      <w:r>
        <w:rPr>
          <w:rFonts w:cstheme="minorHAnsi"/>
          <w:sz w:val="20"/>
          <w:szCs w:val="20"/>
          <w:lang w:val="es-ES"/>
        </w:rPr>
        <w:t>Según estas métricas, la segmentación en 4 o 5 grupos parecen las mejores opciones:</w:t>
      </w:r>
    </w:p>
    <w:p w14:paraId="0BEB2B91" w14:textId="6443A7BA" w:rsidR="00CB7B3B" w:rsidRPr="00CB7B3B" w:rsidRDefault="00CB7B3B" w:rsidP="00CB7B3B">
      <w:pPr>
        <w:spacing w:line="240" w:lineRule="auto"/>
        <w:ind w:firstLine="0"/>
        <w:rPr>
          <w:rFonts w:cstheme="minorHAnsi"/>
          <w:sz w:val="20"/>
          <w:szCs w:val="20"/>
          <w:lang w:val="es-ES"/>
        </w:rPr>
      </w:pPr>
      <w:r w:rsidRPr="00CB7B3B">
        <w:rPr>
          <w:rFonts w:cstheme="minorHAnsi"/>
          <w:sz w:val="20"/>
          <w:szCs w:val="20"/>
          <w:lang w:val="es-ES"/>
        </w:rPr>
        <w:t xml:space="preserve"> </w:t>
      </w:r>
    </w:p>
    <w:tbl>
      <w:tblPr>
        <w:tblW w:w="0" w:type="auto"/>
        <w:jc w:val="center"/>
        <w:tblLayout w:type="fixed"/>
        <w:tblLook w:val="0600" w:firstRow="0" w:lastRow="0" w:firstColumn="0" w:lastColumn="0" w:noHBand="1" w:noVBand="1"/>
        <w:tblDescription w:val="Table"/>
      </w:tblPr>
      <w:tblGrid>
        <w:gridCol w:w="1845"/>
        <w:gridCol w:w="1845"/>
        <w:gridCol w:w="1845"/>
      </w:tblGrid>
      <w:tr w:rsidR="00CB7B3B" w14:paraId="7DDE5E37" w14:textId="77777777" w:rsidTr="00132858">
        <w:trPr>
          <w:jc w:val="center"/>
        </w:trPr>
        <w:tc>
          <w:tcPr>
            <w:tcW w:w="1845" w:type="dxa"/>
            <w:tcBorders>
              <w:top w:val="single" w:sz="12" w:space="0" w:color="auto"/>
              <w:bottom w:val="single" w:sz="12" w:space="0" w:color="auto"/>
            </w:tcBorders>
          </w:tcPr>
          <w:p w14:paraId="2CD0F233" w14:textId="4575123A" w:rsidR="00CB7B3B" w:rsidRPr="00CB7B3B" w:rsidRDefault="00CB7B3B" w:rsidP="005E4163">
            <w:pPr>
              <w:pStyle w:val="NoIndent"/>
              <w:spacing w:line="240" w:lineRule="auto"/>
              <w:jc w:val="center"/>
              <w:rPr>
                <w:sz w:val="20"/>
                <w:szCs w:val="20"/>
              </w:rPr>
            </w:pPr>
            <w:r>
              <w:rPr>
                <w:sz w:val="20"/>
                <w:szCs w:val="20"/>
              </w:rPr>
              <w:t>N</w:t>
            </w:r>
            <w:r w:rsidR="005E4163">
              <w:rPr>
                <w:sz w:val="20"/>
                <w:szCs w:val="20"/>
              </w:rPr>
              <w:t>º</w:t>
            </w:r>
            <w:r>
              <w:rPr>
                <w:sz w:val="20"/>
                <w:szCs w:val="20"/>
              </w:rPr>
              <w:t xml:space="preserve"> de </w:t>
            </w:r>
            <w:proofErr w:type="spellStart"/>
            <w:r>
              <w:rPr>
                <w:sz w:val="20"/>
                <w:szCs w:val="20"/>
              </w:rPr>
              <w:t>grupos</w:t>
            </w:r>
            <w:proofErr w:type="spellEnd"/>
          </w:p>
        </w:tc>
        <w:tc>
          <w:tcPr>
            <w:tcW w:w="1845" w:type="dxa"/>
            <w:tcBorders>
              <w:top w:val="single" w:sz="12" w:space="0" w:color="auto"/>
              <w:bottom w:val="single" w:sz="12" w:space="0" w:color="auto"/>
            </w:tcBorders>
          </w:tcPr>
          <w:p w14:paraId="66E86657" w14:textId="0285A30A" w:rsidR="00CB7B3B" w:rsidRPr="00CB7B3B" w:rsidRDefault="00CB7B3B" w:rsidP="005E4163">
            <w:pPr>
              <w:pStyle w:val="NoIndent"/>
              <w:spacing w:line="240" w:lineRule="auto"/>
              <w:jc w:val="center"/>
              <w:rPr>
                <w:sz w:val="20"/>
                <w:szCs w:val="20"/>
              </w:rPr>
            </w:pPr>
            <w:proofErr w:type="spellStart"/>
            <w:r>
              <w:rPr>
                <w:sz w:val="20"/>
                <w:szCs w:val="20"/>
              </w:rPr>
              <w:t>Silueta</w:t>
            </w:r>
            <w:proofErr w:type="spellEnd"/>
          </w:p>
        </w:tc>
        <w:tc>
          <w:tcPr>
            <w:tcW w:w="1845" w:type="dxa"/>
            <w:tcBorders>
              <w:top w:val="single" w:sz="12" w:space="0" w:color="auto"/>
              <w:bottom w:val="single" w:sz="12" w:space="0" w:color="auto"/>
            </w:tcBorders>
          </w:tcPr>
          <w:p w14:paraId="7CAB134F" w14:textId="0BA97D50" w:rsidR="00CB7B3B" w:rsidRPr="00CB7B3B" w:rsidRDefault="00CB7B3B" w:rsidP="005E4163">
            <w:pPr>
              <w:pStyle w:val="NoIndent"/>
              <w:spacing w:line="240" w:lineRule="auto"/>
              <w:jc w:val="center"/>
              <w:rPr>
                <w:sz w:val="20"/>
                <w:szCs w:val="20"/>
              </w:rPr>
            </w:pPr>
            <w:proofErr w:type="spellStart"/>
            <w:r>
              <w:rPr>
                <w:sz w:val="20"/>
                <w:szCs w:val="20"/>
              </w:rPr>
              <w:t>Calinski-Harabasz</w:t>
            </w:r>
            <w:proofErr w:type="spellEnd"/>
          </w:p>
        </w:tc>
      </w:tr>
      <w:tr w:rsidR="00CB7B3B" w14:paraId="61F9A740" w14:textId="77777777" w:rsidTr="00132858">
        <w:trPr>
          <w:jc w:val="center"/>
        </w:trPr>
        <w:tc>
          <w:tcPr>
            <w:tcW w:w="1845" w:type="dxa"/>
            <w:tcBorders>
              <w:top w:val="single" w:sz="12" w:space="0" w:color="auto"/>
            </w:tcBorders>
          </w:tcPr>
          <w:p w14:paraId="56D1617C" w14:textId="2F506C89" w:rsidR="00CB7B3B" w:rsidRPr="00CB7B3B" w:rsidRDefault="005E4163" w:rsidP="005E4163">
            <w:pPr>
              <w:pStyle w:val="NoIndent"/>
              <w:spacing w:line="240" w:lineRule="auto"/>
              <w:jc w:val="center"/>
              <w:rPr>
                <w:sz w:val="20"/>
                <w:szCs w:val="20"/>
              </w:rPr>
            </w:pPr>
            <w:r>
              <w:rPr>
                <w:sz w:val="20"/>
                <w:szCs w:val="20"/>
              </w:rPr>
              <w:t>3</w:t>
            </w:r>
          </w:p>
        </w:tc>
        <w:tc>
          <w:tcPr>
            <w:tcW w:w="1845" w:type="dxa"/>
            <w:tcBorders>
              <w:top w:val="single" w:sz="12" w:space="0" w:color="auto"/>
            </w:tcBorders>
          </w:tcPr>
          <w:p w14:paraId="3995B57A" w14:textId="2C3A98C0" w:rsidR="00CB7B3B" w:rsidRPr="00CB7B3B" w:rsidRDefault="005E4163" w:rsidP="005E4163">
            <w:pPr>
              <w:pStyle w:val="NoIndent"/>
              <w:spacing w:line="240" w:lineRule="auto"/>
              <w:jc w:val="center"/>
              <w:rPr>
                <w:sz w:val="20"/>
                <w:szCs w:val="20"/>
              </w:rPr>
            </w:pPr>
            <w:r>
              <w:rPr>
                <w:sz w:val="20"/>
                <w:szCs w:val="20"/>
              </w:rPr>
              <w:t>0.41</w:t>
            </w:r>
          </w:p>
        </w:tc>
        <w:tc>
          <w:tcPr>
            <w:tcW w:w="1845" w:type="dxa"/>
            <w:tcBorders>
              <w:top w:val="single" w:sz="12" w:space="0" w:color="auto"/>
            </w:tcBorders>
          </w:tcPr>
          <w:p w14:paraId="3F5FE495" w14:textId="3EB65791" w:rsidR="00CB7B3B" w:rsidRPr="00CB7B3B" w:rsidRDefault="005E4163" w:rsidP="005E4163">
            <w:pPr>
              <w:pStyle w:val="NoIndent"/>
              <w:spacing w:line="240" w:lineRule="auto"/>
              <w:jc w:val="center"/>
              <w:rPr>
                <w:sz w:val="20"/>
                <w:szCs w:val="20"/>
              </w:rPr>
            </w:pPr>
            <w:r>
              <w:rPr>
                <w:sz w:val="20"/>
                <w:szCs w:val="20"/>
              </w:rPr>
              <w:t>257.15</w:t>
            </w:r>
          </w:p>
        </w:tc>
      </w:tr>
      <w:tr w:rsidR="00CB7B3B" w14:paraId="7AA3C4BA" w14:textId="77777777" w:rsidTr="00132858">
        <w:trPr>
          <w:jc w:val="center"/>
        </w:trPr>
        <w:tc>
          <w:tcPr>
            <w:tcW w:w="1845" w:type="dxa"/>
          </w:tcPr>
          <w:p w14:paraId="41923E2E" w14:textId="0FD2BE49" w:rsidR="00CB7B3B" w:rsidRPr="00CB7B3B" w:rsidRDefault="005E4163" w:rsidP="005E4163">
            <w:pPr>
              <w:pStyle w:val="NoIndent"/>
              <w:spacing w:line="240" w:lineRule="auto"/>
              <w:jc w:val="center"/>
              <w:rPr>
                <w:sz w:val="20"/>
                <w:szCs w:val="20"/>
              </w:rPr>
            </w:pPr>
            <w:r>
              <w:rPr>
                <w:sz w:val="20"/>
                <w:szCs w:val="20"/>
              </w:rPr>
              <w:t>4</w:t>
            </w:r>
          </w:p>
        </w:tc>
        <w:tc>
          <w:tcPr>
            <w:tcW w:w="1845" w:type="dxa"/>
          </w:tcPr>
          <w:p w14:paraId="22685530" w14:textId="7901330C" w:rsidR="00CB7B3B" w:rsidRPr="00CB7B3B" w:rsidRDefault="005E4163" w:rsidP="005E4163">
            <w:pPr>
              <w:pStyle w:val="NoIndent"/>
              <w:spacing w:line="240" w:lineRule="auto"/>
              <w:jc w:val="center"/>
              <w:rPr>
                <w:sz w:val="20"/>
                <w:szCs w:val="20"/>
              </w:rPr>
            </w:pPr>
            <w:r>
              <w:rPr>
                <w:sz w:val="20"/>
                <w:szCs w:val="20"/>
              </w:rPr>
              <w:t>0.44</w:t>
            </w:r>
          </w:p>
        </w:tc>
        <w:tc>
          <w:tcPr>
            <w:tcW w:w="1845" w:type="dxa"/>
          </w:tcPr>
          <w:p w14:paraId="1798CA30" w14:textId="5A422F8A" w:rsidR="00CB7B3B" w:rsidRPr="00CB7B3B" w:rsidRDefault="005E4163" w:rsidP="005E4163">
            <w:pPr>
              <w:pStyle w:val="NoIndent"/>
              <w:spacing w:line="240" w:lineRule="auto"/>
              <w:jc w:val="center"/>
              <w:rPr>
                <w:sz w:val="20"/>
                <w:szCs w:val="20"/>
              </w:rPr>
            </w:pPr>
            <w:r>
              <w:rPr>
                <w:sz w:val="20"/>
                <w:szCs w:val="20"/>
              </w:rPr>
              <w:t>307.35</w:t>
            </w:r>
          </w:p>
        </w:tc>
      </w:tr>
      <w:tr w:rsidR="00CB7B3B" w14:paraId="30524367" w14:textId="77777777" w:rsidTr="00132858">
        <w:trPr>
          <w:jc w:val="center"/>
        </w:trPr>
        <w:tc>
          <w:tcPr>
            <w:tcW w:w="1845" w:type="dxa"/>
          </w:tcPr>
          <w:p w14:paraId="77BEFCD7" w14:textId="2A075EB9" w:rsidR="00CB7B3B" w:rsidRPr="00CB7B3B" w:rsidRDefault="005E4163" w:rsidP="005E4163">
            <w:pPr>
              <w:pStyle w:val="NoIndent"/>
              <w:spacing w:line="240" w:lineRule="auto"/>
              <w:jc w:val="center"/>
              <w:rPr>
                <w:sz w:val="20"/>
                <w:szCs w:val="20"/>
              </w:rPr>
            </w:pPr>
            <w:r>
              <w:rPr>
                <w:sz w:val="20"/>
                <w:szCs w:val="20"/>
              </w:rPr>
              <w:t>5</w:t>
            </w:r>
          </w:p>
        </w:tc>
        <w:tc>
          <w:tcPr>
            <w:tcW w:w="1845" w:type="dxa"/>
          </w:tcPr>
          <w:p w14:paraId="74F6CC3F" w14:textId="7322F059" w:rsidR="00CB7B3B" w:rsidRPr="00CB7B3B" w:rsidRDefault="005E4163" w:rsidP="005E4163">
            <w:pPr>
              <w:pStyle w:val="NoIndent"/>
              <w:spacing w:line="240" w:lineRule="auto"/>
              <w:jc w:val="center"/>
              <w:rPr>
                <w:sz w:val="20"/>
                <w:szCs w:val="20"/>
              </w:rPr>
            </w:pPr>
            <w:r>
              <w:rPr>
                <w:sz w:val="20"/>
                <w:szCs w:val="20"/>
              </w:rPr>
              <w:t>0.40</w:t>
            </w:r>
          </w:p>
        </w:tc>
        <w:tc>
          <w:tcPr>
            <w:tcW w:w="1845" w:type="dxa"/>
          </w:tcPr>
          <w:p w14:paraId="3B068EBD" w14:textId="4F8DCE8E" w:rsidR="00CB7B3B" w:rsidRPr="00CB7B3B" w:rsidRDefault="005E4163" w:rsidP="005E4163">
            <w:pPr>
              <w:pStyle w:val="NoIndent"/>
              <w:spacing w:line="240" w:lineRule="auto"/>
              <w:jc w:val="center"/>
              <w:rPr>
                <w:sz w:val="20"/>
                <w:szCs w:val="20"/>
              </w:rPr>
            </w:pPr>
            <w:r>
              <w:rPr>
                <w:sz w:val="20"/>
                <w:szCs w:val="20"/>
              </w:rPr>
              <w:t>397.35</w:t>
            </w:r>
          </w:p>
        </w:tc>
      </w:tr>
      <w:tr w:rsidR="00CB7B3B" w14:paraId="391D10E1" w14:textId="77777777" w:rsidTr="00132858">
        <w:trPr>
          <w:jc w:val="center"/>
        </w:trPr>
        <w:tc>
          <w:tcPr>
            <w:tcW w:w="1845" w:type="dxa"/>
            <w:tcBorders>
              <w:bottom w:val="single" w:sz="12" w:space="0" w:color="auto"/>
            </w:tcBorders>
          </w:tcPr>
          <w:p w14:paraId="1A78FB4C" w14:textId="587FC7E4" w:rsidR="00CB7B3B" w:rsidRPr="00CB7B3B" w:rsidRDefault="005E4163" w:rsidP="005E4163">
            <w:pPr>
              <w:pStyle w:val="NoIndent"/>
              <w:spacing w:line="240" w:lineRule="auto"/>
              <w:jc w:val="center"/>
              <w:rPr>
                <w:sz w:val="20"/>
                <w:szCs w:val="20"/>
              </w:rPr>
            </w:pPr>
            <w:r>
              <w:rPr>
                <w:sz w:val="20"/>
                <w:szCs w:val="20"/>
              </w:rPr>
              <w:t>6</w:t>
            </w:r>
          </w:p>
        </w:tc>
        <w:tc>
          <w:tcPr>
            <w:tcW w:w="1845" w:type="dxa"/>
            <w:tcBorders>
              <w:bottom w:val="single" w:sz="12" w:space="0" w:color="auto"/>
            </w:tcBorders>
          </w:tcPr>
          <w:p w14:paraId="2E4D628F" w14:textId="43A5A91F" w:rsidR="00CB7B3B" w:rsidRPr="00CB7B3B" w:rsidRDefault="005E4163" w:rsidP="005E4163">
            <w:pPr>
              <w:pStyle w:val="NoIndent"/>
              <w:spacing w:line="240" w:lineRule="auto"/>
              <w:jc w:val="center"/>
              <w:rPr>
                <w:sz w:val="20"/>
                <w:szCs w:val="20"/>
              </w:rPr>
            </w:pPr>
            <w:r>
              <w:rPr>
                <w:sz w:val="20"/>
                <w:szCs w:val="20"/>
              </w:rPr>
              <w:t>0.38</w:t>
            </w:r>
          </w:p>
        </w:tc>
        <w:tc>
          <w:tcPr>
            <w:tcW w:w="1845" w:type="dxa"/>
            <w:tcBorders>
              <w:bottom w:val="single" w:sz="12" w:space="0" w:color="auto"/>
            </w:tcBorders>
          </w:tcPr>
          <w:p w14:paraId="69CADA85" w14:textId="6AA57D27" w:rsidR="00CB7B3B" w:rsidRPr="00CB7B3B" w:rsidRDefault="005E4163" w:rsidP="005E4163">
            <w:pPr>
              <w:pStyle w:val="NoIndent"/>
              <w:spacing w:line="240" w:lineRule="auto"/>
              <w:jc w:val="center"/>
              <w:rPr>
                <w:sz w:val="20"/>
                <w:szCs w:val="20"/>
              </w:rPr>
            </w:pPr>
            <w:r>
              <w:rPr>
                <w:sz w:val="20"/>
                <w:szCs w:val="20"/>
              </w:rPr>
              <w:t>306.93</w:t>
            </w:r>
          </w:p>
        </w:tc>
      </w:tr>
    </w:tbl>
    <w:p w14:paraId="261BE77B" w14:textId="77777777" w:rsidR="002C64AE" w:rsidRDefault="002C64AE" w:rsidP="002C64AE">
      <w:pPr>
        <w:pStyle w:val="Heading2"/>
        <w:spacing w:line="240" w:lineRule="auto"/>
      </w:pPr>
    </w:p>
    <w:p w14:paraId="77F2153D" w14:textId="77777777" w:rsidR="002C64AE" w:rsidRDefault="002C64AE" w:rsidP="002C64AE">
      <w:pPr>
        <w:pStyle w:val="Heading2"/>
        <w:spacing w:line="240" w:lineRule="auto"/>
      </w:pPr>
    </w:p>
    <w:p w14:paraId="3AC837B2" w14:textId="77777777" w:rsidR="002C64AE" w:rsidRDefault="002C64AE" w:rsidP="002C64AE"/>
    <w:p w14:paraId="589DF2FB" w14:textId="77777777" w:rsidR="002C64AE" w:rsidRDefault="002C64AE" w:rsidP="002C64AE"/>
    <w:p w14:paraId="3918A513" w14:textId="77777777" w:rsidR="002C64AE" w:rsidRPr="002C64AE" w:rsidRDefault="002C64AE" w:rsidP="002C64AE"/>
    <w:p w14:paraId="67D21C7B" w14:textId="77777777" w:rsidR="002C64AE" w:rsidRPr="002C64AE" w:rsidRDefault="002C64AE" w:rsidP="002C64AE">
      <w:pPr>
        <w:spacing w:line="240" w:lineRule="auto"/>
      </w:pPr>
    </w:p>
    <w:p w14:paraId="6FBFBFE5" w14:textId="178C2EF4" w:rsidR="00132858" w:rsidRDefault="00132858" w:rsidP="002C64AE">
      <w:pPr>
        <w:pStyle w:val="Heading2"/>
        <w:spacing w:line="240" w:lineRule="auto"/>
      </w:pPr>
      <w:bookmarkStart w:id="68" w:name="_Toc177028045"/>
      <w:bookmarkStart w:id="69" w:name="_Toc177028207"/>
      <w:r>
        <w:t>V</w:t>
      </w:r>
      <w:r w:rsidR="00FE18DA">
        <w:t>I</w:t>
      </w:r>
      <w:r>
        <w:t xml:space="preserve">.4. </w:t>
      </w:r>
      <w:r w:rsidRPr="00132858">
        <w:t>K-Means Clustering:</w:t>
      </w:r>
      <w:bookmarkEnd w:id="68"/>
      <w:bookmarkEnd w:id="69"/>
    </w:p>
    <w:p w14:paraId="3CBA62B9" w14:textId="77777777" w:rsidR="002C64AE" w:rsidRPr="002C64AE" w:rsidRDefault="002C64AE" w:rsidP="002C64AE">
      <w:pPr>
        <w:spacing w:line="240" w:lineRule="auto"/>
      </w:pPr>
    </w:p>
    <w:p w14:paraId="4A6D1968" w14:textId="1F32F8FD" w:rsidR="00E01CBF" w:rsidRPr="00132858" w:rsidRDefault="00322CD2" w:rsidP="002C64AE">
      <w:pPr>
        <w:spacing w:line="240" w:lineRule="auto"/>
        <w:ind w:firstLine="0"/>
        <w:rPr>
          <w:rFonts w:cstheme="minorHAnsi"/>
          <w:sz w:val="20"/>
          <w:szCs w:val="20"/>
          <w:lang w:val="es-ES"/>
        </w:rPr>
      </w:pPr>
      <w:r>
        <w:rPr>
          <w:rFonts w:cstheme="minorHAnsi"/>
          <w:sz w:val="20"/>
          <w:szCs w:val="20"/>
          <w:lang w:val="es-ES"/>
        </w:rPr>
        <w:t>U</w:t>
      </w:r>
      <w:r w:rsidR="00796B22" w:rsidRPr="00796B22">
        <w:rPr>
          <w:rFonts w:cstheme="minorHAnsi"/>
          <w:sz w:val="20"/>
          <w:szCs w:val="20"/>
          <w:lang w:val="es-ES"/>
        </w:rPr>
        <w:t>tilizamos el métod</w:t>
      </w:r>
      <w:r w:rsidR="00796B22" w:rsidRPr="00A83925">
        <w:rPr>
          <w:rFonts w:cstheme="minorHAnsi"/>
          <w:sz w:val="20"/>
          <w:szCs w:val="20"/>
          <w:lang w:val="es-ES"/>
        </w:rPr>
        <w:t>o K-</w:t>
      </w:r>
      <w:proofErr w:type="spellStart"/>
      <w:r w:rsidR="00796B22" w:rsidRPr="00A83925">
        <w:rPr>
          <w:rFonts w:cstheme="minorHAnsi"/>
          <w:sz w:val="20"/>
          <w:szCs w:val="20"/>
          <w:lang w:val="es-ES"/>
        </w:rPr>
        <w:t>means</w:t>
      </w:r>
      <w:proofErr w:type="spellEnd"/>
      <w:r w:rsidR="00796B22" w:rsidRPr="00A83925">
        <w:rPr>
          <w:rFonts w:cstheme="minorHAnsi"/>
          <w:sz w:val="20"/>
          <w:szCs w:val="20"/>
          <w:lang w:val="es-ES"/>
        </w:rPr>
        <w:t xml:space="preserve"> </w:t>
      </w:r>
      <w:r w:rsidR="00132858" w:rsidRPr="00A83925">
        <w:rPr>
          <w:rFonts w:cstheme="minorHAnsi"/>
          <w:sz w:val="20"/>
          <w:szCs w:val="20"/>
          <w:lang w:val="es-ES"/>
        </w:rPr>
        <w:t>p</w:t>
      </w:r>
      <w:r w:rsidR="00132858" w:rsidRPr="00132858">
        <w:rPr>
          <w:rFonts w:cstheme="minorHAnsi"/>
          <w:sz w:val="20"/>
          <w:szCs w:val="20"/>
          <w:lang w:val="es-ES"/>
        </w:rPr>
        <w:t>ara clasificar los datos en 4 y 5 grupos, evaluando la opción más adecuada a través del método del “codo” y el índice de Davies-</w:t>
      </w:r>
      <w:proofErr w:type="spellStart"/>
      <w:r w:rsidR="00132858" w:rsidRPr="00132858">
        <w:rPr>
          <w:rFonts w:cstheme="minorHAnsi"/>
          <w:sz w:val="20"/>
          <w:szCs w:val="20"/>
          <w:lang w:val="es-ES"/>
        </w:rPr>
        <w:t>Bouldin</w:t>
      </w:r>
      <w:proofErr w:type="spellEnd"/>
      <w:r w:rsidR="00132858">
        <w:rPr>
          <w:rFonts w:cstheme="minorHAnsi"/>
          <w:sz w:val="20"/>
          <w:szCs w:val="20"/>
          <w:lang w:val="es-ES"/>
        </w:rPr>
        <w:t xml:space="preserve">. </w:t>
      </w:r>
      <w:r w:rsidR="00796B22" w:rsidRPr="00796B22">
        <w:rPr>
          <w:rFonts w:cstheme="minorHAnsi"/>
          <w:sz w:val="20"/>
          <w:szCs w:val="20"/>
          <w:lang w:val="es-ES"/>
        </w:rPr>
        <w:t>El método del codo nos ayud</w:t>
      </w:r>
      <w:r>
        <w:rPr>
          <w:rFonts w:cstheme="minorHAnsi"/>
          <w:sz w:val="20"/>
          <w:szCs w:val="20"/>
          <w:lang w:val="es-ES"/>
        </w:rPr>
        <w:t>a</w:t>
      </w:r>
      <w:r w:rsidR="00796B22" w:rsidRPr="00796B22">
        <w:rPr>
          <w:rFonts w:cstheme="minorHAnsi"/>
          <w:sz w:val="20"/>
          <w:szCs w:val="20"/>
          <w:lang w:val="es-ES"/>
        </w:rPr>
        <w:t xml:space="preserve"> a visualizar el punto en el que </w:t>
      </w:r>
      <w:r w:rsidRPr="00796B22">
        <w:rPr>
          <w:rFonts w:cstheme="minorHAnsi"/>
          <w:sz w:val="20"/>
          <w:szCs w:val="20"/>
          <w:lang w:val="es-ES"/>
        </w:rPr>
        <w:t xml:space="preserve">la reducción en la variabilidad interna de los clústeres </w:t>
      </w:r>
      <w:r>
        <w:rPr>
          <w:rFonts w:cstheme="minorHAnsi"/>
          <w:sz w:val="20"/>
          <w:szCs w:val="20"/>
          <w:lang w:val="es-ES"/>
        </w:rPr>
        <w:t>comienza</w:t>
      </w:r>
      <w:r w:rsidR="00796B22" w:rsidRPr="00796B22">
        <w:rPr>
          <w:rFonts w:cstheme="minorHAnsi"/>
          <w:sz w:val="20"/>
          <w:szCs w:val="20"/>
          <w:lang w:val="es-ES"/>
        </w:rPr>
        <w:t xml:space="preserve"> a estabilizarse, confirmando que 4 </w:t>
      </w:r>
      <w:r>
        <w:rPr>
          <w:rFonts w:cstheme="minorHAnsi"/>
          <w:sz w:val="20"/>
          <w:szCs w:val="20"/>
          <w:lang w:val="es-ES"/>
        </w:rPr>
        <w:t>c</w:t>
      </w:r>
      <w:r w:rsidR="00796B22" w:rsidRPr="00796B22">
        <w:rPr>
          <w:rFonts w:cstheme="minorHAnsi"/>
          <w:sz w:val="20"/>
          <w:szCs w:val="20"/>
          <w:lang w:val="es-ES"/>
        </w:rPr>
        <w:t xml:space="preserve">lústeres </w:t>
      </w:r>
      <w:r>
        <w:rPr>
          <w:rFonts w:cstheme="minorHAnsi"/>
          <w:sz w:val="20"/>
          <w:szCs w:val="20"/>
          <w:lang w:val="es-ES"/>
        </w:rPr>
        <w:t xml:space="preserve">es la </w:t>
      </w:r>
      <w:r w:rsidRPr="00796B22">
        <w:rPr>
          <w:rFonts w:cstheme="minorHAnsi"/>
          <w:sz w:val="20"/>
          <w:szCs w:val="20"/>
          <w:lang w:val="es-ES"/>
        </w:rPr>
        <w:t>opción</w:t>
      </w:r>
      <w:r>
        <w:rPr>
          <w:rFonts w:cstheme="minorHAnsi"/>
          <w:sz w:val="20"/>
          <w:szCs w:val="20"/>
          <w:lang w:val="es-ES"/>
        </w:rPr>
        <w:t xml:space="preserve"> más </w:t>
      </w:r>
      <w:r w:rsidR="00796B22" w:rsidRPr="00796B22">
        <w:rPr>
          <w:rFonts w:cstheme="minorHAnsi"/>
          <w:sz w:val="20"/>
          <w:szCs w:val="20"/>
          <w:lang w:val="es-ES"/>
        </w:rPr>
        <w:t>viable</w:t>
      </w:r>
      <w:r>
        <w:rPr>
          <w:rFonts w:cstheme="minorHAnsi"/>
          <w:sz w:val="20"/>
          <w:szCs w:val="20"/>
          <w:lang w:val="es-ES"/>
        </w:rPr>
        <w:t xml:space="preserve"> (</w:t>
      </w:r>
      <w:r>
        <w:rPr>
          <w:rFonts w:cstheme="minorHAnsi"/>
          <w:b/>
          <w:bCs/>
          <w:sz w:val="20"/>
          <w:szCs w:val="20"/>
          <w:lang w:val="es-ES"/>
        </w:rPr>
        <w:t>Figura 05.15)</w:t>
      </w:r>
      <w:r w:rsidR="00796B22" w:rsidRPr="00796B22">
        <w:rPr>
          <w:rFonts w:cstheme="minorHAnsi"/>
          <w:sz w:val="20"/>
          <w:szCs w:val="20"/>
          <w:lang w:val="es-ES"/>
        </w:rPr>
        <w:t xml:space="preserve">. </w:t>
      </w:r>
      <w:r w:rsidR="00132858">
        <w:rPr>
          <w:rFonts w:cstheme="minorHAnsi"/>
          <w:sz w:val="20"/>
          <w:szCs w:val="20"/>
          <w:lang w:val="es-ES"/>
        </w:rPr>
        <w:t>E</w:t>
      </w:r>
      <w:r w:rsidR="00796B22" w:rsidRPr="00796B22">
        <w:rPr>
          <w:rFonts w:cstheme="minorHAnsi"/>
          <w:sz w:val="20"/>
          <w:szCs w:val="20"/>
          <w:lang w:val="es-ES"/>
        </w:rPr>
        <w:t>l índice de Davies-</w:t>
      </w:r>
      <w:proofErr w:type="spellStart"/>
      <w:r w:rsidR="00796B22" w:rsidRPr="00796B22">
        <w:rPr>
          <w:rFonts w:cstheme="minorHAnsi"/>
          <w:sz w:val="20"/>
          <w:szCs w:val="20"/>
          <w:lang w:val="es-ES"/>
        </w:rPr>
        <w:t>Bouldin</w:t>
      </w:r>
      <w:proofErr w:type="spellEnd"/>
      <w:r w:rsidR="00796B22" w:rsidRPr="00796B22">
        <w:rPr>
          <w:rFonts w:cstheme="minorHAnsi"/>
          <w:sz w:val="20"/>
          <w:szCs w:val="20"/>
          <w:lang w:val="es-ES"/>
        </w:rPr>
        <w:t xml:space="preserve"> nos proporcio</w:t>
      </w:r>
      <w:r>
        <w:rPr>
          <w:rFonts w:cstheme="minorHAnsi"/>
          <w:sz w:val="20"/>
          <w:szCs w:val="20"/>
          <w:lang w:val="es-ES"/>
        </w:rPr>
        <w:t>na</w:t>
      </w:r>
      <w:r w:rsidR="00796B22" w:rsidRPr="00796B22">
        <w:rPr>
          <w:rFonts w:cstheme="minorHAnsi"/>
          <w:sz w:val="20"/>
          <w:szCs w:val="20"/>
          <w:lang w:val="es-ES"/>
        </w:rPr>
        <w:t xml:space="preserve"> una medida de la calidad del agrupamiento, evaluando la separación y cohesión de los clústeres</w:t>
      </w:r>
      <w:r>
        <w:rPr>
          <w:rFonts w:cstheme="minorHAnsi"/>
          <w:sz w:val="20"/>
          <w:szCs w:val="20"/>
          <w:lang w:val="es-ES"/>
        </w:rPr>
        <w:t xml:space="preserve"> (</w:t>
      </w:r>
      <w:r>
        <w:rPr>
          <w:rFonts w:cstheme="minorHAnsi"/>
          <w:b/>
          <w:bCs/>
          <w:sz w:val="20"/>
          <w:szCs w:val="20"/>
          <w:lang w:val="es-ES"/>
        </w:rPr>
        <w:t>Figura 05.16)</w:t>
      </w:r>
      <w:r w:rsidR="00796B22" w:rsidRPr="00796B22">
        <w:rPr>
          <w:rFonts w:cstheme="minorHAnsi"/>
          <w:sz w:val="20"/>
          <w:szCs w:val="20"/>
          <w:lang w:val="es-ES"/>
        </w:rPr>
        <w:t xml:space="preserve">. </w:t>
      </w:r>
      <w:r w:rsidRPr="00796B22">
        <w:rPr>
          <w:rFonts w:cstheme="minorHAnsi"/>
          <w:sz w:val="20"/>
          <w:szCs w:val="20"/>
          <w:lang w:val="es-ES"/>
        </w:rPr>
        <w:t xml:space="preserve">Los resultados </w:t>
      </w:r>
      <w:r>
        <w:rPr>
          <w:rFonts w:cstheme="minorHAnsi"/>
          <w:sz w:val="20"/>
          <w:szCs w:val="20"/>
          <w:lang w:val="es-ES"/>
        </w:rPr>
        <w:t>indican</w:t>
      </w:r>
      <w:r w:rsidR="00796B22" w:rsidRPr="00796B22">
        <w:rPr>
          <w:rFonts w:cstheme="minorHAnsi"/>
          <w:sz w:val="20"/>
          <w:szCs w:val="20"/>
          <w:lang w:val="es-ES"/>
        </w:rPr>
        <w:t xml:space="preserve"> que 4 </w:t>
      </w:r>
      <w:r w:rsidR="00132858">
        <w:rPr>
          <w:rFonts w:cstheme="minorHAnsi"/>
          <w:sz w:val="20"/>
          <w:szCs w:val="20"/>
          <w:lang w:val="es-ES"/>
        </w:rPr>
        <w:t>grupos es la opción óptima,</w:t>
      </w:r>
      <w:r>
        <w:rPr>
          <w:rFonts w:cstheme="minorHAnsi"/>
          <w:sz w:val="20"/>
          <w:szCs w:val="20"/>
          <w:lang w:val="es-ES"/>
        </w:rPr>
        <w:t xml:space="preserve"> </w:t>
      </w:r>
      <w:r w:rsidR="00132858" w:rsidRPr="00132858">
        <w:rPr>
          <w:rFonts w:cstheme="minorHAnsi"/>
          <w:sz w:val="20"/>
          <w:szCs w:val="20"/>
          <w:lang w:val="es-ES"/>
        </w:rPr>
        <w:t>aunque explorar 5 grupos puede ser útil para capturar matices adicionales.</w:t>
      </w:r>
    </w:p>
    <w:p w14:paraId="1D10FC2E" w14:textId="77777777" w:rsidR="00132858" w:rsidRDefault="00132858" w:rsidP="0081218D">
      <w:pPr>
        <w:spacing w:line="240" w:lineRule="auto"/>
        <w:ind w:firstLine="0"/>
        <w:rPr>
          <w:rFonts w:cstheme="minorHAnsi"/>
          <w:sz w:val="20"/>
          <w:szCs w:val="20"/>
          <w:lang w:val="es-ES"/>
        </w:rPr>
      </w:pPr>
    </w:p>
    <w:p w14:paraId="794AA8AE" w14:textId="59206D31" w:rsidR="003B12AE" w:rsidRPr="00132858" w:rsidRDefault="00132858" w:rsidP="00132858">
      <w:pPr>
        <w:pStyle w:val="Heading3"/>
        <w:rPr>
          <w:rFonts w:cstheme="minorHAnsi"/>
          <w:b w:val="0"/>
          <w:bCs w:val="0"/>
          <w:sz w:val="20"/>
          <w:szCs w:val="20"/>
          <w:lang w:val="es-ES"/>
        </w:rPr>
      </w:pPr>
      <w:bookmarkStart w:id="70" w:name="_Toc177028046"/>
      <w:bookmarkStart w:id="71" w:name="_Toc177028208"/>
      <w:r w:rsidRPr="00132858">
        <w:rPr>
          <w:sz w:val="20"/>
          <w:szCs w:val="20"/>
          <w:lang w:val="es-ES"/>
        </w:rPr>
        <w:t xml:space="preserve">Clasificación de </w:t>
      </w:r>
      <w:r w:rsidR="003B12AE" w:rsidRPr="00132858">
        <w:rPr>
          <w:sz w:val="20"/>
          <w:szCs w:val="20"/>
          <w:lang w:val="es-ES"/>
        </w:rPr>
        <w:t>4 grupos (Figura 05.17 y Figura 05.18)</w:t>
      </w:r>
      <w:r w:rsidRPr="00132858">
        <w:rPr>
          <w:sz w:val="20"/>
          <w:szCs w:val="20"/>
          <w:lang w:val="es-ES"/>
        </w:rPr>
        <w:t>:</w:t>
      </w:r>
      <w:bookmarkEnd w:id="70"/>
      <w:bookmarkEnd w:id="71"/>
    </w:p>
    <w:p w14:paraId="2C6E9231" w14:textId="0F69D83C" w:rsidR="003B12AE" w:rsidRPr="00FE18DA" w:rsidRDefault="003B12AE" w:rsidP="00FE18DA">
      <w:pPr>
        <w:pStyle w:val="ListParagraph"/>
        <w:numPr>
          <w:ilvl w:val="0"/>
          <w:numId w:val="19"/>
        </w:numPr>
        <w:spacing w:line="240" w:lineRule="auto"/>
        <w:rPr>
          <w:rFonts w:cstheme="minorHAnsi"/>
          <w:sz w:val="20"/>
          <w:szCs w:val="20"/>
          <w:lang w:val="es-ES"/>
        </w:rPr>
      </w:pPr>
      <w:r w:rsidRPr="00FE18DA">
        <w:rPr>
          <w:rFonts w:cstheme="minorHAnsi"/>
          <w:sz w:val="20"/>
          <w:szCs w:val="20"/>
          <w:lang w:val="es-ES"/>
        </w:rPr>
        <w:t>Regiones con PIB muy bajo</w:t>
      </w:r>
      <w:r w:rsidR="00FE18DA">
        <w:rPr>
          <w:rFonts w:cstheme="minorHAnsi"/>
          <w:sz w:val="20"/>
          <w:szCs w:val="20"/>
          <w:lang w:val="es-ES"/>
        </w:rPr>
        <w:t xml:space="preserve"> </w:t>
      </w:r>
      <w:r w:rsidRPr="00FE18DA">
        <w:rPr>
          <w:rFonts w:cstheme="minorHAnsi"/>
          <w:sz w:val="20"/>
          <w:szCs w:val="20"/>
          <w:lang w:val="es-ES"/>
        </w:rPr>
        <w:t>y SPI entre mínimo y medio.</w:t>
      </w:r>
    </w:p>
    <w:p w14:paraId="14131D12" w14:textId="7FEA29A9" w:rsidR="003B12AE" w:rsidRPr="00FE18DA" w:rsidRDefault="003B12AE" w:rsidP="00FE18DA">
      <w:pPr>
        <w:pStyle w:val="ListParagraph"/>
        <w:numPr>
          <w:ilvl w:val="0"/>
          <w:numId w:val="19"/>
        </w:numPr>
        <w:spacing w:line="240" w:lineRule="auto"/>
        <w:rPr>
          <w:rFonts w:cstheme="minorHAnsi"/>
          <w:sz w:val="20"/>
          <w:szCs w:val="20"/>
          <w:lang w:val="es-ES"/>
        </w:rPr>
      </w:pPr>
      <w:r w:rsidRPr="00FE18DA">
        <w:rPr>
          <w:rFonts w:cstheme="minorHAnsi"/>
          <w:sz w:val="20"/>
          <w:szCs w:val="20"/>
          <w:lang w:val="es-ES"/>
        </w:rPr>
        <w:t xml:space="preserve">Regiones PIB </w:t>
      </w:r>
      <w:r w:rsidR="00FE18DA">
        <w:rPr>
          <w:rFonts w:cstheme="minorHAnsi"/>
          <w:sz w:val="20"/>
          <w:szCs w:val="20"/>
          <w:lang w:val="es-ES"/>
        </w:rPr>
        <w:t xml:space="preserve">bajo </w:t>
      </w:r>
      <w:r w:rsidR="00FE18DA" w:rsidRPr="00FE18DA">
        <w:rPr>
          <w:rFonts w:cstheme="minorHAnsi"/>
          <w:sz w:val="20"/>
          <w:szCs w:val="20"/>
          <w:lang w:val="es-ES"/>
        </w:rPr>
        <w:t>y SPI</w:t>
      </w:r>
      <w:r w:rsidR="00FE18DA">
        <w:rPr>
          <w:rFonts w:cstheme="minorHAnsi"/>
          <w:sz w:val="20"/>
          <w:szCs w:val="20"/>
          <w:lang w:val="es-ES"/>
        </w:rPr>
        <w:t xml:space="preserve"> medio-alto</w:t>
      </w:r>
      <w:r w:rsidRPr="00FE18DA">
        <w:rPr>
          <w:rFonts w:cstheme="minorHAnsi"/>
          <w:sz w:val="20"/>
          <w:szCs w:val="20"/>
          <w:lang w:val="es-ES"/>
        </w:rPr>
        <w:t>.</w:t>
      </w:r>
    </w:p>
    <w:p w14:paraId="174B0074" w14:textId="62962571" w:rsidR="003B12AE" w:rsidRPr="00FE18DA" w:rsidRDefault="00FE18DA" w:rsidP="00FE18DA">
      <w:pPr>
        <w:pStyle w:val="ListParagraph"/>
        <w:numPr>
          <w:ilvl w:val="0"/>
          <w:numId w:val="19"/>
        </w:numPr>
        <w:spacing w:line="240" w:lineRule="auto"/>
        <w:rPr>
          <w:rFonts w:cstheme="minorHAnsi"/>
          <w:sz w:val="20"/>
          <w:szCs w:val="20"/>
          <w:lang w:val="es-ES"/>
        </w:rPr>
      </w:pPr>
      <w:r w:rsidRPr="00FE18DA">
        <w:rPr>
          <w:rFonts w:cstheme="minorHAnsi"/>
          <w:sz w:val="20"/>
          <w:szCs w:val="20"/>
          <w:lang w:val="es-ES"/>
        </w:rPr>
        <w:t>Regiones con PIB medio y SPI medio-alto</w:t>
      </w:r>
      <w:r w:rsidR="003B12AE" w:rsidRPr="00FE18DA">
        <w:rPr>
          <w:rFonts w:cstheme="minorHAnsi"/>
          <w:sz w:val="20"/>
          <w:szCs w:val="20"/>
          <w:lang w:val="es-ES"/>
        </w:rPr>
        <w:t>.</w:t>
      </w:r>
    </w:p>
    <w:p w14:paraId="225C1884" w14:textId="77777777" w:rsidR="00FE18DA" w:rsidRDefault="00FE18DA" w:rsidP="00FE18DA">
      <w:pPr>
        <w:pStyle w:val="ListParagraph"/>
        <w:numPr>
          <w:ilvl w:val="0"/>
          <w:numId w:val="19"/>
        </w:numPr>
        <w:spacing w:line="240" w:lineRule="auto"/>
        <w:rPr>
          <w:rFonts w:cstheme="minorHAnsi"/>
          <w:sz w:val="20"/>
          <w:szCs w:val="20"/>
          <w:lang w:val="es-ES"/>
        </w:rPr>
      </w:pPr>
      <w:r w:rsidRPr="00FE18DA">
        <w:rPr>
          <w:rFonts w:cstheme="minorHAnsi"/>
          <w:sz w:val="20"/>
          <w:szCs w:val="20"/>
          <w:lang w:val="es-ES"/>
        </w:rPr>
        <w:t>Regiones con PIB alto y SPI medio-alto</w:t>
      </w:r>
      <w:r w:rsidR="003B12AE" w:rsidRPr="00FE18DA">
        <w:rPr>
          <w:rFonts w:cstheme="minorHAnsi"/>
          <w:sz w:val="20"/>
          <w:szCs w:val="20"/>
          <w:lang w:val="es-ES"/>
        </w:rPr>
        <w:t xml:space="preserve">. </w:t>
      </w:r>
    </w:p>
    <w:p w14:paraId="28F64BD7" w14:textId="77777777" w:rsidR="00FE18DA" w:rsidRPr="00FE18DA" w:rsidRDefault="00FE18DA" w:rsidP="00FE18DA">
      <w:pPr>
        <w:spacing w:line="240" w:lineRule="auto"/>
        <w:ind w:left="360" w:firstLine="0"/>
        <w:rPr>
          <w:rFonts w:cstheme="minorHAnsi"/>
          <w:sz w:val="20"/>
          <w:szCs w:val="20"/>
          <w:lang w:val="es-ES"/>
        </w:rPr>
      </w:pPr>
    </w:p>
    <w:p w14:paraId="55273370" w14:textId="1AF27420" w:rsidR="003B12AE" w:rsidRPr="00FE18DA" w:rsidRDefault="00FE18DA" w:rsidP="00FE18DA">
      <w:pPr>
        <w:spacing w:line="240" w:lineRule="auto"/>
        <w:ind w:firstLine="0"/>
        <w:rPr>
          <w:rFonts w:cstheme="minorHAnsi"/>
          <w:sz w:val="20"/>
          <w:szCs w:val="20"/>
          <w:lang w:val="es-ES"/>
        </w:rPr>
      </w:pPr>
      <w:r>
        <w:rPr>
          <w:rFonts w:cstheme="minorHAnsi"/>
          <w:sz w:val="20"/>
          <w:szCs w:val="20"/>
          <w:lang w:val="es-ES"/>
        </w:rPr>
        <w:t>El</w:t>
      </w:r>
      <w:r w:rsidR="003B12AE" w:rsidRPr="00FE18DA">
        <w:rPr>
          <w:rFonts w:cstheme="minorHAnsi"/>
          <w:sz w:val="20"/>
          <w:szCs w:val="20"/>
          <w:lang w:val="es-ES"/>
        </w:rPr>
        <w:t xml:space="preserve"> último grupo</w:t>
      </w:r>
      <w:r>
        <w:rPr>
          <w:rFonts w:cstheme="minorHAnsi"/>
          <w:sz w:val="20"/>
          <w:szCs w:val="20"/>
          <w:lang w:val="es-ES"/>
        </w:rPr>
        <w:t xml:space="preserve">, con PIB más alto, </w:t>
      </w:r>
      <w:r w:rsidR="003B12AE" w:rsidRPr="00FE18DA">
        <w:rPr>
          <w:rFonts w:cstheme="minorHAnsi"/>
          <w:sz w:val="20"/>
          <w:szCs w:val="20"/>
          <w:lang w:val="es-ES"/>
        </w:rPr>
        <w:t>es muy pequeño</w:t>
      </w:r>
      <w:r w:rsidR="00696B7E" w:rsidRPr="00FE18DA">
        <w:rPr>
          <w:rFonts w:cstheme="minorHAnsi"/>
          <w:sz w:val="20"/>
          <w:szCs w:val="20"/>
          <w:lang w:val="es-ES"/>
        </w:rPr>
        <w:t xml:space="preserve">, </w:t>
      </w:r>
      <w:r>
        <w:rPr>
          <w:rFonts w:cstheme="minorHAnsi"/>
          <w:sz w:val="20"/>
          <w:szCs w:val="20"/>
          <w:lang w:val="es-ES"/>
        </w:rPr>
        <w:t>formado por</w:t>
      </w:r>
      <w:r w:rsidR="00696B7E" w:rsidRPr="00FE18DA">
        <w:rPr>
          <w:rFonts w:cstheme="minorHAnsi"/>
          <w:sz w:val="20"/>
          <w:szCs w:val="20"/>
          <w:lang w:val="es-ES"/>
        </w:rPr>
        <w:t xml:space="preserve"> las regiones que alargan la cola de la distribución del PIB muy a la derecha (</w:t>
      </w:r>
      <w:r w:rsidR="00696B7E" w:rsidRPr="00FE18DA">
        <w:rPr>
          <w:rFonts w:cstheme="minorHAnsi"/>
          <w:b/>
          <w:bCs/>
          <w:sz w:val="20"/>
          <w:szCs w:val="20"/>
          <w:lang w:val="es-ES"/>
        </w:rPr>
        <w:t>Figura 05.11</w:t>
      </w:r>
      <w:r w:rsidR="00696B7E" w:rsidRPr="00FE18DA">
        <w:rPr>
          <w:rFonts w:cstheme="minorHAnsi"/>
          <w:sz w:val="20"/>
          <w:szCs w:val="20"/>
          <w:lang w:val="es-ES"/>
        </w:rPr>
        <w:t>)</w:t>
      </w:r>
    </w:p>
    <w:p w14:paraId="3DFC0872" w14:textId="77777777" w:rsidR="00696B7E" w:rsidRDefault="00696B7E" w:rsidP="00696B7E">
      <w:pPr>
        <w:pStyle w:val="ListParagraph"/>
        <w:spacing w:line="240" w:lineRule="auto"/>
        <w:ind w:firstLine="0"/>
        <w:rPr>
          <w:rFonts w:cstheme="minorHAnsi"/>
          <w:sz w:val="20"/>
          <w:szCs w:val="20"/>
          <w:lang w:val="es-ES"/>
        </w:rPr>
      </w:pPr>
    </w:p>
    <w:tbl>
      <w:tblPr>
        <w:tblW w:w="0" w:type="auto"/>
        <w:jc w:val="center"/>
        <w:tblLayout w:type="fixed"/>
        <w:tblLook w:val="0600" w:firstRow="0" w:lastRow="0" w:firstColumn="0" w:lastColumn="0" w:noHBand="1" w:noVBand="1"/>
        <w:tblDescription w:val="Table"/>
      </w:tblPr>
      <w:tblGrid>
        <w:gridCol w:w="1845"/>
        <w:gridCol w:w="1845"/>
        <w:gridCol w:w="1845"/>
      </w:tblGrid>
      <w:tr w:rsidR="00696B7E" w14:paraId="7B679F86" w14:textId="77777777" w:rsidTr="008308E3">
        <w:trPr>
          <w:jc w:val="center"/>
        </w:trPr>
        <w:tc>
          <w:tcPr>
            <w:tcW w:w="1845" w:type="dxa"/>
            <w:tcBorders>
              <w:top w:val="single" w:sz="12" w:space="0" w:color="auto"/>
              <w:bottom w:val="single" w:sz="12" w:space="0" w:color="auto"/>
            </w:tcBorders>
          </w:tcPr>
          <w:p w14:paraId="243CD80C" w14:textId="32E3017A" w:rsidR="00696B7E" w:rsidRPr="00CB7B3B" w:rsidRDefault="00696B7E" w:rsidP="00696B7E">
            <w:pPr>
              <w:pStyle w:val="NoIndent"/>
              <w:spacing w:line="240" w:lineRule="auto"/>
              <w:jc w:val="center"/>
              <w:rPr>
                <w:sz w:val="20"/>
                <w:szCs w:val="20"/>
              </w:rPr>
            </w:pPr>
            <w:r>
              <w:rPr>
                <w:sz w:val="20"/>
                <w:szCs w:val="20"/>
              </w:rPr>
              <w:t>Grupo</w:t>
            </w:r>
          </w:p>
        </w:tc>
        <w:tc>
          <w:tcPr>
            <w:tcW w:w="1845" w:type="dxa"/>
            <w:tcBorders>
              <w:top w:val="single" w:sz="12" w:space="0" w:color="auto"/>
              <w:bottom w:val="single" w:sz="12" w:space="0" w:color="auto"/>
            </w:tcBorders>
          </w:tcPr>
          <w:p w14:paraId="4D39046C" w14:textId="28558D4D" w:rsidR="00696B7E" w:rsidRPr="00CB7B3B" w:rsidRDefault="00696B7E" w:rsidP="00696B7E">
            <w:pPr>
              <w:pStyle w:val="NoIndent"/>
              <w:spacing w:line="240" w:lineRule="auto"/>
              <w:jc w:val="center"/>
              <w:rPr>
                <w:sz w:val="20"/>
                <w:szCs w:val="20"/>
              </w:rPr>
            </w:pPr>
            <w:r>
              <w:rPr>
                <w:sz w:val="20"/>
                <w:szCs w:val="20"/>
              </w:rPr>
              <w:t>GPD</w:t>
            </w:r>
          </w:p>
        </w:tc>
        <w:tc>
          <w:tcPr>
            <w:tcW w:w="1845" w:type="dxa"/>
            <w:tcBorders>
              <w:top w:val="single" w:sz="12" w:space="0" w:color="auto"/>
              <w:bottom w:val="single" w:sz="12" w:space="0" w:color="auto"/>
            </w:tcBorders>
          </w:tcPr>
          <w:p w14:paraId="1F6B88B1" w14:textId="5C2CA424" w:rsidR="00696B7E" w:rsidRPr="00CB7B3B" w:rsidRDefault="00696B7E" w:rsidP="00696B7E">
            <w:pPr>
              <w:pStyle w:val="NoIndent"/>
              <w:spacing w:line="240" w:lineRule="auto"/>
              <w:jc w:val="center"/>
              <w:rPr>
                <w:sz w:val="20"/>
                <w:szCs w:val="20"/>
              </w:rPr>
            </w:pPr>
            <w:r>
              <w:rPr>
                <w:sz w:val="20"/>
                <w:szCs w:val="20"/>
              </w:rPr>
              <w:t>SPI</w:t>
            </w:r>
          </w:p>
        </w:tc>
      </w:tr>
      <w:tr w:rsidR="00696B7E" w14:paraId="0F8D3619" w14:textId="77777777" w:rsidTr="008308E3">
        <w:trPr>
          <w:jc w:val="center"/>
        </w:trPr>
        <w:tc>
          <w:tcPr>
            <w:tcW w:w="1845" w:type="dxa"/>
            <w:tcBorders>
              <w:top w:val="single" w:sz="12" w:space="0" w:color="auto"/>
            </w:tcBorders>
          </w:tcPr>
          <w:p w14:paraId="515FE4D8" w14:textId="065D0A59" w:rsidR="00696B7E" w:rsidRPr="00CB7B3B" w:rsidRDefault="00696B7E" w:rsidP="00696B7E">
            <w:pPr>
              <w:pStyle w:val="NoIndent"/>
              <w:spacing w:line="240" w:lineRule="auto"/>
              <w:jc w:val="center"/>
              <w:rPr>
                <w:sz w:val="20"/>
                <w:szCs w:val="20"/>
              </w:rPr>
            </w:pPr>
            <w:r>
              <w:rPr>
                <w:sz w:val="20"/>
                <w:szCs w:val="20"/>
              </w:rPr>
              <w:t>1</w:t>
            </w:r>
          </w:p>
        </w:tc>
        <w:tc>
          <w:tcPr>
            <w:tcW w:w="1845" w:type="dxa"/>
            <w:tcBorders>
              <w:top w:val="single" w:sz="12" w:space="0" w:color="auto"/>
            </w:tcBorders>
          </w:tcPr>
          <w:p w14:paraId="66DB1466" w14:textId="5285AF33" w:rsidR="00696B7E" w:rsidRPr="00CB7B3B" w:rsidRDefault="00F37EC4" w:rsidP="00696B7E">
            <w:pPr>
              <w:pStyle w:val="NoIndent"/>
              <w:spacing w:line="240" w:lineRule="auto"/>
              <w:jc w:val="center"/>
              <w:rPr>
                <w:sz w:val="20"/>
                <w:szCs w:val="20"/>
              </w:rPr>
            </w:pPr>
            <w:r>
              <w:rPr>
                <w:sz w:val="20"/>
                <w:szCs w:val="20"/>
              </w:rPr>
              <w:t>0</w:t>
            </w:r>
            <w:r w:rsidR="00696B7E">
              <w:rPr>
                <w:sz w:val="20"/>
                <w:szCs w:val="20"/>
              </w:rPr>
              <w:t>0.00 - 20.93</w:t>
            </w:r>
          </w:p>
        </w:tc>
        <w:tc>
          <w:tcPr>
            <w:tcW w:w="1845" w:type="dxa"/>
            <w:tcBorders>
              <w:top w:val="single" w:sz="12" w:space="0" w:color="auto"/>
            </w:tcBorders>
          </w:tcPr>
          <w:p w14:paraId="7DAA7667" w14:textId="47CF2E13" w:rsidR="00696B7E" w:rsidRPr="00CB7B3B" w:rsidRDefault="00696B7E" w:rsidP="00696B7E">
            <w:pPr>
              <w:pStyle w:val="NoIndent"/>
              <w:spacing w:line="240" w:lineRule="auto"/>
              <w:jc w:val="center"/>
              <w:rPr>
                <w:sz w:val="20"/>
                <w:szCs w:val="20"/>
              </w:rPr>
            </w:pPr>
            <w:r>
              <w:rPr>
                <w:sz w:val="20"/>
                <w:szCs w:val="20"/>
              </w:rPr>
              <w:t>24.72 - 58.23</w:t>
            </w:r>
          </w:p>
        </w:tc>
      </w:tr>
      <w:tr w:rsidR="00696B7E" w14:paraId="7A4FCCD7" w14:textId="77777777" w:rsidTr="008308E3">
        <w:trPr>
          <w:jc w:val="center"/>
        </w:trPr>
        <w:tc>
          <w:tcPr>
            <w:tcW w:w="1845" w:type="dxa"/>
          </w:tcPr>
          <w:p w14:paraId="3761071E" w14:textId="73E212D6" w:rsidR="00696B7E" w:rsidRPr="00CB7B3B" w:rsidRDefault="00696B7E" w:rsidP="00696B7E">
            <w:pPr>
              <w:pStyle w:val="NoIndent"/>
              <w:spacing w:line="240" w:lineRule="auto"/>
              <w:jc w:val="center"/>
              <w:rPr>
                <w:sz w:val="20"/>
                <w:szCs w:val="20"/>
              </w:rPr>
            </w:pPr>
            <w:r>
              <w:rPr>
                <w:sz w:val="20"/>
                <w:szCs w:val="20"/>
              </w:rPr>
              <w:t>2</w:t>
            </w:r>
          </w:p>
        </w:tc>
        <w:tc>
          <w:tcPr>
            <w:tcW w:w="1845" w:type="dxa"/>
          </w:tcPr>
          <w:p w14:paraId="205ADFEB" w14:textId="6D9F164F" w:rsidR="00696B7E" w:rsidRPr="00CB7B3B" w:rsidRDefault="00F37EC4" w:rsidP="00696B7E">
            <w:pPr>
              <w:pStyle w:val="NoIndent"/>
              <w:spacing w:line="240" w:lineRule="auto"/>
              <w:jc w:val="center"/>
              <w:rPr>
                <w:sz w:val="20"/>
                <w:szCs w:val="20"/>
              </w:rPr>
            </w:pPr>
            <w:r>
              <w:rPr>
                <w:sz w:val="20"/>
                <w:szCs w:val="20"/>
              </w:rPr>
              <w:t>0</w:t>
            </w:r>
            <w:r w:rsidR="00696B7E">
              <w:rPr>
                <w:sz w:val="20"/>
                <w:szCs w:val="20"/>
              </w:rPr>
              <w:t xml:space="preserve">7.07 - 31.93 </w:t>
            </w:r>
          </w:p>
        </w:tc>
        <w:tc>
          <w:tcPr>
            <w:tcW w:w="1845" w:type="dxa"/>
          </w:tcPr>
          <w:p w14:paraId="594D01ED" w14:textId="6B4F0530" w:rsidR="00696B7E" w:rsidRPr="00CB7B3B" w:rsidRDefault="00696B7E" w:rsidP="00696B7E">
            <w:pPr>
              <w:pStyle w:val="NoIndent"/>
              <w:spacing w:line="240" w:lineRule="auto"/>
              <w:jc w:val="center"/>
              <w:rPr>
                <w:sz w:val="20"/>
                <w:szCs w:val="20"/>
              </w:rPr>
            </w:pPr>
            <w:r>
              <w:rPr>
                <w:sz w:val="20"/>
                <w:szCs w:val="20"/>
              </w:rPr>
              <w:t>46.79 - 71.32</w:t>
            </w:r>
          </w:p>
        </w:tc>
      </w:tr>
      <w:tr w:rsidR="00696B7E" w14:paraId="0411F7B8" w14:textId="77777777" w:rsidTr="008308E3">
        <w:trPr>
          <w:jc w:val="center"/>
        </w:trPr>
        <w:tc>
          <w:tcPr>
            <w:tcW w:w="1845" w:type="dxa"/>
          </w:tcPr>
          <w:p w14:paraId="62725BF3" w14:textId="7D2B214C" w:rsidR="00696B7E" w:rsidRPr="00CB7B3B" w:rsidRDefault="00696B7E" w:rsidP="00696B7E">
            <w:pPr>
              <w:pStyle w:val="NoIndent"/>
              <w:spacing w:line="240" w:lineRule="auto"/>
              <w:jc w:val="center"/>
              <w:rPr>
                <w:sz w:val="20"/>
                <w:szCs w:val="20"/>
              </w:rPr>
            </w:pPr>
            <w:r>
              <w:rPr>
                <w:sz w:val="20"/>
                <w:szCs w:val="20"/>
              </w:rPr>
              <w:t>3</w:t>
            </w:r>
          </w:p>
        </w:tc>
        <w:tc>
          <w:tcPr>
            <w:tcW w:w="1845" w:type="dxa"/>
          </w:tcPr>
          <w:p w14:paraId="583E5F41" w14:textId="6199E945" w:rsidR="00696B7E" w:rsidRPr="00CB7B3B" w:rsidRDefault="00696B7E" w:rsidP="00696B7E">
            <w:pPr>
              <w:pStyle w:val="NoIndent"/>
              <w:spacing w:line="240" w:lineRule="auto"/>
              <w:jc w:val="center"/>
              <w:rPr>
                <w:sz w:val="20"/>
                <w:szCs w:val="20"/>
              </w:rPr>
            </w:pPr>
            <w:r>
              <w:rPr>
                <w:sz w:val="20"/>
                <w:szCs w:val="20"/>
              </w:rPr>
              <w:t>24.40 - 56.62</w:t>
            </w:r>
          </w:p>
        </w:tc>
        <w:tc>
          <w:tcPr>
            <w:tcW w:w="1845" w:type="dxa"/>
          </w:tcPr>
          <w:p w14:paraId="6BD9229E" w14:textId="3FC2CA43" w:rsidR="00696B7E" w:rsidRPr="00CB7B3B" w:rsidRDefault="00696B7E" w:rsidP="00696B7E">
            <w:pPr>
              <w:pStyle w:val="NoIndent"/>
              <w:spacing w:line="240" w:lineRule="auto"/>
              <w:jc w:val="center"/>
              <w:rPr>
                <w:sz w:val="20"/>
                <w:szCs w:val="20"/>
              </w:rPr>
            </w:pPr>
            <w:r>
              <w:rPr>
                <w:sz w:val="20"/>
                <w:szCs w:val="20"/>
              </w:rPr>
              <w:t>62.48 - 84.63</w:t>
            </w:r>
          </w:p>
        </w:tc>
      </w:tr>
      <w:tr w:rsidR="00696B7E" w14:paraId="6A756F66" w14:textId="77777777" w:rsidTr="008308E3">
        <w:trPr>
          <w:jc w:val="center"/>
        </w:trPr>
        <w:tc>
          <w:tcPr>
            <w:tcW w:w="1845" w:type="dxa"/>
            <w:tcBorders>
              <w:bottom w:val="single" w:sz="12" w:space="0" w:color="auto"/>
            </w:tcBorders>
          </w:tcPr>
          <w:p w14:paraId="40590C1C" w14:textId="4B5EE67D" w:rsidR="00696B7E" w:rsidRPr="00CB7B3B" w:rsidRDefault="00696B7E" w:rsidP="00696B7E">
            <w:pPr>
              <w:pStyle w:val="NoIndent"/>
              <w:spacing w:line="240" w:lineRule="auto"/>
              <w:jc w:val="center"/>
              <w:rPr>
                <w:sz w:val="20"/>
                <w:szCs w:val="20"/>
              </w:rPr>
            </w:pPr>
            <w:r>
              <w:rPr>
                <w:sz w:val="20"/>
                <w:szCs w:val="20"/>
              </w:rPr>
              <w:t>4</w:t>
            </w:r>
          </w:p>
        </w:tc>
        <w:tc>
          <w:tcPr>
            <w:tcW w:w="1845" w:type="dxa"/>
            <w:tcBorders>
              <w:bottom w:val="single" w:sz="12" w:space="0" w:color="auto"/>
            </w:tcBorders>
          </w:tcPr>
          <w:p w14:paraId="333265D7" w14:textId="2907AAD6" w:rsidR="00696B7E" w:rsidRPr="00CB7B3B" w:rsidRDefault="00F37EC4" w:rsidP="00F37EC4">
            <w:pPr>
              <w:pStyle w:val="NoIndent"/>
              <w:spacing w:line="240" w:lineRule="auto"/>
              <w:rPr>
                <w:sz w:val="20"/>
                <w:szCs w:val="20"/>
              </w:rPr>
            </w:pPr>
            <w:r>
              <w:rPr>
                <w:sz w:val="20"/>
                <w:szCs w:val="20"/>
              </w:rPr>
              <w:t xml:space="preserve">      </w:t>
            </w:r>
            <w:r w:rsidR="00696B7E">
              <w:rPr>
                <w:sz w:val="20"/>
                <w:szCs w:val="20"/>
              </w:rPr>
              <w:t xml:space="preserve">61.54 </w:t>
            </w:r>
            <w:r>
              <w:rPr>
                <w:sz w:val="20"/>
                <w:szCs w:val="20"/>
              </w:rPr>
              <w:t>-</w:t>
            </w:r>
            <w:r w:rsidR="00696B7E">
              <w:rPr>
                <w:sz w:val="20"/>
                <w:szCs w:val="20"/>
              </w:rPr>
              <w:t xml:space="preserve"> 100</w:t>
            </w:r>
            <w:r>
              <w:rPr>
                <w:sz w:val="20"/>
                <w:szCs w:val="20"/>
              </w:rPr>
              <w:t>.00</w:t>
            </w:r>
          </w:p>
        </w:tc>
        <w:tc>
          <w:tcPr>
            <w:tcW w:w="1845" w:type="dxa"/>
            <w:tcBorders>
              <w:bottom w:val="single" w:sz="12" w:space="0" w:color="auto"/>
            </w:tcBorders>
          </w:tcPr>
          <w:p w14:paraId="2F79B083" w14:textId="3142B7AB" w:rsidR="00696B7E" w:rsidRPr="00CB7B3B" w:rsidRDefault="00696B7E" w:rsidP="00132858">
            <w:pPr>
              <w:pStyle w:val="NoIndent"/>
              <w:numPr>
                <w:ilvl w:val="1"/>
                <w:numId w:val="16"/>
              </w:numPr>
              <w:spacing w:line="240" w:lineRule="auto"/>
              <w:jc w:val="center"/>
              <w:rPr>
                <w:sz w:val="20"/>
                <w:szCs w:val="20"/>
              </w:rPr>
            </w:pPr>
            <w:r>
              <w:rPr>
                <w:sz w:val="20"/>
                <w:szCs w:val="20"/>
              </w:rPr>
              <w:t>- 82.28</w:t>
            </w:r>
          </w:p>
        </w:tc>
      </w:tr>
    </w:tbl>
    <w:p w14:paraId="19716FD4" w14:textId="77777777" w:rsidR="003B12AE" w:rsidRPr="00696B7E" w:rsidRDefault="003B12AE" w:rsidP="00696B7E">
      <w:pPr>
        <w:spacing w:line="240" w:lineRule="auto"/>
        <w:rPr>
          <w:rFonts w:cstheme="minorHAnsi"/>
          <w:sz w:val="20"/>
          <w:szCs w:val="20"/>
          <w:lang w:val="es-ES"/>
        </w:rPr>
      </w:pPr>
    </w:p>
    <w:p w14:paraId="7FCE9520" w14:textId="77777777" w:rsidR="003B12AE" w:rsidRPr="003B12AE" w:rsidRDefault="003B12AE" w:rsidP="0081218D">
      <w:pPr>
        <w:spacing w:line="240" w:lineRule="auto"/>
        <w:ind w:firstLine="0"/>
        <w:rPr>
          <w:rFonts w:cstheme="minorHAnsi"/>
          <w:sz w:val="20"/>
          <w:szCs w:val="20"/>
          <w:lang w:val="es-ES"/>
        </w:rPr>
      </w:pPr>
    </w:p>
    <w:p w14:paraId="4AEF117C" w14:textId="77777777" w:rsidR="0081218D" w:rsidRPr="0081218D" w:rsidRDefault="0081218D" w:rsidP="0081218D">
      <w:pPr>
        <w:spacing w:line="240" w:lineRule="auto"/>
        <w:ind w:firstLine="0"/>
        <w:rPr>
          <w:rFonts w:cstheme="minorHAnsi"/>
          <w:sz w:val="20"/>
          <w:szCs w:val="20"/>
          <w:lang w:val="es-ES"/>
        </w:rPr>
      </w:pPr>
    </w:p>
    <w:p w14:paraId="17A1FFB1" w14:textId="28CE32B5" w:rsidR="00CA1CAD" w:rsidRPr="00132858" w:rsidRDefault="00132858" w:rsidP="00132858">
      <w:pPr>
        <w:pStyle w:val="Heading3"/>
        <w:rPr>
          <w:rFonts w:cstheme="minorHAnsi"/>
          <w:b w:val="0"/>
          <w:bCs w:val="0"/>
          <w:sz w:val="20"/>
          <w:szCs w:val="20"/>
          <w:lang w:val="es-ES"/>
        </w:rPr>
      </w:pPr>
      <w:bookmarkStart w:id="72" w:name="_Toc177028047"/>
      <w:bookmarkStart w:id="73" w:name="_Toc177028209"/>
      <w:r w:rsidRPr="00132858">
        <w:rPr>
          <w:sz w:val="20"/>
          <w:szCs w:val="20"/>
          <w:lang w:val="es-ES"/>
        </w:rPr>
        <w:t xml:space="preserve">Clasificación de </w:t>
      </w:r>
      <w:r w:rsidR="008308E3" w:rsidRPr="00132858">
        <w:rPr>
          <w:sz w:val="20"/>
          <w:szCs w:val="20"/>
          <w:lang w:val="es-ES"/>
        </w:rPr>
        <w:t>5 grupos (Figura 05.1</w:t>
      </w:r>
      <w:r w:rsidR="00CA1CAD" w:rsidRPr="00132858">
        <w:rPr>
          <w:sz w:val="20"/>
          <w:szCs w:val="20"/>
          <w:lang w:val="es-ES"/>
        </w:rPr>
        <w:t>9</w:t>
      </w:r>
      <w:r w:rsidR="008308E3" w:rsidRPr="00132858">
        <w:rPr>
          <w:sz w:val="20"/>
          <w:szCs w:val="20"/>
          <w:lang w:val="es-ES"/>
        </w:rPr>
        <w:t xml:space="preserve"> y Figura 05.</w:t>
      </w:r>
      <w:r w:rsidR="00CA1CAD" w:rsidRPr="00132858">
        <w:rPr>
          <w:sz w:val="20"/>
          <w:szCs w:val="20"/>
          <w:lang w:val="es-ES"/>
        </w:rPr>
        <w:t>20</w:t>
      </w:r>
      <w:r w:rsidR="008308E3" w:rsidRPr="00132858">
        <w:rPr>
          <w:sz w:val="20"/>
          <w:szCs w:val="20"/>
          <w:lang w:val="es-ES"/>
        </w:rPr>
        <w:t>)</w:t>
      </w:r>
      <w:r w:rsidRPr="00132858">
        <w:rPr>
          <w:sz w:val="20"/>
          <w:szCs w:val="20"/>
          <w:lang w:val="es-ES"/>
        </w:rPr>
        <w:t>:</w:t>
      </w:r>
      <w:bookmarkEnd w:id="72"/>
      <w:bookmarkEnd w:id="73"/>
    </w:p>
    <w:p w14:paraId="3B5C05A7" w14:textId="1D7CB083" w:rsidR="00FE18DA" w:rsidRDefault="00FE18DA" w:rsidP="00CA1CAD">
      <w:pPr>
        <w:spacing w:line="240" w:lineRule="auto"/>
        <w:ind w:firstLine="0"/>
        <w:rPr>
          <w:rFonts w:cstheme="minorHAnsi"/>
          <w:sz w:val="20"/>
          <w:szCs w:val="20"/>
          <w:lang w:val="es-ES"/>
        </w:rPr>
      </w:pPr>
      <w:r w:rsidRPr="00FE18DA">
        <w:rPr>
          <w:rFonts w:cstheme="minorHAnsi"/>
          <w:sz w:val="20"/>
          <w:szCs w:val="20"/>
          <w:lang w:val="es-ES"/>
        </w:rPr>
        <w:t>La clasificación en cinco grupos añade una partición a las regiones más desfavorecidas, diferenciando entre aquellas con PIB muy bajo y SPI bajos, frente a regiones con PIB bajo, pero SPI medio o alto.</w:t>
      </w:r>
    </w:p>
    <w:p w14:paraId="173000F5" w14:textId="77777777" w:rsidR="0058115E" w:rsidRDefault="0058115E" w:rsidP="00CA1CAD">
      <w:pPr>
        <w:spacing w:line="240" w:lineRule="auto"/>
        <w:ind w:firstLine="0"/>
        <w:rPr>
          <w:rFonts w:cstheme="minorHAnsi"/>
          <w:sz w:val="20"/>
          <w:szCs w:val="20"/>
          <w:lang w:val="es-ES"/>
        </w:rPr>
      </w:pPr>
    </w:p>
    <w:p w14:paraId="78BDA87D" w14:textId="4F34D10E" w:rsidR="0058115E" w:rsidRDefault="0058115E" w:rsidP="00CA1CAD">
      <w:pPr>
        <w:spacing w:line="240" w:lineRule="auto"/>
        <w:ind w:firstLine="0"/>
        <w:rPr>
          <w:rFonts w:cstheme="minorHAnsi"/>
          <w:sz w:val="20"/>
          <w:szCs w:val="20"/>
          <w:lang w:val="es-ES"/>
        </w:rPr>
      </w:pPr>
      <w:r>
        <w:rPr>
          <w:rFonts w:cstheme="minorHAnsi"/>
          <w:sz w:val="20"/>
          <w:szCs w:val="20"/>
          <w:lang w:val="es-ES"/>
        </w:rPr>
        <w:t xml:space="preserve">En esta clasificación se observa algo de solapamiento y las métricas no son tan buenas como </w:t>
      </w:r>
      <w:r w:rsidR="00FE18DA">
        <w:rPr>
          <w:rFonts w:cstheme="minorHAnsi"/>
          <w:sz w:val="20"/>
          <w:szCs w:val="20"/>
          <w:lang w:val="es-ES"/>
        </w:rPr>
        <w:t>en</w:t>
      </w:r>
      <w:r>
        <w:rPr>
          <w:rFonts w:cstheme="minorHAnsi"/>
          <w:sz w:val="20"/>
          <w:szCs w:val="20"/>
          <w:lang w:val="es-ES"/>
        </w:rPr>
        <w:t xml:space="preserve"> la clasificación a cuatro, sin </w:t>
      </w:r>
      <w:r w:rsidR="000677C6">
        <w:rPr>
          <w:rFonts w:cstheme="minorHAnsi"/>
          <w:sz w:val="20"/>
          <w:szCs w:val="20"/>
          <w:lang w:val="es-ES"/>
        </w:rPr>
        <w:t>embargo,</w:t>
      </w:r>
      <w:r>
        <w:rPr>
          <w:rFonts w:cstheme="minorHAnsi"/>
          <w:sz w:val="20"/>
          <w:szCs w:val="20"/>
          <w:lang w:val="es-ES"/>
        </w:rPr>
        <w:t xml:space="preserve"> las diferencias son pequeñas y el hecho de añadir un grupo más específico en las notas más bajas de ambos índices hace la clasificación a cinco mucho más interesante.</w:t>
      </w:r>
    </w:p>
    <w:p w14:paraId="3278B8B7" w14:textId="77777777" w:rsidR="00CA1CAD" w:rsidRDefault="00CA1CAD" w:rsidP="00CA1CAD">
      <w:pPr>
        <w:spacing w:line="240" w:lineRule="auto"/>
        <w:ind w:firstLine="0"/>
        <w:rPr>
          <w:rFonts w:cstheme="minorHAnsi"/>
          <w:sz w:val="20"/>
          <w:szCs w:val="20"/>
          <w:lang w:val="es-ES"/>
        </w:rPr>
      </w:pPr>
    </w:p>
    <w:tbl>
      <w:tblPr>
        <w:tblW w:w="0" w:type="auto"/>
        <w:jc w:val="center"/>
        <w:tblLayout w:type="fixed"/>
        <w:tblLook w:val="0600" w:firstRow="0" w:lastRow="0" w:firstColumn="0" w:lastColumn="0" w:noHBand="1" w:noVBand="1"/>
        <w:tblDescription w:val="Table"/>
      </w:tblPr>
      <w:tblGrid>
        <w:gridCol w:w="1845"/>
        <w:gridCol w:w="1845"/>
        <w:gridCol w:w="1845"/>
      </w:tblGrid>
      <w:tr w:rsidR="00CA1CAD" w14:paraId="780540DE" w14:textId="77777777" w:rsidTr="000525C9">
        <w:trPr>
          <w:jc w:val="center"/>
        </w:trPr>
        <w:tc>
          <w:tcPr>
            <w:tcW w:w="1845" w:type="dxa"/>
            <w:tcBorders>
              <w:top w:val="single" w:sz="12" w:space="0" w:color="auto"/>
              <w:bottom w:val="single" w:sz="12" w:space="0" w:color="auto"/>
            </w:tcBorders>
          </w:tcPr>
          <w:p w14:paraId="793C5D16" w14:textId="49BC7FF2" w:rsidR="00CA1CAD" w:rsidRPr="00CB7B3B" w:rsidRDefault="00CA1CAD" w:rsidP="000677C6">
            <w:pPr>
              <w:pStyle w:val="NoIndent"/>
              <w:spacing w:line="240" w:lineRule="auto"/>
              <w:rPr>
                <w:sz w:val="20"/>
                <w:szCs w:val="20"/>
              </w:rPr>
            </w:pPr>
            <w:r>
              <w:rPr>
                <w:sz w:val="20"/>
                <w:szCs w:val="20"/>
              </w:rPr>
              <w:t>Grupo</w:t>
            </w:r>
          </w:p>
        </w:tc>
        <w:tc>
          <w:tcPr>
            <w:tcW w:w="1845" w:type="dxa"/>
            <w:tcBorders>
              <w:top w:val="single" w:sz="12" w:space="0" w:color="auto"/>
              <w:bottom w:val="single" w:sz="12" w:space="0" w:color="auto"/>
            </w:tcBorders>
          </w:tcPr>
          <w:p w14:paraId="1BCC0636" w14:textId="77777777" w:rsidR="00CA1CAD" w:rsidRPr="00CB7B3B" w:rsidRDefault="00CA1CAD" w:rsidP="000525C9">
            <w:pPr>
              <w:pStyle w:val="NoIndent"/>
              <w:spacing w:line="240" w:lineRule="auto"/>
              <w:jc w:val="center"/>
              <w:rPr>
                <w:sz w:val="20"/>
                <w:szCs w:val="20"/>
              </w:rPr>
            </w:pPr>
            <w:r>
              <w:rPr>
                <w:sz w:val="20"/>
                <w:szCs w:val="20"/>
              </w:rPr>
              <w:t>GPD</w:t>
            </w:r>
          </w:p>
        </w:tc>
        <w:tc>
          <w:tcPr>
            <w:tcW w:w="1845" w:type="dxa"/>
            <w:tcBorders>
              <w:top w:val="single" w:sz="12" w:space="0" w:color="auto"/>
              <w:bottom w:val="single" w:sz="12" w:space="0" w:color="auto"/>
            </w:tcBorders>
          </w:tcPr>
          <w:p w14:paraId="7D170AC6" w14:textId="77777777" w:rsidR="00CA1CAD" w:rsidRPr="00CB7B3B" w:rsidRDefault="00CA1CAD" w:rsidP="000525C9">
            <w:pPr>
              <w:pStyle w:val="NoIndent"/>
              <w:spacing w:line="240" w:lineRule="auto"/>
              <w:jc w:val="center"/>
              <w:rPr>
                <w:sz w:val="20"/>
                <w:szCs w:val="20"/>
              </w:rPr>
            </w:pPr>
            <w:r>
              <w:rPr>
                <w:sz w:val="20"/>
                <w:szCs w:val="20"/>
              </w:rPr>
              <w:t>SPI</w:t>
            </w:r>
          </w:p>
        </w:tc>
      </w:tr>
      <w:tr w:rsidR="00CA1CAD" w14:paraId="2405C850" w14:textId="77777777" w:rsidTr="000525C9">
        <w:trPr>
          <w:jc w:val="center"/>
        </w:trPr>
        <w:tc>
          <w:tcPr>
            <w:tcW w:w="1845" w:type="dxa"/>
            <w:tcBorders>
              <w:top w:val="single" w:sz="12" w:space="0" w:color="auto"/>
            </w:tcBorders>
          </w:tcPr>
          <w:p w14:paraId="7C967710" w14:textId="57CFF297" w:rsidR="00CA1CAD" w:rsidRPr="00CB7B3B" w:rsidRDefault="000677C6" w:rsidP="000677C6">
            <w:pPr>
              <w:pStyle w:val="NoIndent"/>
              <w:spacing w:line="240" w:lineRule="auto"/>
              <w:rPr>
                <w:sz w:val="20"/>
                <w:szCs w:val="20"/>
              </w:rPr>
            </w:pPr>
            <w:r>
              <w:rPr>
                <w:sz w:val="20"/>
                <w:szCs w:val="20"/>
              </w:rPr>
              <w:t>Vulnerable</w:t>
            </w:r>
          </w:p>
        </w:tc>
        <w:tc>
          <w:tcPr>
            <w:tcW w:w="1845" w:type="dxa"/>
            <w:tcBorders>
              <w:top w:val="single" w:sz="12" w:space="0" w:color="auto"/>
            </w:tcBorders>
          </w:tcPr>
          <w:p w14:paraId="336288BD" w14:textId="31C97B5C" w:rsidR="00CA1CAD" w:rsidRPr="00CB7B3B" w:rsidRDefault="00F37EC4" w:rsidP="000525C9">
            <w:pPr>
              <w:pStyle w:val="NoIndent"/>
              <w:spacing w:line="240" w:lineRule="auto"/>
              <w:jc w:val="center"/>
              <w:rPr>
                <w:sz w:val="20"/>
                <w:szCs w:val="20"/>
              </w:rPr>
            </w:pPr>
            <w:r>
              <w:rPr>
                <w:sz w:val="20"/>
                <w:szCs w:val="20"/>
              </w:rPr>
              <w:t>0</w:t>
            </w:r>
            <w:r w:rsidR="00CA1CAD">
              <w:rPr>
                <w:sz w:val="20"/>
                <w:szCs w:val="20"/>
              </w:rPr>
              <w:t>0.00 - 20.93</w:t>
            </w:r>
          </w:p>
        </w:tc>
        <w:tc>
          <w:tcPr>
            <w:tcW w:w="1845" w:type="dxa"/>
            <w:tcBorders>
              <w:top w:val="single" w:sz="12" w:space="0" w:color="auto"/>
            </w:tcBorders>
          </w:tcPr>
          <w:p w14:paraId="66249219" w14:textId="4B5C0003" w:rsidR="00CA1CAD" w:rsidRPr="00CB7B3B" w:rsidRDefault="00CA1CAD" w:rsidP="000525C9">
            <w:pPr>
              <w:pStyle w:val="NoIndent"/>
              <w:spacing w:line="240" w:lineRule="auto"/>
              <w:jc w:val="center"/>
              <w:rPr>
                <w:sz w:val="20"/>
                <w:szCs w:val="20"/>
              </w:rPr>
            </w:pPr>
            <w:r>
              <w:rPr>
                <w:sz w:val="20"/>
                <w:szCs w:val="20"/>
              </w:rPr>
              <w:t>24.72 - 45.68</w:t>
            </w:r>
          </w:p>
        </w:tc>
      </w:tr>
      <w:tr w:rsidR="00CA1CAD" w14:paraId="2C7F1280" w14:textId="77777777" w:rsidTr="000525C9">
        <w:trPr>
          <w:jc w:val="center"/>
        </w:trPr>
        <w:tc>
          <w:tcPr>
            <w:tcW w:w="1845" w:type="dxa"/>
          </w:tcPr>
          <w:p w14:paraId="0CE268E0" w14:textId="2DF8B8FE" w:rsidR="00CA1CAD" w:rsidRPr="00CB7B3B" w:rsidRDefault="000677C6" w:rsidP="000677C6">
            <w:pPr>
              <w:pStyle w:val="NoIndent"/>
              <w:spacing w:line="240" w:lineRule="auto"/>
              <w:rPr>
                <w:sz w:val="20"/>
                <w:szCs w:val="20"/>
              </w:rPr>
            </w:pPr>
            <w:r>
              <w:rPr>
                <w:sz w:val="20"/>
                <w:szCs w:val="20"/>
              </w:rPr>
              <w:t>Emerging</w:t>
            </w:r>
          </w:p>
        </w:tc>
        <w:tc>
          <w:tcPr>
            <w:tcW w:w="1845" w:type="dxa"/>
          </w:tcPr>
          <w:p w14:paraId="64DE1B9C" w14:textId="198E557C" w:rsidR="00CA1CAD" w:rsidRPr="00CB7B3B" w:rsidRDefault="00F37EC4" w:rsidP="000525C9">
            <w:pPr>
              <w:pStyle w:val="NoIndent"/>
              <w:spacing w:line="240" w:lineRule="auto"/>
              <w:jc w:val="center"/>
              <w:rPr>
                <w:sz w:val="20"/>
                <w:szCs w:val="20"/>
              </w:rPr>
            </w:pPr>
            <w:r>
              <w:rPr>
                <w:sz w:val="20"/>
                <w:szCs w:val="20"/>
              </w:rPr>
              <w:t>0</w:t>
            </w:r>
            <w:r w:rsidR="00CA1CAD">
              <w:rPr>
                <w:sz w:val="20"/>
                <w:szCs w:val="20"/>
              </w:rPr>
              <w:t xml:space="preserve">2.95 - 24.33 </w:t>
            </w:r>
          </w:p>
        </w:tc>
        <w:tc>
          <w:tcPr>
            <w:tcW w:w="1845" w:type="dxa"/>
          </w:tcPr>
          <w:p w14:paraId="37D61F64" w14:textId="0A1F964C" w:rsidR="00CA1CAD" w:rsidRPr="00CB7B3B" w:rsidRDefault="00CA1CAD" w:rsidP="000525C9">
            <w:pPr>
              <w:pStyle w:val="NoIndent"/>
              <w:spacing w:line="240" w:lineRule="auto"/>
              <w:jc w:val="center"/>
              <w:rPr>
                <w:sz w:val="20"/>
                <w:szCs w:val="20"/>
              </w:rPr>
            </w:pPr>
            <w:r>
              <w:rPr>
                <w:sz w:val="20"/>
                <w:szCs w:val="20"/>
              </w:rPr>
              <w:t>45.28 - 66.24</w:t>
            </w:r>
          </w:p>
        </w:tc>
      </w:tr>
      <w:tr w:rsidR="00CA1CAD" w14:paraId="21B02D53" w14:textId="77777777" w:rsidTr="000525C9">
        <w:trPr>
          <w:jc w:val="center"/>
        </w:trPr>
        <w:tc>
          <w:tcPr>
            <w:tcW w:w="1845" w:type="dxa"/>
          </w:tcPr>
          <w:p w14:paraId="230F45C9" w14:textId="4859365F" w:rsidR="00CA1CAD" w:rsidRDefault="000677C6" w:rsidP="000677C6">
            <w:pPr>
              <w:pStyle w:val="NoIndent"/>
              <w:spacing w:line="240" w:lineRule="auto"/>
              <w:rPr>
                <w:sz w:val="20"/>
                <w:szCs w:val="20"/>
              </w:rPr>
            </w:pPr>
            <w:r>
              <w:rPr>
                <w:sz w:val="20"/>
                <w:szCs w:val="20"/>
              </w:rPr>
              <w:t>Stable</w:t>
            </w:r>
          </w:p>
        </w:tc>
        <w:tc>
          <w:tcPr>
            <w:tcW w:w="1845" w:type="dxa"/>
          </w:tcPr>
          <w:p w14:paraId="1BF50285" w14:textId="3A6F3C02" w:rsidR="00CA1CAD" w:rsidRDefault="00CA1CAD" w:rsidP="00CA1CAD">
            <w:pPr>
              <w:pStyle w:val="NoIndent"/>
              <w:spacing w:line="240" w:lineRule="auto"/>
              <w:jc w:val="center"/>
              <w:rPr>
                <w:sz w:val="20"/>
                <w:szCs w:val="20"/>
              </w:rPr>
            </w:pPr>
            <w:r>
              <w:rPr>
                <w:sz w:val="20"/>
                <w:szCs w:val="20"/>
              </w:rPr>
              <w:t xml:space="preserve">13.24 - 32.02 </w:t>
            </w:r>
          </w:p>
        </w:tc>
        <w:tc>
          <w:tcPr>
            <w:tcW w:w="1845" w:type="dxa"/>
          </w:tcPr>
          <w:p w14:paraId="216E5B45" w14:textId="7D72982A" w:rsidR="00CA1CAD" w:rsidRDefault="00CA1CAD" w:rsidP="00CA1CAD">
            <w:pPr>
              <w:pStyle w:val="NoIndent"/>
              <w:spacing w:line="240" w:lineRule="auto"/>
              <w:jc w:val="center"/>
              <w:rPr>
                <w:sz w:val="20"/>
                <w:szCs w:val="20"/>
              </w:rPr>
            </w:pPr>
            <w:r>
              <w:rPr>
                <w:sz w:val="20"/>
                <w:szCs w:val="20"/>
              </w:rPr>
              <w:t>54.66 - 72.83</w:t>
            </w:r>
          </w:p>
        </w:tc>
      </w:tr>
      <w:tr w:rsidR="00CA1CAD" w14:paraId="0C2D47F7" w14:textId="77777777" w:rsidTr="000525C9">
        <w:trPr>
          <w:jc w:val="center"/>
        </w:trPr>
        <w:tc>
          <w:tcPr>
            <w:tcW w:w="1845" w:type="dxa"/>
          </w:tcPr>
          <w:p w14:paraId="21F583CE" w14:textId="6A8A5605" w:rsidR="00CA1CAD" w:rsidRPr="00CB7B3B" w:rsidRDefault="000677C6" w:rsidP="000677C6">
            <w:pPr>
              <w:pStyle w:val="NoIndent"/>
              <w:spacing w:line="240" w:lineRule="auto"/>
              <w:rPr>
                <w:sz w:val="20"/>
                <w:szCs w:val="20"/>
              </w:rPr>
            </w:pPr>
            <w:r>
              <w:rPr>
                <w:sz w:val="20"/>
                <w:szCs w:val="20"/>
              </w:rPr>
              <w:t>Prosperous</w:t>
            </w:r>
          </w:p>
        </w:tc>
        <w:tc>
          <w:tcPr>
            <w:tcW w:w="1845" w:type="dxa"/>
          </w:tcPr>
          <w:p w14:paraId="62CE3E5D" w14:textId="0A1DA108" w:rsidR="00CA1CAD" w:rsidRPr="00CB7B3B" w:rsidRDefault="00CA1CAD" w:rsidP="00CA1CAD">
            <w:pPr>
              <w:pStyle w:val="NoIndent"/>
              <w:spacing w:line="240" w:lineRule="auto"/>
              <w:jc w:val="center"/>
              <w:rPr>
                <w:sz w:val="20"/>
                <w:szCs w:val="20"/>
              </w:rPr>
            </w:pPr>
            <w:r>
              <w:rPr>
                <w:sz w:val="20"/>
                <w:szCs w:val="20"/>
              </w:rPr>
              <w:t>2</w:t>
            </w:r>
            <w:r w:rsidR="0058115E">
              <w:rPr>
                <w:sz w:val="20"/>
                <w:szCs w:val="20"/>
              </w:rPr>
              <w:t>8.18</w:t>
            </w:r>
            <w:r>
              <w:rPr>
                <w:sz w:val="20"/>
                <w:szCs w:val="20"/>
              </w:rPr>
              <w:t xml:space="preserve"> - 56.62</w:t>
            </w:r>
          </w:p>
        </w:tc>
        <w:tc>
          <w:tcPr>
            <w:tcW w:w="1845" w:type="dxa"/>
          </w:tcPr>
          <w:p w14:paraId="1D3B6F65" w14:textId="77777777" w:rsidR="00CA1CAD" w:rsidRPr="00CB7B3B" w:rsidRDefault="00CA1CAD" w:rsidP="00CA1CAD">
            <w:pPr>
              <w:pStyle w:val="NoIndent"/>
              <w:spacing w:line="240" w:lineRule="auto"/>
              <w:jc w:val="center"/>
              <w:rPr>
                <w:sz w:val="20"/>
                <w:szCs w:val="20"/>
              </w:rPr>
            </w:pPr>
            <w:r>
              <w:rPr>
                <w:sz w:val="20"/>
                <w:szCs w:val="20"/>
              </w:rPr>
              <w:t>62.48 - 84.63</w:t>
            </w:r>
          </w:p>
        </w:tc>
      </w:tr>
      <w:tr w:rsidR="00CA1CAD" w14:paraId="23DCFC76" w14:textId="77777777" w:rsidTr="000525C9">
        <w:trPr>
          <w:jc w:val="center"/>
        </w:trPr>
        <w:tc>
          <w:tcPr>
            <w:tcW w:w="1845" w:type="dxa"/>
            <w:tcBorders>
              <w:bottom w:val="single" w:sz="12" w:space="0" w:color="auto"/>
            </w:tcBorders>
          </w:tcPr>
          <w:p w14:paraId="402E9324" w14:textId="404892C5" w:rsidR="00CA1CAD" w:rsidRPr="00CB7B3B" w:rsidRDefault="000677C6" w:rsidP="000677C6">
            <w:pPr>
              <w:pStyle w:val="NoIndent"/>
              <w:spacing w:line="240" w:lineRule="auto"/>
              <w:rPr>
                <w:sz w:val="20"/>
                <w:szCs w:val="20"/>
              </w:rPr>
            </w:pPr>
            <w:r>
              <w:rPr>
                <w:sz w:val="20"/>
                <w:szCs w:val="20"/>
              </w:rPr>
              <w:t>Affluent</w:t>
            </w:r>
          </w:p>
        </w:tc>
        <w:tc>
          <w:tcPr>
            <w:tcW w:w="1845" w:type="dxa"/>
            <w:tcBorders>
              <w:bottom w:val="single" w:sz="12" w:space="0" w:color="auto"/>
            </w:tcBorders>
          </w:tcPr>
          <w:p w14:paraId="55CF9FB2" w14:textId="4A5C5069" w:rsidR="00CA1CAD" w:rsidRPr="00CB7B3B" w:rsidRDefault="00F37EC4" w:rsidP="00F37EC4">
            <w:pPr>
              <w:pStyle w:val="NoIndent"/>
              <w:spacing w:line="240" w:lineRule="auto"/>
              <w:rPr>
                <w:sz w:val="20"/>
                <w:szCs w:val="20"/>
              </w:rPr>
            </w:pPr>
            <w:r>
              <w:rPr>
                <w:sz w:val="20"/>
                <w:szCs w:val="20"/>
              </w:rPr>
              <w:t xml:space="preserve">      </w:t>
            </w:r>
            <w:r w:rsidR="00CA1CAD">
              <w:rPr>
                <w:sz w:val="20"/>
                <w:szCs w:val="20"/>
              </w:rPr>
              <w:t xml:space="preserve">61.54 </w:t>
            </w:r>
            <w:r>
              <w:rPr>
                <w:sz w:val="20"/>
                <w:szCs w:val="20"/>
              </w:rPr>
              <w:t>-</w:t>
            </w:r>
            <w:r w:rsidR="00CA1CAD">
              <w:rPr>
                <w:sz w:val="20"/>
                <w:szCs w:val="20"/>
              </w:rPr>
              <w:t xml:space="preserve"> 100</w:t>
            </w:r>
            <w:r>
              <w:rPr>
                <w:sz w:val="20"/>
                <w:szCs w:val="20"/>
              </w:rPr>
              <w:t>.00</w:t>
            </w:r>
          </w:p>
        </w:tc>
        <w:tc>
          <w:tcPr>
            <w:tcW w:w="1845" w:type="dxa"/>
            <w:tcBorders>
              <w:bottom w:val="single" w:sz="12" w:space="0" w:color="auto"/>
            </w:tcBorders>
          </w:tcPr>
          <w:p w14:paraId="192E64C8" w14:textId="77777777" w:rsidR="00CA1CAD" w:rsidRPr="00CB7B3B" w:rsidRDefault="00CA1CAD" w:rsidP="00CA1CAD">
            <w:pPr>
              <w:pStyle w:val="NoIndent"/>
              <w:spacing w:line="240" w:lineRule="auto"/>
              <w:jc w:val="center"/>
              <w:rPr>
                <w:sz w:val="20"/>
                <w:szCs w:val="20"/>
              </w:rPr>
            </w:pPr>
            <w:r>
              <w:rPr>
                <w:sz w:val="20"/>
                <w:szCs w:val="20"/>
              </w:rPr>
              <w:t>59.02 - 82.28</w:t>
            </w:r>
          </w:p>
        </w:tc>
      </w:tr>
    </w:tbl>
    <w:p w14:paraId="7CCA556E" w14:textId="77777777" w:rsidR="00CA1CAD" w:rsidRPr="00CA1CAD" w:rsidRDefault="00CA1CAD" w:rsidP="00CA1CAD">
      <w:pPr>
        <w:spacing w:line="240" w:lineRule="auto"/>
        <w:ind w:firstLine="0"/>
        <w:rPr>
          <w:rFonts w:cstheme="minorHAnsi"/>
          <w:sz w:val="20"/>
          <w:szCs w:val="20"/>
          <w:lang w:val="es-ES"/>
        </w:rPr>
      </w:pPr>
    </w:p>
    <w:p w14:paraId="47E9065C" w14:textId="77777777" w:rsidR="00D83EDA" w:rsidRPr="00BE23D7" w:rsidRDefault="00D83EDA" w:rsidP="00D83EDA">
      <w:pPr>
        <w:spacing w:line="240" w:lineRule="auto"/>
        <w:ind w:firstLine="0"/>
        <w:rPr>
          <w:rFonts w:cstheme="minorHAnsi"/>
          <w:sz w:val="20"/>
          <w:szCs w:val="20"/>
          <w:lang w:val="es-ES"/>
        </w:rPr>
      </w:pPr>
    </w:p>
    <w:p w14:paraId="4788EA40" w14:textId="4A44CC30" w:rsidR="009B5681" w:rsidRDefault="000677C6" w:rsidP="00D83EDA">
      <w:pPr>
        <w:spacing w:line="240" w:lineRule="auto"/>
        <w:ind w:firstLine="0"/>
        <w:rPr>
          <w:rFonts w:cstheme="minorHAnsi"/>
          <w:sz w:val="20"/>
          <w:szCs w:val="20"/>
          <w:lang w:val="es-ES"/>
        </w:rPr>
      </w:pPr>
      <w:r>
        <w:rPr>
          <w:rFonts w:cstheme="minorHAnsi"/>
          <w:sz w:val="20"/>
          <w:szCs w:val="20"/>
          <w:lang w:val="es-ES"/>
        </w:rPr>
        <w:t xml:space="preserve">En la </w:t>
      </w:r>
      <w:r>
        <w:rPr>
          <w:rFonts w:cstheme="minorHAnsi"/>
          <w:b/>
          <w:bCs/>
          <w:sz w:val="20"/>
          <w:szCs w:val="20"/>
          <w:lang w:val="es-ES"/>
        </w:rPr>
        <w:t>Figura 05.21</w:t>
      </w:r>
      <w:r>
        <w:rPr>
          <w:rFonts w:cstheme="minorHAnsi"/>
          <w:sz w:val="20"/>
          <w:szCs w:val="20"/>
          <w:lang w:val="es-ES"/>
        </w:rPr>
        <w:t xml:space="preserve"> del Anexo observamos la distribución</w:t>
      </w:r>
      <w:r w:rsidR="00F37EC4">
        <w:rPr>
          <w:rFonts w:cstheme="minorHAnsi"/>
          <w:sz w:val="20"/>
          <w:szCs w:val="20"/>
          <w:lang w:val="es-ES"/>
        </w:rPr>
        <w:t xml:space="preserve"> de los cinco grupos definidos en este punto, a través del mapa de regiones de la UE. El grupo de regiones mas vulnerable (Vulnerable) se concentra en las regiones de Croacia, Bulgaria y Rumania, además de Sicilia, Lituania y </w:t>
      </w:r>
      <w:r w:rsidR="008435D7">
        <w:rPr>
          <w:rFonts w:cstheme="minorHAnsi"/>
          <w:sz w:val="20"/>
          <w:szCs w:val="20"/>
          <w:lang w:val="es-ES"/>
        </w:rPr>
        <w:t>la Guyana Francesa</w:t>
      </w:r>
      <w:r w:rsidR="009B5681">
        <w:rPr>
          <w:rFonts w:cstheme="minorHAnsi"/>
          <w:sz w:val="20"/>
          <w:szCs w:val="20"/>
          <w:lang w:val="es-ES"/>
        </w:rPr>
        <w:t xml:space="preserve"> (Ver listado completo en </w:t>
      </w:r>
      <w:r w:rsidR="009B5681">
        <w:rPr>
          <w:rFonts w:cstheme="minorHAnsi"/>
          <w:b/>
          <w:bCs/>
          <w:sz w:val="20"/>
          <w:szCs w:val="20"/>
          <w:lang w:val="es-ES"/>
        </w:rPr>
        <w:t>Figura 05.23</w:t>
      </w:r>
      <w:r w:rsidR="009B5681">
        <w:rPr>
          <w:rFonts w:cstheme="minorHAnsi"/>
          <w:sz w:val="20"/>
          <w:szCs w:val="20"/>
          <w:lang w:val="es-ES"/>
        </w:rPr>
        <w:t>)</w:t>
      </w:r>
      <w:r w:rsidR="008435D7">
        <w:rPr>
          <w:rFonts w:cstheme="minorHAnsi"/>
          <w:sz w:val="20"/>
          <w:szCs w:val="20"/>
          <w:lang w:val="es-ES"/>
        </w:rPr>
        <w:t>. Mientras que las regiones más prosperas (</w:t>
      </w:r>
      <w:proofErr w:type="spellStart"/>
      <w:r w:rsidR="008435D7">
        <w:rPr>
          <w:rFonts w:cstheme="minorHAnsi"/>
          <w:sz w:val="20"/>
          <w:szCs w:val="20"/>
          <w:lang w:val="es-ES"/>
        </w:rPr>
        <w:t>Prosperous</w:t>
      </w:r>
      <w:proofErr w:type="spellEnd"/>
      <w:r w:rsidR="008435D7">
        <w:rPr>
          <w:rFonts w:cstheme="minorHAnsi"/>
          <w:sz w:val="20"/>
          <w:szCs w:val="20"/>
          <w:lang w:val="es-ES"/>
        </w:rPr>
        <w:t xml:space="preserve"> y </w:t>
      </w:r>
      <w:proofErr w:type="spellStart"/>
      <w:r w:rsidR="008435D7">
        <w:rPr>
          <w:rFonts w:cstheme="minorHAnsi"/>
          <w:sz w:val="20"/>
          <w:szCs w:val="20"/>
          <w:lang w:val="es-ES"/>
        </w:rPr>
        <w:t>Affluent</w:t>
      </w:r>
      <w:proofErr w:type="spellEnd"/>
      <w:r w:rsidR="008435D7">
        <w:rPr>
          <w:rFonts w:cstheme="minorHAnsi"/>
          <w:sz w:val="20"/>
          <w:szCs w:val="20"/>
          <w:lang w:val="es-ES"/>
        </w:rPr>
        <w:t>) se localizan en la península escandinava, Dinamarca, Irlanda y un “cinturón” de regiones centroeuropeas en el entorno de los Países Bajos, Bélgica, Luxemburgo, Alemania y Austria. El resto de la UE se divide en regiones con un desarrollo social y económico consolidado (</w:t>
      </w:r>
      <w:proofErr w:type="spellStart"/>
      <w:r w:rsidR="008435D7">
        <w:rPr>
          <w:rFonts w:cstheme="minorHAnsi"/>
          <w:sz w:val="20"/>
          <w:szCs w:val="20"/>
          <w:lang w:val="es-ES"/>
        </w:rPr>
        <w:t>Stable</w:t>
      </w:r>
      <w:proofErr w:type="spellEnd"/>
      <w:r w:rsidR="008435D7">
        <w:rPr>
          <w:rFonts w:cstheme="minorHAnsi"/>
          <w:sz w:val="20"/>
          <w:szCs w:val="20"/>
          <w:lang w:val="es-ES"/>
        </w:rPr>
        <w:t xml:space="preserve">) y regiones en crecimiento con un SPI </w:t>
      </w:r>
      <w:r w:rsidR="009B5681">
        <w:rPr>
          <w:rFonts w:cstheme="minorHAnsi"/>
          <w:sz w:val="20"/>
          <w:szCs w:val="20"/>
          <w:lang w:val="es-ES"/>
        </w:rPr>
        <w:t>medio,</w:t>
      </w:r>
      <w:r w:rsidR="008435D7">
        <w:rPr>
          <w:rFonts w:cstheme="minorHAnsi"/>
          <w:sz w:val="20"/>
          <w:szCs w:val="20"/>
          <w:lang w:val="es-ES"/>
        </w:rPr>
        <w:t xml:space="preserve"> pero bajo PIB (</w:t>
      </w:r>
      <w:proofErr w:type="spellStart"/>
      <w:r w:rsidR="008435D7">
        <w:rPr>
          <w:rFonts w:cstheme="minorHAnsi"/>
          <w:sz w:val="20"/>
          <w:szCs w:val="20"/>
          <w:lang w:val="es-ES"/>
        </w:rPr>
        <w:t>Emerging</w:t>
      </w:r>
      <w:proofErr w:type="spellEnd"/>
      <w:r w:rsidR="008435D7">
        <w:rPr>
          <w:rFonts w:cstheme="minorHAnsi"/>
          <w:sz w:val="20"/>
          <w:szCs w:val="20"/>
          <w:lang w:val="es-ES"/>
        </w:rPr>
        <w:t xml:space="preserve">), </w:t>
      </w:r>
      <w:r w:rsidR="009B5681">
        <w:rPr>
          <w:rFonts w:cstheme="minorHAnsi"/>
          <w:sz w:val="20"/>
          <w:szCs w:val="20"/>
          <w:lang w:val="es-ES"/>
        </w:rPr>
        <w:t xml:space="preserve">estos dos últimos </w:t>
      </w:r>
      <w:r w:rsidR="009B5681">
        <w:rPr>
          <w:rFonts w:cstheme="minorHAnsi"/>
          <w:sz w:val="20"/>
          <w:szCs w:val="20"/>
          <w:lang w:val="es-ES"/>
        </w:rPr>
        <w:lastRenderedPageBreak/>
        <w:t>grupos</w:t>
      </w:r>
      <w:r w:rsidR="008435D7">
        <w:rPr>
          <w:rFonts w:cstheme="minorHAnsi"/>
          <w:sz w:val="20"/>
          <w:szCs w:val="20"/>
          <w:lang w:val="es-ES"/>
        </w:rPr>
        <w:t xml:space="preserve"> se distribuyen en el clásico esquema de regiones “Centrales” (Francia, Alemania, Austria</w:t>
      </w:r>
      <w:r w:rsidR="009B5681">
        <w:rPr>
          <w:rFonts w:cstheme="minorHAnsi"/>
          <w:sz w:val="20"/>
          <w:szCs w:val="20"/>
          <w:lang w:val="es-ES"/>
        </w:rPr>
        <w:t xml:space="preserve"> y regiones más industrializadas de España e Italia</w:t>
      </w:r>
      <w:r w:rsidR="008435D7">
        <w:rPr>
          <w:rFonts w:cstheme="minorHAnsi"/>
          <w:sz w:val="20"/>
          <w:szCs w:val="20"/>
          <w:lang w:val="es-ES"/>
        </w:rPr>
        <w:t>) y regiones de “Periferia” (Sur de España, Portugal, sur de Italia, Grecia</w:t>
      </w:r>
      <w:r w:rsidR="009B5681">
        <w:rPr>
          <w:rFonts w:cstheme="minorHAnsi"/>
          <w:sz w:val="20"/>
          <w:szCs w:val="20"/>
          <w:lang w:val="es-ES"/>
        </w:rPr>
        <w:t>, Chipre</w:t>
      </w:r>
      <w:r w:rsidR="008435D7">
        <w:rPr>
          <w:rFonts w:cstheme="minorHAnsi"/>
          <w:sz w:val="20"/>
          <w:szCs w:val="20"/>
          <w:lang w:val="es-ES"/>
        </w:rPr>
        <w:t xml:space="preserve">, </w:t>
      </w:r>
      <w:r w:rsidR="009B5681">
        <w:rPr>
          <w:rFonts w:cstheme="minorHAnsi"/>
          <w:sz w:val="20"/>
          <w:szCs w:val="20"/>
          <w:lang w:val="es-ES"/>
        </w:rPr>
        <w:t>Europa del Este</w:t>
      </w:r>
      <w:r w:rsidR="008435D7">
        <w:rPr>
          <w:rFonts w:cstheme="minorHAnsi"/>
          <w:sz w:val="20"/>
          <w:szCs w:val="20"/>
          <w:lang w:val="es-ES"/>
        </w:rPr>
        <w:t>)</w:t>
      </w:r>
      <w:r w:rsidR="009B5681">
        <w:rPr>
          <w:rFonts w:cstheme="minorHAnsi"/>
          <w:sz w:val="20"/>
          <w:szCs w:val="20"/>
          <w:lang w:val="es-ES"/>
        </w:rPr>
        <w:t xml:space="preserve">. Comprobamos en la </w:t>
      </w:r>
      <w:r w:rsidR="009B5681">
        <w:rPr>
          <w:rFonts w:cstheme="minorHAnsi"/>
          <w:b/>
          <w:bCs/>
          <w:sz w:val="20"/>
          <w:szCs w:val="20"/>
          <w:lang w:val="es-ES"/>
        </w:rPr>
        <w:t>Figura 05.22</w:t>
      </w:r>
      <w:r w:rsidR="009B5681">
        <w:rPr>
          <w:rFonts w:cstheme="minorHAnsi"/>
          <w:sz w:val="20"/>
          <w:szCs w:val="20"/>
          <w:lang w:val="es-ES"/>
        </w:rPr>
        <w:t xml:space="preserve"> que los grupos “</w:t>
      </w:r>
      <w:proofErr w:type="spellStart"/>
      <w:r w:rsidR="009B5681">
        <w:rPr>
          <w:rFonts w:cstheme="minorHAnsi"/>
          <w:sz w:val="20"/>
          <w:szCs w:val="20"/>
          <w:lang w:val="es-ES"/>
        </w:rPr>
        <w:t>Stable</w:t>
      </w:r>
      <w:proofErr w:type="spellEnd"/>
      <w:r w:rsidR="009B5681">
        <w:rPr>
          <w:rFonts w:cstheme="minorHAnsi"/>
          <w:sz w:val="20"/>
          <w:szCs w:val="20"/>
          <w:lang w:val="es-ES"/>
        </w:rPr>
        <w:t>”, “</w:t>
      </w:r>
      <w:proofErr w:type="spellStart"/>
      <w:r w:rsidR="009B5681">
        <w:rPr>
          <w:rFonts w:cstheme="minorHAnsi"/>
          <w:sz w:val="20"/>
          <w:szCs w:val="20"/>
          <w:lang w:val="es-ES"/>
        </w:rPr>
        <w:t>Emerging</w:t>
      </w:r>
      <w:proofErr w:type="spellEnd"/>
      <w:r w:rsidR="009B5681">
        <w:rPr>
          <w:rFonts w:cstheme="minorHAnsi"/>
          <w:sz w:val="20"/>
          <w:szCs w:val="20"/>
          <w:lang w:val="es-ES"/>
        </w:rPr>
        <w:t>” y “</w:t>
      </w:r>
      <w:proofErr w:type="spellStart"/>
      <w:r w:rsidR="009B5681">
        <w:rPr>
          <w:rFonts w:cstheme="minorHAnsi"/>
          <w:sz w:val="20"/>
          <w:szCs w:val="20"/>
          <w:lang w:val="es-ES"/>
        </w:rPr>
        <w:t>Prosperous</w:t>
      </w:r>
      <w:proofErr w:type="spellEnd"/>
      <w:r w:rsidR="009B5681">
        <w:rPr>
          <w:rFonts w:cstheme="minorHAnsi"/>
          <w:sz w:val="20"/>
          <w:szCs w:val="20"/>
          <w:lang w:val="es-ES"/>
        </w:rPr>
        <w:t>” concentran la mayoría de las regiones.</w:t>
      </w:r>
    </w:p>
    <w:p w14:paraId="64C70974" w14:textId="77777777" w:rsidR="002C64AE" w:rsidRDefault="002C64AE" w:rsidP="00D83EDA">
      <w:pPr>
        <w:spacing w:line="240" w:lineRule="auto"/>
        <w:ind w:firstLine="0"/>
        <w:rPr>
          <w:rFonts w:cstheme="minorHAnsi"/>
          <w:sz w:val="20"/>
          <w:szCs w:val="20"/>
          <w:lang w:val="es-ES"/>
        </w:rPr>
      </w:pPr>
    </w:p>
    <w:p w14:paraId="1E6F91D0" w14:textId="77777777" w:rsidR="009B5681" w:rsidRPr="009B5681" w:rsidRDefault="009B5681" w:rsidP="00D83EDA">
      <w:pPr>
        <w:spacing w:line="240" w:lineRule="auto"/>
        <w:ind w:firstLine="0"/>
        <w:rPr>
          <w:rFonts w:cstheme="minorHAnsi"/>
          <w:sz w:val="20"/>
          <w:szCs w:val="20"/>
          <w:lang w:val="es-ES"/>
        </w:rPr>
      </w:pPr>
    </w:p>
    <w:p w14:paraId="5894B6AC" w14:textId="1628E216" w:rsidR="006713A0" w:rsidRDefault="00FE18DA" w:rsidP="00FE18DA">
      <w:pPr>
        <w:pStyle w:val="Heading2"/>
        <w:rPr>
          <w:rFonts w:cstheme="minorHAnsi"/>
          <w:b w:val="0"/>
          <w:bCs w:val="0"/>
          <w:sz w:val="20"/>
          <w:szCs w:val="20"/>
          <w:lang w:val="es-ES"/>
        </w:rPr>
      </w:pPr>
      <w:bookmarkStart w:id="74" w:name="_Toc177028048"/>
      <w:bookmarkStart w:id="75" w:name="_Toc177028210"/>
      <w:r>
        <w:rPr>
          <w:lang w:val="es-ES"/>
        </w:rPr>
        <w:t xml:space="preserve">VI.5. </w:t>
      </w:r>
      <w:r w:rsidR="006713A0" w:rsidRPr="00E01CBF">
        <w:rPr>
          <w:lang w:val="es-ES"/>
        </w:rPr>
        <w:t xml:space="preserve">Clasificación por </w:t>
      </w:r>
      <w:r w:rsidR="006713A0">
        <w:rPr>
          <w:lang w:val="es-ES"/>
        </w:rPr>
        <w:t>dimensiones</w:t>
      </w:r>
      <w:r w:rsidR="006713A0" w:rsidRPr="00E01CBF">
        <w:rPr>
          <w:lang w:val="es-ES"/>
        </w:rPr>
        <w:t>:</w:t>
      </w:r>
      <w:bookmarkEnd w:id="74"/>
      <w:bookmarkEnd w:id="75"/>
    </w:p>
    <w:p w14:paraId="205946CD" w14:textId="6D346227" w:rsidR="006713A0" w:rsidRPr="00A83925" w:rsidRDefault="00CB0837" w:rsidP="006713A0">
      <w:pPr>
        <w:spacing w:line="240" w:lineRule="auto"/>
        <w:ind w:firstLine="0"/>
        <w:rPr>
          <w:rFonts w:cstheme="minorHAnsi"/>
          <w:sz w:val="20"/>
          <w:szCs w:val="20"/>
          <w:lang w:val="es-ES"/>
        </w:rPr>
      </w:pPr>
      <w:r w:rsidRPr="00CB0837">
        <w:rPr>
          <w:rFonts w:cstheme="minorHAnsi"/>
          <w:sz w:val="20"/>
          <w:szCs w:val="20"/>
          <w:lang w:val="es-ES"/>
        </w:rPr>
        <w:t>Una forma interesante de clasificar las regiones sería a través de las tres dimensiones: Necesidades Básicas, Fundamentos de Bienestar Social y Oportunidades</w:t>
      </w:r>
      <w:r w:rsidR="005E720A">
        <w:rPr>
          <w:rFonts w:cstheme="minorHAnsi"/>
          <w:sz w:val="20"/>
          <w:szCs w:val="20"/>
          <w:lang w:val="es-ES"/>
        </w:rPr>
        <w:t>, s</w:t>
      </w:r>
      <w:r w:rsidRPr="00CB0837">
        <w:rPr>
          <w:rFonts w:cstheme="minorHAnsi"/>
          <w:sz w:val="20"/>
          <w:szCs w:val="20"/>
          <w:lang w:val="es-ES"/>
        </w:rPr>
        <w:t>in embargo, la variabilidad en las calificaciones entre estas dimensiones da como resultado clasificaciones de hasta seis grupos diferentes, con cierto solapamiento que dificulta la interpretabilidad</w:t>
      </w:r>
      <w:r>
        <w:rPr>
          <w:rFonts w:cstheme="minorHAnsi"/>
          <w:sz w:val="20"/>
          <w:szCs w:val="20"/>
          <w:lang w:val="es-ES"/>
        </w:rPr>
        <w:t xml:space="preserve">. </w:t>
      </w:r>
      <w:r w:rsidR="007F48DB">
        <w:rPr>
          <w:rFonts w:cstheme="minorHAnsi"/>
          <w:sz w:val="20"/>
          <w:szCs w:val="20"/>
          <w:lang w:val="es-ES"/>
        </w:rPr>
        <w:t>En las</w:t>
      </w:r>
      <w:r w:rsidR="00A83925">
        <w:rPr>
          <w:rFonts w:cstheme="minorHAnsi"/>
          <w:sz w:val="20"/>
          <w:szCs w:val="20"/>
          <w:lang w:val="es-ES"/>
        </w:rPr>
        <w:t xml:space="preserve"> </w:t>
      </w:r>
      <w:r>
        <w:rPr>
          <w:rFonts w:cstheme="minorHAnsi"/>
          <w:b/>
          <w:bCs/>
          <w:sz w:val="20"/>
          <w:szCs w:val="20"/>
          <w:lang w:val="es-ES"/>
        </w:rPr>
        <w:t>Figura</w:t>
      </w:r>
      <w:r w:rsidR="00A83925">
        <w:rPr>
          <w:rFonts w:cstheme="minorHAnsi"/>
          <w:b/>
          <w:bCs/>
          <w:sz w:val="20"/>
          <w:szCs w:val="20"/>
          <w:lang w:val="es-ES"/>
        </w:rPr>
        <w:t>s</w:t>
      </w:r>
      <w:r>
        <w:rPr>
          <w:rFonts w:cstheme="minorHAnsi"/>
          <w:b/>
          <w:bCs/>
          <w:sz w:val="20"/>
          <w:szCs w:val="20"/>
          <w:lang w:val="es-ES"/>
        </w:rPr>
        <w:t xml:space="preserve"> 05.28</w:t>
      </w:r>
      <w:r>
        <w:rPr>
          <w:rFonts w:cstheme="minorHAnsi"/>
          <w:sz w:val="20"/>
          <w:szCs w:val="20"/>
          <w:lang w:val="es-ES"/>
        </w:rPr>
        <w:t xml:space="preserve"> y</w:t>
      </w:r>
      <w:r>
        <w:rPr>
          <w:rFonts w:cstheme="minorHAnsi"/>
          <w:b/>
          <w:bCs/>
          <w:sz w:val="20"/>
          <w:szCs w:val="20"/>
          <w:lang w:val="es-ES"/>
        </w:rPr>
        <w:t xml:space="preserve"> 05.29</w:t>
      </w:r>
      <w:r w:rsidR="00A83925">
        <w:rPr>
          <w:rFonts w:cstheme="minorHAnsi"/>
          <w:b/>
          <w:bCs/>
          <w:sz w:val="20"/>
          <w:szCs w:val="20"/>
          <w:lang w:val="es-ES"/>
        </w:rPr>
        <w:t xml:space="preserve"> </w:t>
      </w:r>
      <w:r w:rsidR="00A83925">
        <w:rPr>
          <w:rFonts w:cstheme="minorHAnsi"/>
          <w:sz w:val="20"/>
          <w:szCs w:val="20"/>
          <w:lang w:val="es-ES"/>
        </w:rPr>
        <w:t>podemos diferenciar con facilidad los grupos con altos y bajos valores en las tres dimensiones</w:t>
      </w:r>
      <w:r w:rsidR="00FA1386">
        <w:rPr>
          <w:rFonts w:cstheme="minorHAnsi"/>
          <w:sz w:val="20"/>
          <w:szCs w:val="20"/>
          <w:lang w:val="es-ES"/>
        </w:rPr>
        <w:t>.</w:t>
      </w:r>
    </w:p>
    <w:p w14:paraId="384282A8" w14:textId="77777777" w:rsidR="00ED7F5A" w:rsidRDefault="00ED7F5A" w:rsidP="006713A0">
      <w:pPr>
        <w:spacing w:line="240" w:lineRule="auto"/>
        <w:ind w:firstLine="0"/>
        <w:rPr>
          <w:rFonts w:cstheme="minorHAnsi"/>
          <w:b/>
          <w:bCs/>
          <w:sz w:val="20"/>
          <w:szCs w:val="20"/>
          <w:lang w:val="es-ES"/>
        </w:rPr>
      </w:pPr>
    </w:p>
    <w:p w14:paraId="0B9FC99D" w14:textId="77777777" w:rsidR="00ED7F5A" w:rsidRDefault="00ED7F5A" w:rsidP="006713A0">
      <w:pPr>
        <w:spacing w:line="240" w:lineRule="auto"/>
        <w:ind w:firstLine="0"/>
        <w:rPr>
          <w:rFonts w:cstheme="minorHAnsi"/>
          <w:b/>
          <w:bCs/>
          <w:sz w:val="20"/>
          <w:szCs w:val="20"/>
          <w:lang w:val="es-ES"/>
        </w:rPr>
      </w:pPr>
    </w:p>
    <w:p w14:paraId="139737A5" w14:textId="2B3E692B" w:rsidR="00F64C11" w:rsidRPr="00E34484" w:rsidRDefault="00ED7F5A" w:rsidP="00E34484">
      <w:pPr>
        <w:pStyle w:val="Heading1"/>
        <w:jc w:val="left"/>
        <w:rPr>
          <w:rFonts w:cstheme="minorHAnsi"/>
          <w:color w:val="4472C4" w:themeColor="accent1"/>
          <w:sz w:val="20"/>
          <w:szCs w:val="20"/>
          <w:lang w:val="es-ES"/>
        </w:rPr>
      </w:pPr>
      <w:bookmarkStart w:id="76" w:name="_Toc177028049"/>
      <w:bookmarkStart w:id="77" w:name="_Toc177028211"/>
      <w:r w:rsidRPr="00E34484">
        <w:rPr>
          <w:color w:val="4472C4" w:themeColor="accent1"/>
          <w:lang w:val="es-ES"/>
        </w:rPr>
        <w:t>Líneas de investigación futura</w:t>
      </w:r>
      <w:bookmarkEnd w:id="76"/>
      <w:bookmarkEnd w:id="77"/>
    </w:p>
    <w:p w14:paraId="3B6CB287" w14:textId="77777777" w:rsidR="00ED7F5A" w:rsidRDefault="00ED7F5A" w:rsidP="006713A0">
      <w:pPr>
        <w:spacing w:line="240" w:lineRule="auto"/>
        <w:ind w:firstLine="0"/>
        <w:rPr>
          <w:rFonts w:cstheme="minorHAnsi"/>
          <w:b/>
          <w:bCs/>
          <w:sz w:val="20"/>
          <w:szCs w:val="20"/>
          <w:lang w:val="es-ES"/>
        </w:rPr>
      </w:pPr>
    </w:p>
    <w:p w14:paraId="04883B59" w14:textId="65F3083A" w:rsidR="000C016F" w:rsidRDefault="000C016F" w:rsidP="000C016F">
      <w:pPr>
        <w:spacing w:line="240" w:lineRule="auto"/>
        <w:ind w:firstLine="0"/>
        <w:rPr>
          <w:rFonts w:cstheme="minorHAnsi"/>
          <w:sz w:val="20"/>
          <w:szCs w:val="20"/>
          <w:lang w:val="es-ES"/>
        </w:rPr>
      </w:pPr>
      <w:r w:rsidRPr="000C016F">
        <w:rPr>
          <w:rFonts w:cstheme="minorHAnsi"/>
          <w:sz w:val="20"/>
          <w:szCs w:val="20"/>
          <w:lang w:val="es-ES"/>
        </w:rPr>
        <w:t xml:space="preserve">Este trabajo sobre el Índice de Progreso Social Europeo (SPI-EU) 2024 proporciona valiosos conocimientos sobre el desarrollo social regional en la Unión Europea, pero también destaca áreas donde futuras investigaciones podrían mejorar la comprensión y aplicabilidad del índice. A continuación, se proponen algunas líneas de investigación futura: la incorporación de nuevos indicadores de carácter social, como la salud mental, podría ofrecer una visión más completa; la ponderación de indicadores permitiría un análisis más detallado; el análisis y seguimiento del índice a lo largo del tiempo podría revelar patrones en el progreso social; el estudio de los efectos de la migración interna y externa sobre el progreso social en distintas regiones proporcionaría más información; realizar comparaciones entre las regiones de la UE y países no pertenecientes a la UE que utilicen marcos similares de progreso social enriquecería el análisis; </w:t>
      </w:r>
      <w:r w:rsidR="00531D18" w:rsidRPr="00531D18">
        <w:rPr>
          <w:rFonts w:cstheme="minorHAnsi"/>
          <w:sz w:val="20"/>
          <w:szCs w:val="20"/>
          <w:lang w:val="es-ES"/>
        </w:rPr>
        <w:t>La aplicación de modelos de aprendizaje automático avanzados para la imputación de datos y clasificación mejoraría la precisión del SPI, haciéndolo una herramienta más robusta. Finalmente, desarrollar modelos predictivos basados en el SPI-EU podría ayudar a anticipar futuros cambios en el progreso social y guiar la formulación de políticas proactivas</w:t>
      </w:r>
    </w:p>
    <w:p w14:paraId="52714D1D" w14:textId="77777777" w:rsidR="000C016F" w:rsidRPr="000C016F" w:rsidRDefault="000C016F" w:rsidP="000C016F">
      <w:pPr>
        <w:spacing w:line="240" w:lineRule="auto"/>
        <w:ind w:firstLine="0"/>
        <w:rPr>
          <w:rFonts w:cstheme="minorHAnsi"/>
          <w:sz w:val="20"/>
          <w:szCs w:val="20"/>
          <w:lang w:val="es-ES"/>
        </w:rPr>
      </w:pPr>
    </w:p>
    <w:p w14:paraId="0C5582C4" w14:textId="378F7BAD" w:rsidR="00531D18" w:rsidRDefault="000C016F" w:rsidP="000C016F">
      <w:pPr>
        <w:spacing w:line="240" w:lineRule="auto"/>
        <w:ind w:firstLine="0"/>
        <w:rPr>
          <w:rFonts w:cstheme="minorHAnsi"/>
          <w:sz w:val="20"/>
          <w:szCs w:val="20"/>
          <w:lang w:val="es-ES"/>
        </w:rPr>
      </w:pPr>
      <w:r w:rsidRPr="000C016F">
        <w:rPr>
          <w:rFonts w:cstheme="minorHAnsi"/>
          <w:sz w:val="20"/>
          <w:szCs w:val="20"/>
          <w:lang w:val="es-ES"/>
        </w:rPr>
        <w:t>Estas líneas de investigación no solo perfeccionarían el SPI, sino que también proporcionarían una comprensión más profunda de la dinámica del progreso social en Europa, contribuyendo a la formulación de políticas más específicas y eficaces.</w:t>
      </w:r>
    </w:p>
    <w:p w14:paraId="153B7063" w14:textId="77777777" w:rsidR="00ED7F5A" w:rsidRDefault="00ED7F5A" w:rsidP="006713A0">
      <w:pPr>
        <w:spacing w:line="240" w:lineRule="auto"/>
        <w:ind w:firstLine="0"/>
        <w:rPr>
          <w:rFonts w:cstheme="minorHAnsi"/>
          <w:b/>
          <w:bCs/>
          <w:sz w:val="20"/>
          <w:szCs w:val="20"/>
          <w:lang w:val="es-ES"/>
        </w:rPr>
      </w:pPr>
    </w:p>
    <w:p w14:paraId="2E5A9309" w14:textId="77777777" w:rsidR="005E720A" w:rsidRDefault="005E720A" w:rsidP="006713A0">
      <w:pPr>
        <w:spacing w:line="240" w:lineRule="auto"/>
        <w:ind w:firstLine="0"/>
        <w:rPr>
          <w:rFonts w:cstheme="minorHAnsi"/>
          <w:b/>
          <w:bCs/>
          <w:sz w:val="20"/>
          <w:szCs w:val="20"/>
          <w:lang w:val="es-ES"/>
        </w:rPr>
      </w:pPr>
    </w:p>
    <w:p w14:paraId="673EA3E0" w14:textId="14556141" w:rsidR="00F205AD" w:rsidRPr="00E34484" w:rsidRDefault="008A502D" w:rsidP="00E34484">
      <w:pPr>
        <w:pStyle w:val="Heading1"/>
        <w:jc w:val="left"/>
        <w:rPr>
          <w:color w:val="4472C4" w:themeColor="accent1"/>
          <w:lang w:val="es-ES"/>
        </w:rPr>
      </w:pPr>
      <w:bookmarkStart w:id="78" w:name="_Toc177028050"/>
      <w:bookmarkStart w:id="79" w:name="_Toc177028212"/>
      <w:r w:rsidRPr="00E34484">
        <w:rPr>
          <w:color w:val="4472C4" w:themeColor="accent1"/>
          <w:lang w:val="es-ES"/>
        </w:rPr>
        <w:t>Conclusiones</w:t>
      </w:r>
      <w:bookmarkEnd w:id="78"/>
      <w:bookmarkEnd w:id="79"/>
      <w:r w:rsidRPr="00E34484">
        <w:rPr>
          <w:color w:val="4472C4" w:themeColor="accent1"/>
          <w:lang w:val="es-ES"/>
        </w:rPr>
        <w:t xml:space="preserve"> </w:t>
      </w:r>
    </w:p>
    <w:p w14:paraId="2524FFB8" w14:textId="77777777" w:rsidR="00F64C11" w:rsidRDefault="00F64C11" w:rsidP="005E720A">
      <w:pPr>
        <w:pStyle w:val="CaptionCallout"/>
        <w:spacing w:line="240" w:lineRule="auto"/>
        <w:rPr>
          <w:color w:val="2E74B5" w:themeColor="accent5" w:themeShade="BF"/>
          <w:sz w:val="24"/>
          <w:szCs w:val="24"/>
          <w:lang w:val="es-ES"/>
        </w:rPr>
      </w:pPr>
    </w:p>
    <w:p w14:paraId="6932DF64" w14:textId="77777777" w:rsidR="00F64C11" w:rsidRDefault="00F64C11" w:rsidP="00F64C11">
      <w:pPr>
        <w:spacing w:line="240" w:lineRule="auto"/>
        <w:ind w:firstLine="0"/>
        <w:rPr>
          <w:rFonts w:cstheme="minorHAnsi"/>
          <w:sz w:val="20"/>
          <w:szCs w:val="20"/>
          <w:lang w:val="es-ES"/>
        </w:rPr>
      </w:pPr>
      <w:r w:rsidRPr="00F64C11">
        <w:rPr>
          <w:rFonts w:cstheme="minorHAnsi"/>
          <w:sz w:val="20"/>
          <w:szCs w:val="20"/>
          <w:lang w:val="es-ES"/>
        </w:rPr>
        <w:t>Los indicadores compuestos son una herramienta poderosa capaz de sintetizar información multivariante en un solo dato fácil de interpretar. Sin embargo, durante la construcción de estos índices, se toman decisiones subjetivas que pueden afectar el resultado final. En la creación de un índice de progreso social, como el que se aborda en este trabajo, el estadístico intenta tomar las decisiones más objetivas posibles, pero no siempre dispone de toda la información necesaria. Por lo tanto, es recomendable considerar las sugerencias, revisiones y análisis de sociólogos y otros expertos en ciencias sociales durante el proceso de elaboración del índice.</w:t>
      </w:r>
    </w:p>
    <w:p w14:paraId="52D61EC5" w14:textId="77777777" w:rsidR="00F64C11" w:rsidRPr="00F64C11" w:rsidRDefault="00F64C11" w:rsidP="00F64C11">
      <w:pPr>
        <w:spacing w:line="240" w:lineRule="auto"/>
        <w:ind w:firstLine="0"/>
        <w:rPr>
          <w:rFonts w:cstheme="minorHAnsi"/>
          <w:sz w:val="20"/>
          <w:szCs w:val="20"/>
          <w:lang w:val="es-ES"/>
        </w:rPr>
      </w:pPr>
    </w:p>
    <w:p w14:paraId="5FB0E694" w14:textId="77777777" w:rsidR="00F64C11" w:rsidRPr="00F64C11" w:rsidRDefault="00F64C11" w:rsidP="00F64C11">
      <w:pPr>
        <w:spacing w:line="240" w:lineRule="auto"/>
        <w:ind w:firstLine="0"/>
        <w:rPr>
          <w:rFonts w:cstheme="minorHAnsi"/>
          <w:sz w:val="20"/>
          <w:szCs w:val="20"/>
          <w:lang w:val="es-ES"/>
        </w:rPr>
      </w:pPr>
      <w:r w:rsidRPr="00F64C11">
        <w:rPr>
          <w:rFonts w:cstheme="minorHAnsi"/>
          <w:sz w:val="20"/>
          <w:szCs w:val="20"/>
          <w:lang w:val="es-ES"/>
        </w:rPr>
        <w:t xml:space="preserve">En este trabajo se ha desarrollado un Índice de Progreso Social Europeo (SPI-EU) 2024 para las regiones y países de la Unión Europea, proporcionando una visión detallada del desarrollo social en la región. Se ha comenzado con 45 indicadores sociales, que se han agrupado en 12 componentes y estos, a su vez, en 3 dimensiones, para finalmente calcular un único indicador por región. Se han utilizado métodos de normalización y agregación generalizada, siguiendo la metodología aplicada por la Comisión Europea en su edición de 2020. No se han aplicado ponderaciones. Se ha verificado la robustez del índice en cada fase de su construcción frente a diferentes </w:t>
      </w:r>
      <w:r w:rsidRPr="00F64C11">
        <w:rPr>
          <w:rFonts w:cstheme="minorHAnsi"/>
          <w:sz w:val="20"/>
          <w:szCs w:val="20"/>
          <w:lang w:val="es-ES"/>
        </w:rPr>
        <w:lastRenderedPageBreak/>
        <w:t>indicadores. Además, se realizó un análisis de la relación entre el SPI-EU y un indicador económico tradicional, como el PIB per cápita, incluyendo la clasificación de las regiones en función de su desempeño.</w:t>
      </w:r>
    </w:p>
    <w:p w14:paraId="64CF4C17" w14:textId="77777777" w:rsidR="00531D18" w:rsidRDefault="00531D18" w:rsidP="00ED7F5A">
      <w:pPr>
        <w:spacing w:line="240" w:lineRule="auto"/>
        <w:ind w:firstLine="0"/>
        <w:rPr>
          <w:rFonts w:cstheme="minorHAnsi"/>
          <w:sz w:val="20"/>
          <w:szCs w:val="20"/>
          <w:lang w:val="es-ES"/>
        </w:rPr>
      </w:pPr>
    </w:p>
    <w:p w14:paraId="12E30DAB" w14:textId="0050A09D" w:rsidR="00D338D6" w:rsidRDefault="00F64C11" w:rsidP="00D338D6">
      <w:pPr>
        <w:pStyle w:val="NoIndent"/>
        <w:spacing w:line="240" w:lineRule="auto"/>
        <w:rPr>
          <w:rFonts w:cstheme="minorHAnsi"/>
          <w:sz w:val="20"/>
          <w:szCs w:val="20"/>
          <w:lang w:val="es-ES"/>
        </w:rPr>
      </w:pPr>
      <w:r w:rsidRPr="00F64C11">
        <w:rPr>
          <w:rFonts w:cstheme="minorHAnsi"/>
          <w:sz w:val="20"/>
          <w:szCs w:val="20"/>
          <w:lang w:val="es-ES"/>
        </w:rPr>
        <w:t xml:space="preserve">El índice revela importantes disparidades entre las distintas zonas de la UE, destacando que las áreas más avanzadas, como los países escandinavos, presentan altos niveles de progreso social, mientras que las regiones de Europa del Este y los Balcanes muestran los índices más bajos. Aunque existe una correlación positiva entre el PIB per cápita y el SPI, el estudio demuestra que el desarrollo económico no siempre se traduce directamente en bienestar social, subrayando la importancia de considerar indicadores no económicos, como la salud, la educación y la inclusión. </w:t>
      </w:r>
      <w:r w:rsidR="00D338D6" w:rsidRPr="00F64C11">
        <w:rPr>
          <w:rFonts w:cstheme="minorHAnsi"/>
          <w:sz w:val="20"/>
          <w:szCs w:val="20"/>
          <w:lang w:val="es-ES"/>
        </w:rPr>
        <w:t>Las políticas de desarrollo deben adaptarse a las necesidades locales, priorizando no solo el crecimiento económico, sino también un progreso social integral que atienda tanto las necesidades básicas como la creación de oportunidades equitativas para todas las regiones.</w:t>
      </w:r>
    </w:p>
    <w:p w14:paraId="6A456C79" w14:textId="77777777" w:rsidR="00D338D6" w:rsidRDefault="00D338D6" w:rsidP="00D338D6">
      <w:pPr>
        <w:pStyle w:val="NoIndent"/>
        <w:spacing w:line="240" w:lineRule="auto"/>
        <w:rPr>
          <w:rFonts w:cstheme="minorHAnsi"/>
          <w:sz w:val="20"/>
          <w:szCs w:val="20"/>
          <w:lang w:val="es-ES"/>
        </w:rPr>
      </w:pPr>
    </w:p>
    <w:p w14:paraId="36BBDA05" w14:textId="77777777" w:rsidR="00D338D6" w:rsidRDefault="00D338D6" w:rsidP="00D338D6">
      <w:pPr>
        <w:pStyle w:val="NoIndent"/>
        <w:spacing w:line="240" w:lineRule="auto"/>
        <w:rPr>
          <w:rFonts w:cstheme="minorHAnsi"/>
          <w:sz w:val="20"/>
          <w:szCs w:val="20"/>
          <w:lang w:val="es-ES"/>
        </w:rPr>
      </w:pPr>
    </w:p>
    <w:p w14:paraId="6175F640" w14:textId="77777777" w:rsidR="008A502D" w:rsidRPr="00E34484" w:rsidRDefault="008A502D" w:rsidP="00E34484">
      <w:pPr>
        <w:pStyle w:val="Heading1"/>
        <w:jc w:val="left"/>
        <w:rPr>
          <w:color w:val="4472C4" w:themeColor="accent1"/>
          <w:lang w:val="es-ES"/>
        </w:rPr>
      </w:pPr>
      <w:bookmarkStart w:id="80" w:name="_Toc177028051"/>
      <w:bookmarkStart w:id="81" w:name="_Toc177028213"/>
      <w:r w:rsidRPr="00E34484">
        <w:rPr>
          <w:color w:val="4472C4" w:themeColor="accent1"/>
          <w:lang w:val="es-ES"/>
        </w:rPr>
        <w:t>Cuadro de Mando y Visualizaciones</w:t>
      </w:r>
      <w:bookmarkEnd w:id="80"/>
      <w:bookmarkEnd w:id="81"/>
    </w:p>
    <w:p w14:paraId="40AAA88C" w14:textId="77777777" w:rsidR="008A502D" w:rsidRPr="008A502D" w:rsidRDefault="008A502D" w:rsidP="008A502D">
      <w:pPr>
        <w:pStyle w:val="NoIndent"/>
        <w:spacing w:line="240" w:lineRule="auto"/>
        <w:rPr>
          <w:rFonts w:cstheme="minorHAnsi"/>
          <w:b/>
          <w:bCs/>
          <w:sz w:val="20"/>
          <w:szCs w:val="20"/>
          <w:lang w:val="es-ES"/>
        </w:rPr>
      </w:pPr>
    </w:p>
    <w:p w14:paraId="023A8B32" w14:textId="6C28AC3D" w:rsidR="000C7F70" w:rsidRDefault="00F64C11" w:rsidP="000C7F70">
      <w:pPr>
        <w:pStyle w:val="NoIndent"/>
        <w:spacing w:line="240" w:lineRule="auto"/>
        <w:rPr>
          <w:rFonts w:cstheme="minorHAnsi"/>
          <w:sz w:val="20"/>
          <w:szCs w:val="20"/>
          <w:lang w:val="es-ES"/>
        </w:rPr>
      </w:pPr>
      <w:r w:rsidRPr="00F64C11">
        <w:rPr>
          <w:rFonts w:cstheme="minorHAnsi"/>
          <w:sz w:val="20"/>
          <w:szCs w:val="20"/>
          <w:lang w:val="es-ES"/>
        </w:rPr>
        <w:t xml:space="preserve">Para facilitar la interpretación de los resultados del SPI, se ha elaborado un cuadro de mando con diversas visualizaciones y </w:t>
      </w:r>
      <w:proofErr w:type="spellStart"/>
      <w:r w:rsidRPr="00F64C11">
        <w:rPr>
          <w:rFonts w:cstheme="minorHAnsi"/>
          <w:sz w:val="20"/>
          <w:szCs w:val="20"/>
          <w:lang w:val="es-ES"/>
        </w:rPr>
        <w:t>KPIs</w:t>
      </w:r>
      <w:proofErr w:type="spellEnd"/>
      <w:r w:rsidRPr="00F64C11">
        <w:rPr>
          <w:rFonts w:cstheme="minorHAnsi"/>
          <w:sz w:val="20"/>
          <w:szCs w:val="20"/>
          <w:lang w:val="es-ES"/>
        </w:rPr>
        <w:t xml:space="preserve">. Este </w:t>
      </w:r>
      <w:proofErr w:type="spellStart"/>
      <w:r w:rsidRPr="00F64C11">
        <w:rPr>
          <w:rFonts w:cstheme="minorHAnsi"/>
          <w:sz w:val="20"/>
          <w:szCs w:val="20"/>
          <w:lang w:val="es-ES"/>
        </w:rPr>
        <w:t>dashboard</w:t>
      </w:r>
      <w:proofErr w:type="spellEnd"/>
      <w:r w:rsidRPr="00F64C11">
        <w:rPr>
          <w:rFonts w:cstheme="minorHAnsi"/>
          <w:sz w:val="20"/>
          <w:szCs w:val="20"/>
          <w:lang w:val="es-ES"/>
        </w:rPr>
        <w:t xml:space="preserve">, desarrollado en </w:t>
      </w:r>
      <w:proofErr w:type="spellStart"/>
      <w:r w:rsidRPr="00F64C11">
        <w:rPr>
          <w:rFonts w:cstheme="minorHAnsi"/>
          <w:sz w:val="20"/>
          <w:szCs w:val="20"/>
          <w:lang w:val="es-ES"/>
        </w:rPr>
        <w:t>Tableau</w:t>
      </w:r>
      <w:proofErr w:type="spellEnd"/>
      <w:r w:rsidRPr="00F64C11">
        <w:rPr>
          <w:rFonts w:cstheme="minorHAnsi"/>
          <w:sz w:val="20"/>
          <w:szCs w:val="20"/>
          <w:lang w:val="es-ES"/>
        </w:rPr>
        <w:t xml:space="preserve">, proporciona una vista integral de los datos y permite un análisis interactivo </w:t>
      </w:r>
      <w:r>
        <w:rPr>
          <w:rFonts w:cstheme="minorHAnsi"/>
          <w:sz w:val="20"/>
          <w:szCs w:val="20"/>
          <w:lang w:val="es-ES"/>
        </w:rPr>
        <w:t>del índice</w:t>
      </w:r>
      <w:r w:rsidRPr="00F64C11">
        <w:rPr>
          <w:rFonts w:cstheme="minorHAnsi"/>
          <w:sz w:val="20"/>
          <w:szCs w:val="20"/>
          <w:lang w:val="es-ES"/>
        </w:rPr>
        <w:t xml:space="preserve">. Tanto el paquete de trabajo en </w:t>
      </w:r>
      <w:proofErr w:type="spellStart"/>
      <w:r w:rsidRPr="00F64C11">
        <w:rPr>
          <w:rFonts w:cstheme="minorHAnsi"/>
          <w:sz w:val="20"/>
          <w:szCs w:val="20"/>
          <w:lang w:val="es-ES"/>
        </w:rPr>
        <w:t>Tableau</w:t>
      </w:r>
      <w:proofErr w:type="spellEnd"/>
      <w:r w:rsidRPr="00F64C11">
        <w:rPr>
          <w:rFonts w:cstheme="minorHAnsi"/>
          <w:sz w:val="20"/>
          <w:szCs w:val="20"/>
          <w:lang w:val="es-ES"/>
        </w:rPr>
        <w:t xml:space="preserve"> como la base de datos en formato Excel se incluyen como anexos a este informe. </w:t>
      </w:r>
    </w:p>
    <w:p w14:paraId="1DE45A6E" w14:textId="77777777" w:rsidR="000C7F70" w:rsidRDefault="000C7F70" w:rsidP="000C7F70">
      <w:pPr>
        <w:pStyle w:val="NoIndent"/>
        <w:spacing w:line="240" w:lineRule="auto"/>
        <w:rPr>
          <w:rFonts w:cstheme="minorHAnsi"/>
          <w:sz w:val="20"/>
          <w:szCs w:val="20"/>
          <w:lang w:val="es-ES"/>
        </w:rPr>
      </w:pPr>
    </w:p>
    <w:p w14:paraId="7DC4BEFC" w14:textId="77777777" w:rsidR="000C7F70" w:rsidRDefault="000C7F70" w:rsidP="000C7F70">
      <w:pPr>
        <w:pStyle w:val="NoIndent"/>
        <w:spacing w:line="240" w:lineRule="auto"/>
        <w:rPr>
          <w:rFonts w:cstheme="minorHAnsi"/>
          <w:sz w:val="20"/>
          <w:szCs w:val="20"/>
          <w:lang w:val="es-ES"/>
        </w:rPr>
      </w:pPr>
    </w:p>
    <w:p w14:paraId="079D823B" w14:textId="5C6DDD04" w:rsidR="000C7F70" w:rsidRPr="00E34484" w:rsidRDefault="000C7F70" w:rsidP="00E34484">
      <w:pPr>
        <w:pStyle w:val="Heading1"/>
        <w:jc w:val="left"/>
        <w:rPr>
          <w:rFonts w:cstheme="minorHAnsi"/>
          <w:color w:val="4472C4" w:themeColor="accent1"/>
          <w:sz w:val="20"/>
          <w:szCs w:val="20"/>
        </w:rPr>
      </w:pPr>
      <w:bookmarkStart w:id="82" w:name="_Toc177028052"/>
      <w:bookmarkStart w:id="83" w:name="_Toc177028214"/>
      <w:proofErr w:type="spellStart"/>
      <w:r w:rsidRPr="00E34484">
        <w:rPr>
          <w:color w:val="4472C4" w:themeColor="accent1"/>
        </w:rPr>
        <w:t>Referencias</w:t>
      </w:r>
      <w:bookmarkEnd w:id="82"/>
      <w:bookmarkEnd w:id="83"/>
      <w:proofErr w:type="spellEnd"/>
    </w:p>
    <w:p w14:paraId="4099D94A" w14:textId="77777777" w:rsidR="000C7F70" w:rsidRPr="008C5631" w:rsidRDefault="000C7F70" w:rsidP="000C7F70">
      <w:pPr>
        <w:pStyle w:val="NoIndent"/>
        <w:spacing w:line="240" w:lineRule="auto"/>
        <w:rPr>
          <w:rFonts w:cstheme="minorHAnsi"/>
          <w:sz w:val="20"/>
          <w:szCs w:val="20"/>
        </w:rPr>
      </w:pPr>
    </w:p>
    <w:p w14:paraId="3AA59434" w14:textId="1302F507" w:rsidR="000C7F70" w:rsidRPr="008C5631" w:rsidRDefault="000C7F70" w:rsidP="000C7F70">
      <w:pPr>
        <w:pStyle w:val="NoIndent"/>
        <w:spacing w:line="240" w:lineRule="auto"/>
        <w:rPr>
          <w:rFonts w:cstheme="minorHAnsi"/>
          <w:i/>
          <w:iCs/>
          <w:sz w:val="20"/>
          <w:szCs w:val="20"/>
        </w:rPr>
      </w:pPr>
      <w:r w:rsidRPr="008C5631">
        <w:rPr>
          <w:rFonts w:cstheme="minorHAnsi"/>
          <w:sz w:val="20"/>
          <w:szCs w:val="20"/>
        </w:rPr>
        <w:t xml:space="preserve">Annoni, P &amp; </w:t>
      </w:r>
      <w:proofErr w:type="spellStart"/>
      <w:r w:rsidRPr="008C5631">
        <w:rPr>
          <w:rFonts w:cstheme="minorHAnsi"/>
          <w:sz w:val="20"/>
          <w:szCs w:val="20"/>
        </w:rPr>
        <w:t>Bolsi</w:t>
      </w:r>
      <w:proofErr w:type="spellEnd"/>
      <w:r w:rsidRPr="008C5631">
        <w:rPr>
          <w:rFonts w:cstheme="minorHAnsi"/>
          <w:sz w:val="20"/>
          <w:szCs w:val="20"/>
        </w:rPr>
        <w:t>, P. (2020)</w:t>
      </w:r>
      <w:r w:rsidR="008C5631" w:rsidRPr="008C5631">
        <w:rPr>
          <w:rFonts w:cstheme="minorHAnsi"/>
          <w:sz w:val="20"/>
          <w:szCs w:val="20"/>
        </w:rPr>
        <w:t>,</w:t>
      </w:r>
      <w:r w:rsidRPr="008C5631">
        <w:rPr>
          <w:rFonts w:cstheme="minorHAnsi"/>
          <w:sz w:val="20"/>
          <w:szCs w:val="20"/>
        </w:rPr>
        <w:t xml:space="preserve"> </w:t>
      </w:r>
      <w:r w:rsidRPr="008C5631">
        <w:rPr>
          <w:rFonts w:cstheme="minorHAnsi"/>
          <w:i/>
          <w:iCs/>
          <w:sz w:val="20"/>
          <w:szCs w:val="20"/>
        </w:rPr>
        <w:t>The regional dimension of social progress in Europe: Presenting the</w:t>
      </w:r>
    </w:p>
    <w:p w14:paraId="24FFDF9A" w14:textId="4C14DADD" w:rsidR="008C5631" w:rsidRPr="008C5631" w:rsidRDefault="000C7F70" w:rsidP="008C5631">
      <w:pPr>
        <w:pStyle w:val="NoIndent"/>
        <w:spacing w:line="240" w:lineRule="auto"/>
        <w:rPr>
          <w:rFonts w:cstheme="minorHAnsi"/>
          <w:sz w:val="20"/>
          <w:szCs w:val="20"/>
        </w:rPr>
      </w:pPr>
      <w:r w:rsidRPr="008C5631">
        <w:rPr>
          <w:rFonts w:cstheme="minorHAnsi"/>
          <w:i/>
          <w:iCs/>
          <w:sz w:val="20"/>
          <w:szCs w:val="20"/>
        </w:rPr>
        <w:t>new EU Social Progress Index.</w:t>
      </w:r>
      <w:r w:rsidR="008C5631">
        <w:rPr>
          <w:rFonts w:cstheme="minorHAnsi"/>
          <w:sz w:val="20"/>
          <w:szCs w:val="20"/>
        </w:rPr>
        <w:t xml:space="preserve"> </w:t>
      </w:r>
      <w:r w:rsidR="008C5631" w:rsidRPr="008C5631">
        <w:rPr>
          <w:rFonts w:cstheme="minorHAnsi"/>
          <w:sz w:val="20"/>
          <w:szCs w:val="20"/>
        </w:rPr>
        <w:t>European Commission Directorate-General for Regional and</w:t>
      </w:r>
    </w:p>
    <w:p w14:paraId="6931CD23" w14:textId="0731F01D" w:rsidR="000C7F70" w:rsidRPr="000C7F70" w:rsidRDefault="008C5631" w:rsidP="008C5631">
      <w:pPr>
        <w:pStyle w:val="NoIndent"/>
        <w:spacing w:line="240" w:lineRule="auto"/>
        <w:rPr>
          <w:rFonts w:cstheme="minorHAnsi"/>
          <w:sz w:val="20"/>
          <w:szCs w:val="20"/>
        </w:rPr>
      </w:pPr>
      <w:r w:rsidRPr="008C5631">
        <w:rPr>
          <w:rFonts w:cstheme="minorHAnsi"/>
          <w:sz w:val="20"/>
          <w:szCs w:val="20"/>
        </w:rPr>
        <w:t>Urban policy.</w:t>
      </w:r>
      <w:r w:rsidR="000C7F70">
        <w:rPr>
          <w:rFonts w:cstheme="minorHAnsi"/>
          <w:sz w:val="20"/>
          <w:szCs w:val="20"/>
        </w:rPr>
        <w:t xml:space="preserve"> </w:t>
      </w:r>
      <w:r w:rsidR="000C7F70" w:rsidRPr="000C7F70">
        <w:rPr>
          <w:rStyle w:val="IntenseEmphasis"/>
          <w:sz w:val="18"/>
          <w:szCs w:val="18"/>
        </w:rPr>
        <w:t>https://ec.europa.eu/regional_policy/sources/work/202006_spi_en.pdf</w:t>
      </w:r>
    </w:p>
    <w:p w14:paraId="7AEBBBCA" w14:textId="77777777" w:rsidR="005E720A" w:rsidRDefault="005E720A" w:rsidP="006713A0">
      <w:pPr>
        <w:spacing w:line="240" w:lineRule="auto"/>
        <w:ind w:firstLine="0"/>
        <w:rPr>
          <w:rFonts w:cstheme="minorHAnsi"/>
          <w:b/>
          <w:bCs/>
          <w:sz w:val="20"/>
          <w:szCs w:val="20"/>
        </w:rPr>
      </w:pPr>
    </w:p>
    <w:p w14:paraId="4F0A500D" w14:textId="7B99F07C" w:rsidR="005E720A" w:rsidRPr="000C7F70" w:rsidRDefault="008C5631" w:rsidP="006713A0">
      <w:pPr>
        <w:spacing w:line="240" w:lineRule="auto"/>
        <w:ind w:firstLine="0"/>
        <w:rPr>
          <w:rFonts w:cstheme="minorHAnsi"/>
          <w:b/>
          <w:bCs/>
          <w:sz w:val="20"/>
          <w:szCs w:val="20"/>
        </w:rPr>
      </w:pPr>
      <w:r w:rsidRPr="008C5631">
        <w:rPr>
          <w:rFonts w:cstheme="minorHAnsi"/>
          <w:sz w:val="20"/>
          <w:szCs w:val="20"/>
        </w:rPr>
        <w:t>OECD/European Union/EC-JRC (2008), </w:t>
      </w:r>
      <w:r w:rsidRPr="008C5631">
        <w:rPr>
          <w:rFonts w:cstheme="minorHAnsi"/>
          <w:i/>
          <w:iCs/>
          <w:sz w:val="20"/>
          <w:szCs w:val="20"/>
        </w:rPr>
        <w:t>Handbook on Constructing Composite Indicators: Methodology and User Guide</w:t>
      </w:r>
      <w:r w:rsidRPr="008C5631">
        <w:rPr>
          <w:rFonts w:cstheme="minorHAnsi"/>
          <w:sz w:val="20"/>
          <w:szCs w:val="20"/>
        </w:rPr>
        <w:t>, OECD Publishing, Paris, </w:t>
      </w:r>
      <w:hyperlink r:id="rId17" w:history="1">
        <w:r w:rsidRPr="008C5631">
          <w:rPr>
            <w:rStyle w:val="IntenseEmphasis"/>
            <w:sz w:val="18"/>
            <w:szCs w:val="18"/>
          </w:rPr>
          <w:t>https://doi.org/10.1787/9789264043466-en</w:t>
        </w:r>
      </w:hyperlink>
      <w:r w:rsidRPr="008C5631">
        <w:rPr>
          <w:rStyle w:val="IntenseEmphasis"/>
          <w:sz w:val="18"/>
          <w:szCs w:val="18"/>
        </w:rPr>
        <w:t>.</w:t>
      </w:r>
    </w:p>
    <w:p w14:paraId="7EFBC615" w14:textId="77777777" w:rsidR="005E720A" w:rsidRPr="000C7F70" w:rsidRDefault="005E720A" w:rsidP="006713A0">
      <w:pPr>
        <w:spacing w:line="240" w:lineRule="auto"/>
        <w:ind w:firstLine="0"/>
        <w:rPr>
          <w:rFonts w:cstheme="minorHAnsi"/>
          <w:b/>
          <w:bCs/>
          <w:sz w:val="20"/>
          <w:szCs w:val="20"/>
        </w:rPr>
      </w:pPr>
    </w:p>
    <w:p w14:paraId="134AC13C" w14:textId="3A363A76" w:rsidR="00D83EDA" w:rsidRDefault="008C5631" w:rsidP="00D83EDA">
      <w:pPr>
        <w:spacing w:line="240" w:lineRule="auto"/>
        <w:ind w:firstLine="0"/>
        <w:rPr>
          <w:rStyle w:val="IntenseEmphasis"/>
          <w:sz w:val="18"/>
          <w:szCs w:val="18"/>
        </w:rPr>
      </w:pPr>
      <w:r w:rsidRPr="008C5631">
        <w:rPr>
          <w:rFonts w:cstheme="minorHAnsi"/>
          <w:sz w:val="20"/>
          <w:szCs w:val="20"/>
        </w:rPr>
        <w:t xml:space="preserve">Nardo M, </w:t>
      </w:r>
      <w:proofErr w:type="spellStart"/>
      <w:r w:rsidRPr="008C5631">
        <w:rPr>
          <w:rFonts w:cstheme="minorHAnsi"/>
          <w:sz w:val="20"/>
          <w:szCs w:val="20"/>
        </w:rPr>
        <w:t>Saisana</w:t>
      </w:r>
      <w:proofErr w:type="spellEnd"/>
      <w:r w:rsidRPr="008C5631">
        <w:rPr>
          <w:rFonts w:cstheme="minorHAnsi"/>
          <w:sz w:val="20"/>
          <w:szCs w:val="20"/>
        </w:rPr>
        <w:t xml:space="preserve"> M, </w:t>
      </w:r>
      <w:proofErr w:type="spellStart"/>
      <w:r w:rsidRPr="008C5631">
        <w:rPr>
          <w:rFonts w:cstheme="minorHAnsi"/>
          <w:sz w:val="20"/>
          <w:szCs w:val="20"/>
        </w:rPr>
        <w:t>Saltelli</w:t>
      </w:r>
      <w:proofErr w:type="spellEnd"/>
      <w:r w:rsidRPr="008C5631">
        <w:rPr>
          <w:rFonts w:cstheme="minorHAnsi"/>
          <w:sz w:val="20"/>
          <w:szCs w:val="20"/>
        </w:rPr>
        <w:t xml:space="preserve"> A, Tarantola S. (2005), </w:t>
      </w:r>
      <w:r w:rsidRPr="008C5631">
        <w:rPr>
          <w:rFonts w:cstheme="minorHAnsi"/>
          <w:i/>
          <w:iCs/>
          <w:sz w:val="20"/>
          <w:szCs w:val="20"/>
        </w:rPr>
        <w:t>Tools for Composite Indicators Building</w:t>
      </w:r>
      <w:r w:rsidR="008F0C97">
        <w:rPr>
          <w:rFonts w:cstheme="minorHAnsi"/>
          <w:i/>
          <w:iCs/>
          <w:sz w:val="20"/>
          <w:szCs w:val="20"/>
        </w:rPr>
        <w:t>.</w:t>
      </w:r>
      <w:r w:rsidR="008F0C97">
        <w:rPr>
          <w:rFonts w:cstheme="minorHAnsi"/>
          <w:b/>
          <w:bCs/>
          <w:i/>
          <w:iCs/>
          <w:sz w:val="20"/>
          <w:szCs w:val="20"/>
        </w:rPr>
        <w:t xml:space="preserve"> </w:t>
      </w:r>
      <w:r w:rsidR="008F0C97">
        <w:rPr>
          <w:rFonts w:cstheme="minorHAnsi"/>
          <w:sz w:val="20"/>
          <w:szCs w:val="20"/>
        </w:rPr>
        <w:t xml:space="preserve">European </w:t>
      </w:r>
      <w:proofErr w:type="spellStart"/>
      <w:r w:rsidR="008F0C97">
        <w:rPr>
          <w:rFonts w:cstheme="minorHAnsi"/>
          <w:sz w:val="20"/>
          <w:szCs w:val="20"/>
        </w:rPr>
        <w:t>Commision</w:t>
      </w:r>
      <w:proofErr w:type="spellEnd"/>
      <w:r w:rsidR="008F0C97">
        <w:rPr>
          <w:rFonts w:cstheme="minorHAnsi"/>
          <w:sz w:val="20"/>
          <w:szCs w:val="20"/>
        </w:rPr>
        <w:t xml:space="preserve">. </w:t>
      </w:r>
      <w:r w:rsidR="008F0C97" w:rsidRPr="008F0C97">
        <w:rPr>
          <w:rFonts w:cstheme="minorHAnsi"/>
          <w:sz w:val="20"/>
          <w:szCs w:val="20"/>
        </w:rPr>
        <w:t>JRC Publications Repository</w:t>
      </w:r>
      <w:r w:rsidR="008F0C97">
        <w:rPr>
          <w:rFonts w:cstheme="minorHAnsi"/>
          <w:sz w:val="20"/>
          <w:szCs w:val="20"/>
        </w:rPr>
        <w:t xml:space="preserve">. </w:t>
      </w:r>
      <w:hyperlink r:id="rId18" w:history="1">
        <w:r w:rsidR="008F0C97" w:rsidRPr="008F0C97">
          <w:rPr>
            <w:rStyle w:val="IntenseEmphasis"/>
            <w:sz w:val="18"/>
            <w:szCs w:val="18"/>
          </w:rPr>
          <w:t>https://publications.jrc.ec.europa.eu/repository/handle/JRC31473</w:t>
        </w:r>
      </w:hyperlink>
    </w:p>
    <w:p w14:paraId="67C399AE" w14:textId="77777777" w:rsidR="008F0C97" w:rsidRDefault="008F0C97" w:rsidP="00D83EDA">
      <w:pPr>
        <w:spacing w:line="240" w:lineRule="auto"/>
        <w:ind w:firstLine="0"/>
        <w:rPr>
          <w:rStyle w:val="IntenseEmphasis"/>
          <w:sz w:val="18"/>
          <w:szCs w:val="18"/>
        </w:rPr>
      </w:pPr>
    </w:p>
    <w:p w14:paraId="41BFC430" w14:textId="58608E52" w:rsidR="008F0C97" w:rsidRPr="008F0C97" w:rsidRDefault="008F0C97" w:rsidP="008F0C97">
      <w:pPr>
        <w:spacing w:line="240" w:lineRule="auto"/>
        <w:ind w:firstLine="0"/>
        <w:rPr>
          <w:rStyle w:val="IntenseEmphasis"/>
          <w:sz w:val="18"/>
          <w:szCs w:val="18"/>
        </w:rPr>
      </w:pPr>
      <w:r w:rsidRPr="008F0C97">
        <w:rPr>
          <w:rFonts w:cstheme="minorHAnsi"/>
          <w:sz w:val="20"/>
          <w:szCs w:val="20"/>
        </w:rPr>
        <w:t>“European Social Progress Index 202</w:t>
      </w:r>
      <w:r>
        <w:rPr>
          <w:rFonts w:cstheme="minorHAnsi"/>
          <w:sz w:val="20"/>
          <w:szCs w:val="20"/>
        </w:rPr>
        <w:t>4</w:t>
      </w:r>
      <w:r w:rsidRPr="008F0C97">
        <w:rPr>
          <w:rFonts w:cstheme="minorHAnsi"/>
          <w:sz w:val="20"/>
          <w:szCs w:val="20"/>
        </w:rPr>
        <w:t xml:space="preserve">”. </w:t>
      </w:r>
      <w:r w:rsidRPr="008F0C97">
        <w:rPr>
          <w:rStyle w:val="IntenseEmphasis"/>
          <w:sz w:val="18"/>
          <w:szCs w:val="18"/>
        </w:rPr>
        <w:t>https://ec.europa.eu/regional_policy/assets/social-progress/index.html#</w:t>
      </w:r>
    </w:p>
    <w:p w14:paraId="7E2853B6" w14:textId="74D6329C" w:rsidR="00D83EDA" w:rsidRPr="000C7F70" w:rsidRDefault="00D83EDA" w:rsidP="008F0C97">
      <w:pPr>
        <w:spacing w:line="240" w:lineRule="auto"/>
        <w:ind w:firstLine="0"/>
        <w:rPr>
          <w:rFonts w:cstheme="minorHAnsi"/>
          <w:sz w:val="20"/>
          <w:szCs w:val="20"/>
        </w:rPr>
      </w:pPr>
    </w:p>
    <w:p w14:paraId="33C98C0E" w14:textId="77777777" w:rsidR="00D83EDA" w:rsidRPr="000C7F70" w:rsidRDefault="00D83EDA" w:rsidP="00D83EDA">
      <w:pPr>
        <w:spacing w:line="240" w:lineRule="auto"/>
        <w:ind w:firstLine="0"/>
        <w:rPr>
          <w:rFonts w:cstheme="minorHAnsi"/>
          <w:sz w:val="20"/>
          <w:szCs w:val="20"/>
        </w:rPr>
      </w:pPr>
    </w:p>
    <w:p w14:paraId="1130AB41" w14:textId="77777777" w:rsidR="00D83EDA" w:rsidRPr="000C7F70" w:rsidRDefault="00D83EDA" w:rsidP="00D83EDA">
      <w:pPr>
        <w:spacing w:line="240" w:lineRule="auto"/>
        <w:ind w:firstLine="0"/>
        <w:rPr>
          <w:rFonts w:cstheme="minorHAnsi"/>
          <w:sz w:val="20"/>
          <w:szCs w:val="20"/>
        </w:rPr>
      </w:pPr>
    </w:p>
    <w:sectPr w:rsidR="00D83EDA" w:rsidRPr="000C7F70" w:rsidSect="00AC0F7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88365" w14:textId="77777777" w:rsidR="00442278" w:rsidRDefault="00442278">
      <w:pPr>
        <w:spacing w:line="240" w:lineRule="auto"/>
      </w:pPr>
      <w:r>
        <w:separator/>
      </w:r>
    </w:p>
  </w:endnote>
  <w:endnote w:type="continuationSeparator" w:id="0">
    <w:p w14:paraId="163603AB" w14:textId="77777777" w:rsidR="00442278" w:rsidRDefault="00442278">
      <w:pPr>
        <w:spacing w:line="240" w:lineRule="auto"/>
      </w:pPr>
      <w:r>
        <w:continuationSeparator/>
      </w:r>
    </w:p>
  </w:endnote>
  <w:endnote w:type="continuationNotice" w:id="1">
    <w:p w14:paraId="36A519E2" w14:textId="77777777" w:rsidR="00442278" w:rsidRDefault="0044227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E64C72A" w14:textId="77777777" w:rsidTr="733B038C">
      <w:tc>
        <w:tcPr>
          <w:tcW w:w="3120" w:type="dxa"/>
        </w:tcPr>
        <w:p w14:paraId="1951BFA5" w14:textId="77777777" w:rsidR="733B038C" w:rsidRDefault="733B038C" w:rsidP="733B038C">
          <w:pPr>
            <w:pStyle w:val="Header"/>
            <w:ind w:left="-115"/>
          </w:pPr>
        </w:p>
      </w:tc>
      <w:tc>
        <w:tcPr>
          <w:tcW w:w="3120" w:type="dxa"/>
        </w:tcPr>
        <w:p w14:paraId="7031CE2B" w14:textId="77777777" w:rsidR="733B038C" w:rsidRDefault="733B038C" w:rsidP="733B038C">
          <w:pPr>
            <w:pStyle w:val="Header"/>
            <w:jc w:val="center"/>
          </w:pPr>
        </w:p>
      </w:tc>
      <w:tc>
        <w:tcPr>
          <w:tcW w:w="3120" w:type="dxa"/>
        </w:tcPr>
        <w:p w14:paraId="41BF2E6C" w14:textId="77777777" w:rsidR="733B038C" w:rsidRDefault="733B038C" w:rsidP="733B038C">
          <w:pPr>
            <w:pStyle w:val="Header"/>
            <w:ind w:right="-115"/>
            <w:jc w:val="right"/>
          </w:pPr>
        </w:p>
      </w:tc>
    </w:tr>
  </w:tbl>
  <w:p w14:paraId="5B397F9B"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2209158C" w14:textId="77777777" w:rsidTr="733B038C">
      <w:tc>
        <w:tcPr>
          <w:tcW w:w="3120" w:type="dxa"/>
        </w:tcPr>
        <w:p w14:paraId="64D49630" w14:textId="77777777" w:rsidR="733B038C" w:rsidRDefault="733B038C" w:rsidP="733B038C">
          <w:pPr>
            <w:pStyle w:val="Header"/>
            <w:ind w:left="-115"/>
          </w:pPr>
        </w:p>
      </w:tc>
      <w:tc>
        <w:tcPr>
          <w:tcW w:w="3120" w:type="dxa"/>
        </w:tcPr>
        <w:p w14:paraId="4A928F7F" w14:textId="77777777" w:rsidR="733B038C" w:rsidRDefault="733B038C" w:rsidP="733B038C">
          <w:pPr>
            <w:pStyle w:val="Header"/>
            <w:jc w:val="center"/>
          </w:pPr>
        </w:p>
      </w:tc>
      <w:tc>
        <w:tcPr>
          <w:tcW w:w="3120" w:type="dxa"/>
        </w:tcPr>
        <w:p w14:paraId="7397CFBA" w14:textId="77777777" w:rsidR="733B038C" w:rsidRDefault="733B038C" w:rsidP="733B038C">
          <w:pPr>
            <w:pStyle w:val="Header"/>
            <w:ind w:right="-115"/>
            <w:jc w:val="right"/>
          </w:pPr>
        </w:p>
      </w:tc>
    </w:tr>
  </w:tbl>
  <w:p w14:paraId="518C62D1"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E8A42" w14:textId="77777777" w:rsidR="00442278" w:rsidRDefault="00442278">
      <w:pPr>
        <w:spacing w:line="240" w:lineRule="auto"/>
      </w:pPr>
      <w:r>
        <w:separator/>
      </w:r>
    </w:p>
  </w:footnote>
  <w:footnote w:type="continuationSeparator" w:id="0">
    <w:p w14:paraId="100FCA4B" w14:textId="77777777" w:rsidR="00442278" w:rsidRDefault="00442278">
      <w:pPr>
        <w:spacing w:line="240" w:lineRule="auto"/>
      </w:pPr>
      <w:r>
        <w:continuationSeparator/>
      </w:r>
    </w:p>
  </w:footnote>
  <w:footnote w:type="continuationNotice" w:id="1">
    <w:p w14:paraId="7EAB6AB7" w14:textId="77777777" w:rsidR="00442278" w:rsidRDefault="00442278">
      <w:pPr>
        <w:spacing w:line="240" w:lineRule="auto"/>
      </w:pPr>
    </w:p>
  </w:footnote>
  <w:footnote w:id="2">
    <w:p w14:paraId="77FB9FDE" w14:textId="77777777" w:rsidR="009F6DA2" w:rsidRPr="00013DA7" w:rsidRDefault="009F6DA2" w:rsidP="009F6DA2">
      <w:pPr>
        <w:pStyle w:val="FootnoteText"/>
        <w:ind w:firstLine="0"/>
        <w:rPr>
          <w:i/>
          <w:iCs/>
          <w:color w:val="8EAADB" w:themeColor="accent1" w:themeTint="99"/>
          <w:sz w:val="18"/>
          <w:szCs w:val="18"/>
          <w:lang w:val="es-ES"/>
        </w:rPr>
      </w:pPr>
      <w:r w:rsidRPr="00013DA7">
        <w:rPr>
          <w:i/>
          <w:iCs/>
          <w:color w:val="8EAADB" w:themeColor="accent1" w:themeTint="99"/>
          <w:sz w:val="18"/>
          <w:szCs w:val="18"/>
          <w:vertAlign w:val="superscript"/>
          <w:lang w:val="es-ES"/>
        </w:rPr>
        <w:footnoteRef/>
      </w:r>
      <w:r w:rsidRPr="00013DA7">
        <w:rPr>
          <w:i/>
          <w:iCs/>
          <w:color w:val="8EAADB" w:themeColor="accent1" w:themeTint="99"/>
          <w:sz w:val="18"/>
          <w:szCs w:val="18"/>
          <w:lang w:val="es-ES"/>
        </w:rPr>
        <w:t>https://ec.europa.eu/regional_policy/information-sources/maps/social-progress_en</w:t>
      </w:r>
    </w:p>
  </w:footnote>
  <w:footnote w:id="3">
    <w:p w14:paraId="70F97019" w14:textId="77777777" w:rsidR="009F6DA2" w:rsidRPr="00013DA7" w:rsidRDefault="009F6DA2" w:rsidP="009F6DA2">
      <w:pPr>
        <w:pStyle w:val="FootnoteText"/>
        <w:ind w:firstLine="0"/>
        <w:rPr>
          <w:i/>
          <w:iCs/>
          <w:color w:val="8EAADB" w:themeColor="accent1" w:themeTint="99"/>
          <w:sz w:val="18"/>
          <w:szCs w:val="18"/>
          <w:lang w:val="es-ES"/>
        </w:rPr>
      </w:pPr>
      <w:r w:rsidRPr="00013DA7">
        <w:rPr>
          <w:i/>
          <w:iCs/>
          <w:color w:val="8EAADB" w:themeColor="accent1" w:themeTint="99"/>
          <w:sz w:val="18"/>
          <w:szCs w:val="18"/>
          <w:vertAlign w:val="superscript"/>
          <w:lang w:val="es-ES"/>
        </w:rPr>
        <w:footnoteRef/>
      </w:r>
      <w:r w:rsidRPr="00013DA7">
        <w:rPr>
          <w:i/>
          <w:iCs/>
          <w:color w:val="8EAADB" w:themeColor="accent1" w:themeTint="99"/>
          <w:sz w:val="18"/>
          <w:szCs w:val="18"/>
          <w:lang w:val="es-ES"/>
        </w:rPr>
        <w:t xml:space="preserve"> </w:t>
      </w:r>
      <w:r w:rsidR="00000000">
        <w:fldChar w:fldCharType="begin"/>
      </w:r>
      <w:r w:rsidR="00000000" w:rsidRPr="007F48DB">
        <w:rPr>
          <w:lang w:val="es-ES"/>
        </w:rPr>
        <w:instrText>HYPERLINK "https://ec.europa.eu/eurostat/web/nuts"</w:instrText>
      </w:r>
      <w:r w:rsidR="00000000">
        <w:fldChar w:fldCharType="separate"/>
      </w:r>
      <w:r w:rsidRPr="00013DA7">
        <w:rPr>
          <w:i/>
          <w:iCs/>
          <w:color w:val="8EAADB" w:themeColor="accent1" w:themeTint="99"/>
          <w:sz w:val="18"/>
          <w:szCs w:val="18"/>
          <w:lang w:val="es-ES"/>
        </w:rPr>
        <w:t>https://ec.europa.eu/eurostat/web/nuts</w:t>
      </w:r>
      <w:r w:rsidR="00000000">
        <w:rPr>
          <w:i/>
          <w:iCs/>
          <w:color w:val="8EAADB" w:themeColor="accent1" w:themeTint="99"/>
          <w:sz w:val="18"/>
          <w:szCs w:val="18"/>
          <w:lang w:val="es-ES"/>
        </w:rPr>
        <w:fldChar w:fldCharType="end"/>
      </w:r>
    </w:p>
  </w:footnote>
  <w:footnote w:id="4">
    <w:p w14:paraId="139A712A" w14:textId="77777777" w:rsidR="0039422D" w:rsidRPr="00013DA7" w:rsidRDefault="0039422D" w:rsidP="0039422D">
      <w:pPr>
        <w:pStyle w:val="FootnoteText"/>
        <w:ind w:firstLine="0"/>
        <w:rPr>
          <w:lang w:val="es-ES"/>
        </w:rPr>
      </w:pPr>
      <w:r w:rsidRPr="00013DA7">
        <w:rPr>
          <w:i/>
          <w:iCs/>
          <w:color w:val="8EAADB" w:themeColor="accent1" w:themeTint="99"/>
          <w:sz w:val="18"/>
          <w:szCs w:val="18"/>
          <w:vertAlign w:val="superscript"/>
          <w:lang w:val="es-ES"/>
        </w:rPr>
        <w:footnoteRef/>
      </w:r>
      <w:r w:rsidRPr="00013DA7">
        <w:rPr>
          <w:i/>
          <w:iCs/>
          <w:color w:val="8EAADB" w:themeColor="accent1" w:themeTint="99"/>
          <w:sz w:val="18"/>
          <w:szCs w:val="18"/>
          <w:lang w:val="es-ES"/>
        </w:rPr>
        <w:t xml:space="preserve"> https://composite-indicators.jrc.ec.europa.eu/explorer/explorer/indices/eu-r-spi/eu-regional-social-progress-index</w:t>
      </w:r>
    </w:p>
  </w:footnote>
  <w:footnote w:id="5">
    <w:p w14:paraId="31AEBD5E" w14:textId="77777777" w:rsidR="004B7943" w:rsidRPr="00013DA7" w:rsidRDefault="004B7943" w:rsidP="00572A81">
      <w:pPr>
        <w:pStyle w:val="FootnoteText"/>
        <w:rPr>
          <w:i/>
          <w:iCs/>
          <w:sz w:val="18"/>
          <w:szCs w:val="18"/>
          <w:lang w:val="es-ES"/>
        </w:rPr>
      </w:pPr>
      <w:r w:rsidRPr="00013DA7">
        <w:rPr>
          <w:rStyle w:val="FootnoteReference"/>
          <w:i/>
          <w:iCs/>
          <w:color w:val="8EAADB" w:themeColor="accent1" w:themeTint="99"/>
          <w:sz w:val="18"/>
          <w:szCs w:val="18"/>
        </w:rPr>
        <w:footnoteRef/>
      </w:r>
      <w:r w:rsidRPr="00013DA7">
        <w:rPr>
          <w:i/>
          <w:iCs/>
          <w:color w:val="8EAADB" w:themeColor="accent1" w:themeTint="99"/>
          <w:sz w:val="18"/>
          <w:szCs w:val="18"/>
          <w:lang w:val="es-ES"/>
        </w:rPr>
        <w:t>https://ec.europa.eu/eurostat/databrowser/view/nama_10r_2gdp/default/table?lang=en</w:t>
      </w:r>
    </w:p>
  </w:footnote>
  <w:footnote w:id="6">
    <w:p w14:paraId="3780A389" w14:textId="5E650212" w:rsidR="00572A81" w:rsidRPr="00572A81" w:rsidRDefault="00572A81">
      <w:pPr>
        <w:pStyle w:val="FootnoteText"/>
        <w:rPr>
          <w:sz w:val="18"/>
          <w:szCs w:val="18"/>
          <w:lang w:val="es-ES"/>
        </w:rPr>
      </w:pPr>
      <w:r w:rsidRPr="00572A81">
        <w:rPr>
          <w:rStyle w:val="FootnoteReference"/>
          <w:color w:val="8EAADB" w:themeColor="accent1" w:themeTint="99"/>
          <w:sz w:val="18"/>
          <w:szCs w:val="18"/>
        </w:rPr>
        <w:footnoteRef/>
      </w:r>
      <w:r w:rsidRPr="00572A81">
        <w:rPr>
          <w:color w:val="8EAADB" w:themeColor="accent1" w:themeTint="99"/>
          <w:sz w:val="18"/>
          <w:szCs w:val="18"/>
          <w:lang w:val="es-ES"/>
        </w:rPr>
        <w:t xml:space="preserve"> </w:t>
      </w:r>
      <w:r w:rsidRPr="00572A81">
        <w:rPr>
          <w:rStyle w:val="IntenseEmphasis"/>
          <w:color w:val="8EAADB" w:themeColor="accent1" w:themeTint="99"/>
          <w:sz w:val="18"/>
          <w:szCs w:val="18"/>
          <w:lang w:val="es-ES"/>
        </w:rPr>
        <w:t>https://ec.europa.eu/regional_policy/sources/work/202006_spi_en.pdf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4410AD97" w14:textId="77777777" w:rsidTr="008830C9">
      <w:tc>
        <w:tcPr>
          <w:tcW w:w="3120" w:type="dxa"/>
        </w:tcPr>
        <w:p w14:paraId="20DC958D" w14:textId="3C440595" w:rsidR="00604652" w:rsidRDefault="00F034C5" w:rsidP="00604652">
          <w:pPr>
            <w:pStyle w:val="Header"/>
          </w:pPr>
          <w:r>
            <w:t>SPI-EU 2024</w:t>
          </w:r>
        </w:p>
      </w:tc>
      <w:tc>
        <w:tcPr>
          <w:tcW w:w="3120" w:type="dxa"/>
        </w:tcPr>
        <w:p w14:paraId="49621937" w14:textId="77777777" w:rsidR="00904DBE" w:rsidRDefault="00904DBE" w:rsidP="00904DBE">
          <w:pPr>
            <w:pStyle w:val="Header"/>
            <w:jc w:val="center"/>
          </w:pPr>
        </w:p>
      </w:tc>
      <w:tc>
        <w:tcPr>
          <w:tcW w:w="3120" w:type="dxa"/>
        </w:tcPr>
        <w:p w14:paraId="536E2866"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EE06035"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48931C9" w14:textId="77777777" w:rsidTr="00FD478C">
      <w:tc>
        <w:tcPr>
          <w:tcW w:w="3120" w:type="dxa"/>
        </w:tcPr>
        <w:p w14:paraId="2846A4DF" w14:textId="092B9F1B" w:rsidR="733B038C" w:rsidRPr="00FD478C" w:rsidRDefault="00F034C5" w:rsidP="00FD478C">
          <w:pPr>
            <w:pStyle w:val="Header"/>
          </w:pPr>
          <w:r>
            <w:t>SPI-EU 2024</w:t>
          </w:r>
        </w:p>
      </w:tc>
      <w:tc>
        <w:tcPr>
          <w:tcW w:w="3120" w:type="dxa"/>
        </w:tcPr>
        <w:p w14:paraId="392FCE10" w14:textId="77777777" w:rsidR="733B038C" w:rsidRDefault="733B038C" w:rsidP="733B038C">
          <w:pPr>
            <w:pStyle w:val="Header"/>
            <w:jc w:val="center"/>
          </w:pPr>
        </w:p>
      </w:tc>
      <w:tc>
        <w:tcPr>
          <w:tcW w:w="3120" w:type="dxa"/>
        </w:tcPr>
        <w:p w14:paraId="7A01077D" w14:textId="77777777" w:rsidR="733B038C" w:rsidRDefault="733B038C" w:rsidP="733B038C">
          <w:pPr>
            <w:pStyle w:val="Header"/>
            <w:ind w:right="-115"/>
            <w:jc w:val="right"/>
          </w:pPr>
        </w:p>
      </w:tc>
    </w:tr>
  </w:tbl>
  <w:p w14:paraId="6E47AAB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C2797"/>
    <w:multiLevelType w:val="multilevel"/>
    <w:tmpl w:val="F4CE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07B0"/>
    <w:multiLevelType w:val="hybridMultilevel"/>
    <w:tmpl w:val="D134318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C70AD"/>
    <w:multiLevelType w:val="multilevel"/>
    <w:tmpl w:val="BB0A0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A6FC6"/>
    <w:multiLevelType w:val="multilevel"/>
    <w:tmpl w:val="7CC6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0203D"/>
    <w:multiLevelType w:val="multilevel"/>
    <w:tmpl w:val="DD2ED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D0F25"/>
    <w:multiLevelType w:val="hybridMultilevel"/>
    <w:tmpl w:val="7C6EE6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AA18FD"/>
    <w:multiLevelType w:val="multilevel"/>
    <w:tmpl w:val="913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420B7"/>
    <w:multiLevelType w:val="multilevel"/>
    <w:tmpl w:val="A572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C1A04"/>
    <w:multiLevelType w:val="hybridMultilevel"/>
    <w:tmpl w:val="736ED072"/>
    <w:lvl w:ilvl="0" w:tplc="0C0A0001">
      <w:start w:val="1"/>
      <w:numFmt w:val="bullet"/>
      <w:lvlText w:val=""/>
      <w:lvlJc w:val="left"/>
      <w:pPr>
        <w:ind w:left="770" w:hanging="360"/>
      </w:pPr>
      <w:rPr>
        <w:rFonts w:ascii="Symbol" w:hAnsi="Symbol" w:hint="default"/>
      </w:rPr>
    </w:lvl>
    <w:lvl w:ilvl="1" w:tplc="AA9EE85A">
      <w:start w:val="6"/>
      <w:numFmt w:val="bullet"/>
      <w:lvlText w:val="-"/>
      <w:lvlJc w:val="left"/>
      <w:pPr>
        <w:ind w:left="1490" w:hanging="360"/>
      </w:pPr>
      <w:rPr>
        <w:rFonts w:ascii="Calibri" w:eastAsiaTheme="minorHAnsi" w:hAnsi="Calibri" w:cs="Calibri"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65243F5"/>
    <w:multiLevelType w:val="multilevel"/>
    <w:tmpl w:val="7D5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272F3"/>
    <w:multiLevelType w:val="multilevel"/>
    <w:tmpl w:val="36C8128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BA758B7"/>
    <w:multiLevelType w:val="hybridMultilevel"/>
    <w:tmpl w:val="ED5EC684"/>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CD227B"/>
    <w:multiLevelType w:val="multilevel"/>
    <w:tmpl w:val="FB56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608C5"/>
    <w:multiLevelType w:val="hybridMultilevel"/>
    <w:tmpl w:val="4B626F5A"/>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C57E2"/>
    <w:multiLevelType w:val="multilevel"/>
    <w:tmpl w:val="81A0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77198"/>
    <w:multiLevelType w:val="multilevel"/>
    <w:tmpl w:val="2694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D90E71"/>
    <w:multiLevelType w:val="multilevel"/>
    <w:tmpl w:val="7E3E8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3C4C29"/>
    <w:multiLevelType w:val="multilevel"/>
    <w:tmpl w:val="7E18C248"/>
    <w:lvl w:ilvl="0">
      <w:start w:val="59"/>
      <w:numFmt w:val="decimal"/>
      <w:lvlText w:val="%1"/>
      <w:lvlJc w:val="left"/>
      <w:pPr>
        <w:ind w:left="465" w:hanging="465"/>
      </w:pPr>
      <w:rPr>
        <w:rFonts w:hint="default"/>
      </w:rPr>
    </w:lvl>
    <w:lvl w:ilvl="1">
      <w:start w:val="2"/>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7CC1D2F"/>
    <w:multiLevelType w:val="multilevel"/>
    <w:tmpl w:val="8350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D13B98"/>
    <w:multiLevelType w:val="multilevel"/>
    <w:tmpl w:val="7E18C248"/>
    <w:lvl w:ilvl="0">
      <w:start w:val="59"/>
      <w:numFmt w:val="decimal"/>
      <w:lvlText w:val="%1"/>
      <w:lvlJc w:val="left"/>
      <w:pPr>
        <w:ind w:left="465" w:hanging="465"/>
      </w:pPr>
      <w:rPr>
        <w:rFonts w:hint="default"/>
      </w:rPr>
    </w:lvl>
    <w:lvl w:ilvl="1">
      <w:start w:val="2"/>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1E90F61"/>
    <w:multiLevelType w:val="multilevel"/>
    <w:tmpl w:val="AB94FF0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2281D77"/>
    <w:multiLevelType w:val="hybridMultilevel"/>
    <w:tmpl w:val="E756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E611F"/>
    <w:multiLevelType w:val="hybridMultilevel"/>
    <w:tmpl w:val="2E388F82"/>
    <w:lvl w:ilvl="0" w:tplc="257A03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C5CD5"/>
    <w:multiLevelType w:val="hybridMultilevel"/>
    <w:tmpl w:val="C8865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6D564E5"/>
    <w:multiLevelType w:val="multilevel"/>
    <w:tmpl w:val="CE34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35171F"/>
    <w:multiLevelType w:val="multilevel"/>
    <w:tmpl w:val="7E18C248"/>
    <w:lvl w:ilvl="0">
      <w:start w:val="59"/>
      <w:numFmt w:val="decimal"/>
      <w:lvlText w:val="%1"/>
      <w:lvlJc w:val="left"/>
      <w:pPr>
        <w:ind w:left="465" w:hanging="465"/>
      </w:pPr>
      <w:rPr>
        <w:rFonts w:hint="default"/>
      </w:rPr>
    </w:lvl>
    <w:lvl w:ilvl="1">
      <w:start w:val="2"/>
      <w:numFmt w:val="decimalZero"/>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5DD50828"/>
    <w:multiLevelType w:val="multilevel"/>
    <w:tmpl w:val="0FD6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DB2277"/>
    <w:multiLevelType w:val="hybridMultilevel"/>
    <w:tmpl w:val="099E52E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1D6230"/>
    <w:multiLevelType w:val="multilevel"/>
    <w:tmpl w:val="13EC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B40BB3"/>
    <w:multiLevelType w:val="multilevel"/>
    <w:tmpl w:val="23EC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B50A28"/>
    <w:multiLevelType w:val="hybridMultilevel"/>
    <w:tmpl w:val="7F5ED72A"/>
    <w:lvl w:ilvl="0" w:tplc="0C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324ED2"/>
    <w:multiLevelType w:val="hybridMultilevel"/>
    <w:tmpl w:val="1730E66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BF5E3E"/>
    <w:multiLevelType w:val="hybridMultilevel"/>
    <w:tmpl w:val="4DB6C448"/>
    <w:lvl w:ilvl="0" w:tplc="AA9EE85A">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405AC6"/>
    <w:multiLevelType w:val="hybridMultilevel"/>
    <w:tmpl w:val="D53E566E"/>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131341">
    <w:abstractNumId w:val="23"/>
  </w:num>
  <w:num w:numId="2" w16cid:durableId="1479571210">
    <w:abstractNumId w:val="22"/>
  </w:num>
  <w:num w:numId="3" w16cid:durableId="799229594">
    <w:abstractNumId w:val="33"/>
  </w:num>
  <w:num w:numId="4" w16cid:durableId="1748577491">
    <w:abstractNumId w:val="32"/>
  </w:num>
  <w:num w:numId="5" w16cid:durableId="1028485344">
    <w:abstractNumId w:val="8"/>
  </w:num>
  <w:num w:numId="6" w16cid:durableId="947154335">
    <w:abstractNumId w:val="11"/>
  </w:num>
  <w:num w:numId="7" w16cid:durableId="1390693387">
    <w:abstractNumId w:val="31"/>
  </w:num>
  <w:num w:numId="8" w16cid:durableId="123162110">
    <w:abstractNumId w:val="0"/>
  </w:num>
  <w:num w:numId="9" w16cid:durableId="1982534854">
    <w:abstractNumId w:val="13"/>
  </w:num>
  <w:num w:numId="10" w16cid:durableId="1047296383">
    <w:abstractNumId w:val="15"/>
  </w:num>
  <w:num w:numId="11" w16cid:durableId="1158227638">
    <w:abstractNumId w:val="26"/>
  </w:num>
  <w:num w:numId="12" w16cid:durableId="1988656657">
    <w:abstractNumId w:val="10"/>
  </w:num>
  <w:num w:numId="13" w16cid:durableId="1532036387">
    <w:abstractNumId w:val="5"/>
  </w:num>
  <w:num w:numId="14" w16cid:durableId="57672910">
    <w:abstractNumId w:val="1"/>
  </w:num>
  <w:num w:numId="15" w16cid:durableId="468472716">
    <w:abstractNumId w:val="27"/>
  </w:num>
  <w:num w:numId="16" w16cid:durableId="1627269709">
    <w:abstractNumId w:val="25"/>
  </w:num>
  <w:num w:numId="17" w16cid:durableId="1592425395">
    <w:abstractNumId w:val="19"/>
  </w:num>
  <w:num w:numId="18" w16cid:durableId="574318977">
    <w:abstractNumId w:val="17"/>
  </w:num>
  <w:num w:numId="19" w16cid:durableId="700936054">
    <w:abstractNumId w:val="30"/>
  </w:num>
  <w:num w:numId="20" w16cid:durableId="877468713">
    <w:abstractNumId w:val="28"/>
  </w:num>
  <w:num w:numId="21" w16cid:durableId="853224832">
    <w:abstractNumId w:val="3"/>
  </w:num>
  <w:num w:numId="22" w16cid:durableId="1637447578">
    <w:abstractNumId w:val="14"/>
  </w:num>
  <w:num w:numId="23" w16cid:durableId="1260017704">
    <w:abstractNumId w:val="7"/>
  </w:num>
  <w:num w:numId="24" w16cid:durableId="920797392">
    <w:abstractNumId w:val="18"/>
  </w:num>
  <w:num w:numId="25" w16cid:durableId="160974474">
    <w:abstractNumId w:val="9"/>
  </w:num>
  <w:num w:numId="26" w16cid:durableId="1721585643">
    <w:abstractNumId w:val="24"/>
  </w:num>
  <w:num w:numId="27" w16cid:durableId="491916859">
    <w:abstractNumId w:val="12"/>
  </w:num>
  <w:num w:numId="28" w16cid:durableId="965893239">
    <w:abstractNumId w:val="6"/>
  </w:num>
  <w:num w:numId="29" w16cid:durableId="668757890">
    <w:abstractNumId w:val="16"/>
  </w:num>
  <w:num w:numId="30" w16cid:durableId="502211082">
    <w:abstractNumId w:val="4"/>
  </w:num>
  <w:num w:numId="31" w16cid:durableId="1583878281">
    <w:abstractNumId w:val="20"/>
  </w:num>
  <w:num w:numId="32" w16cid:durableId="530457237">
    <w:abstractNumId w:val="2"/>
  </w:num>
  <w:num w:numId="33" w16cid:durableId="664011605">
    <w:abstractNumId w:val="29"/>
  </w:num>
  <w:num w:numId="34" w16cid:durableId="114119311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BFA"/>
    <w:rsid w:val="00013DA7"/>
    <w:rsid w:val="00027A2B"/>
    <w:rsid w:val="00063939"/>
    <w:rsid w:val="000677C6"/>
    <w:rsid w:val="000A58E2"/>
    <w:rsid w:val="000C016F"/>
    <w:rsid w:val="000C7F70"/>
    <w:rsid w:val="000D1E0A"/>
    <w:rsid w:val="001202C0"/>
    <w:rsid w:val="00132858"/>
    <w:rsid w:val="00162A53"/>
    <w:rsid w:val="00185126"/>
    <w:rsid w:val="00190B6D"/>
    <w:rsid w:val="001A5D49"/>
    <w:rsid w:val="001B0903"/>
    <w:rsid w:val="001B778A"/>
    <w:rsid w:val="001C071A"/>
    <w:rsid w:val="001C2B45"/>
    <w:rsid w:val="001F152D"/>
    <w:rsid w:val="00232379"/>
    <w:rsid w:val="00251F9D"/>
    <w:rsid w:val="00257890"/>
    <w:rsid w:val="00285294"/>
    <w:rsid w:val="002867DE"/>
    <w:rsid w:val="002B4DE0"/>
    <w:rsid w:val="002C3BE4"/>
    <w:rsid w:val="002C3EB8"/>
    <w:rsid w:val="002C64AE"/>
    <w:rsid w:val="002E08A8"/>
    <w:rsid w:val="002E2C46"/>
    <w:rsid w:val="002E4E36"/>
    <w:rsid w:val="002F7E04"/>
    <w:rsid w:val="00322CD2"/>
    <w:rsid w:val="00363E86"/>
    <w:rsid w:val="00366D9E"/>
    <w:rsid w:val="00371BD9"/>
    <w:rsid w:val="003759D5"/>
    <w:rsid w:val="0038776F"/>
    <w:rsid w:val="0039422D"/>
    <w:rsid w:val="003B12AE"/>
    <w:rsid w:val="003C1546"/>
    <w:rsid w:val="003D11B4"/>
    <w:rsid w:val="003D1EAB"/>
    <w:rsid w:val="003D7C15"/>
    <w:rsid w:val="003E213A"/>
    <w:rsid w:val="003E7EE6"/>
    <w:rsid w:val="003F18C2"/>
    <w:rsid w:val="003F5A58"/>
    <w:rsid w:val="0042207D"/>
    <w:rsid w:val="004236B8"/>
    <w:rsid w:val="00442278"/>
    <w:rsid w:val="004436B1"/>
    <w:rsid w:val="004A61C7"/>
    <w:rsid w:val="004B3BFA"/>
    <w:rsid w:val="004B7943"/>
    <w:rsid w:val="004C683E"/>
    <w:rsid w:val="004F5630"/>
    <w:rsid w:val="004F6410"/>
    <w:rsid w:val="00500997"/>
    <w:rsid w:val="00507835"/>
    <w:rsid w:val="00514E9F"/>
    <w:rsid w:val="00530EF3"/>
    <w:rsid w:val="00531D18"/>
    <w:rsid w:val="00545070"/>
    <w:rsid w:val="005600D4"/>
    <w:rsid w:val="00570A7C"/>
    <w:rsid w:val="00572A81"/>
    <w:rsid w:val="0058115E"/>
    <w:rsid w:val="005936DA"/>
    <w:rsid w:val="005B28F8"/>
    <w:rsid w:val="005B42F2"/>
    <w:rsid w:val="005C2CBF"/>
    <w:rsid w:val="005E4163"/>
    <w:rsid w:val="005E59EE"/>
    <w:rsid w:val="005E720A"/>
    <w:rsid w:val="005F7620"/>
    <w:rsid w:val="00604652"/>
    <w:rsid w:val="0062515D"/>
    <w:rsid w:val="006359BA"/>
    <w:rsid w:val="0064263C"/>
    <w:rsid w:val="00653CA5"/>
    <w:rsid w:val="00655584"/>
    <w:rsid w:val="00660CAD"/>
    <w:rsid w:val="006620BC"/>
    <w:rsid w:val="006713A0"/>
    <w:rsid w:val="006735B6"/>
    <w:rsid w:val="00696B7E"/>
    <w:rsid w:val="006C101C"/>
    <w:rsid w:val="006C1D14"/>
    <w:rsid w:val="006C3124"/>
    <w:rsid w:val="006D5A55"/>
    <w:rsid w:val="006D7F4D"/>
    <w:rsid w:val="006F4709"/>
    <w:rsid w:val="00702AA6"/>
    <w:rsid w:val="00702B81"/>
    <w:rsid w:val="00727711"/>
    <w:rsid w:val="00733275"/>
    <w:rsid w:val="00733FC1"/>
    <w:rsid w:val="0074264E"/>
    <w:rsid w:val="0075534D"/>
    <w:rsid w:val="00765ADD"/>
    <w:rsid w:val="00773677"/>
    <w:rsid w:val="0078554B"/>
    <w:rsid w:val="00793951"/>
    <w:rsid w:val="00796468"/>
    <w:rsid w:val="00796B22"/>
    <w:rsid w:val="007B5436"/>
    <w:rsid w:val="007C1E85"/>
    <w:rsid w:val="007D4A2B"/>
    <w:rsid w:val="007D5CC5"/>
    <w:rsid w:val="007E2D6A"/>
    <w:rsid w:val="007F13DE"/>
    <w:rsid w:val="007F48DB"/>
    <w:rsid w:val="007F5D66"/>
    <w:rsid w:val="008078FA"/>
    <w:rsid w:val="0081218D"/>
    <w:rsid w:val="00823731"/>
    <w:rsid w:val="008308E3"/>
    <w:rsid w:val="00833858"/>
    <w:rsid w:val="00833E5E"/>
    <w:rsid w:val="008435D7"/>
    <w:rsid w:val="008731CF"/>
    <w:rsid w:val="008A4F4F"/>
    <w:rsid w:val="008A502D"/>
    <w:rsid w:val="008C5631"/>
    <w:rsid w:val="008F0C97"/>
    <w:rsid w:val="00901981"/>
    <w:rsid w:val="00904DBE"/>
    <w:rsid w:val="00910507"/>
    <w:rsid w:val="00921B1A"/>
    <w:rsid w:val="009300C8"/>
    <w:rsid w:val="009420D1"/>
    <w:rsid w:val="009B5681"/>
    <w:rsid w:val="009D1DB7"/>
    <w:rsid w:val="009D7659"/>
    <w:rsid w:val="009F2579"/>
    <w:rsid w:val="009F6DA2"/>
    <w:rsid w:val="00A03508"/>
    <w:rsid w:val="00A03A0D"/>
    <w:rsid w:val="00A657BC"/>
    <w:rsid w:val="00A72F3E"/>
    <w:rsid w:val="00A75901"/>
    <w:rsid w:val="00A82684"/>
    <w:rsid w:val="00A83925"/>
    <w:rsid w:val="00A92742"/>
    <w:rsid w:val="00AC0F78"/>
    <w:rsid w:val="00AC3DEC"/>
    <w:rsid w:val="00AF4112"/>
    <w:rsid w:val="00B101FC"/>
    <w:rsid w:val="00B2091A"/>
    <w:rsid w:val="00B5233A"/>
    <w:rsid w:val="00B66164"/>
    <w:rsid w:val="00B7604E"/>
    <w:rsid w:val="00B92802"/>
    <w:rsid w:val="00BA6612"/>
    <w:rsid w:val="00BD4B45"/>
    <w:rsid w:val="00BE23D7"/>
    <w:rsid w:val="00BE5639"/>
    <w:rsid w:val="00BE73E9"/>
    <w:rsid w:val="00BE7CA0"/>
    <w:rsid w:val="00BF3F0F"/>
    <w:rsid w:val="00C15BBC"/>
    <w:rsid w:val="00C21099"/>
    <w:rsid w:val="00C26C30"/>
    <w:rsid w:val="00C906DB"/>
    <w:rsid w:val="00CA1CAD"/>
    <w:rsid w:val="00CA1E31"/>
    <w:rsid w:val="00CA3343"/>
    <w:rsid w:val="00CA6662"/>
    <w:rsid w:val="00CB0837"/>
    <w:rsid w:val="00CB7B3B"/>
    <w:rsid w:val="00CD7F50"/>
    <w:rsid w:val="00D12927"/>
    <w:rsid w:val="00D338D6"/>
    <w:rsid w:val="00D53AA4"/>
    <w:rsid w:val="00D83EDA"/>
    <w:rsid w:val="00D936E7"/>
    <w:rsid w:val="00DA0397"/>
    <w:rsid w:val="00DA395D"/>
    <w:rsid w:val="00DD5259"/>
    <w:rsid w:val="00DF1ADF"/>
    <w:rsid w:val="00DF1EFA"/>
    <w:rsid w:val="00DF3215"/>
    <w:rsid w:val="00E01CBF"/>
    <w:rsid w:val="00E078FD"/>
    <w:rsid w:val="00E119AC"/>
    <w:rsid w:val="00E23707"/>
    <w:rsid w:val="00E34484"/>
    <w:rsid w:val="00E41D0E"/>
    <w:rsid w:val="00E45F92"/>
    <w:rsid w:val="00E879E7"/>
    <w:rsid w:val="00E92107"/>
    <w:rsid w:val="00EB4D4C"/>
    <w:rsid w:val="00ED7F5A"/>
    <w:rsid w:val="00EE7132"/>
    <w:rsid w:val="00F034C5"/>
    <w:rsid w:val="00F13B22"/>
    <w:rsid w:val="00F1415F"/>
    <w:rsid w:val="00F15B74"/>
    <w:rsid w:val="00F205AD"/>
    <w:rsid w:val="00F26C57"/>
    <w:rsid w:val="00F37EC4"/>
    <w:rsid w:val="00F43ACD"/>
    <w:rsid w:val="00F53964"/>
    <w:rsid w:val="00F60784"/>
    <w:rsid w:val="00F64C11"/>
    <w:rsid w:val="00F67B54"/>
    <w:rsid w:val="00F7212D"/>
    <w:rsid w:val="00F85941"/>
    <w:rsid w:val="00F86302"/>
    <w:rsid w:val="00F92563"/>
    <w:rsid w:val="00F941E8"/>
    <w:rsid w:val="00FA1386"/>
    <w:rsid w:val="00FA4C9E"/>
    <w:rsid w:val="00FD478C"/>
    <w:rsid w:val="00FE18DA"/>
    <w:rsid w:val="00FF1E90"/>
    <w:rsid w:val="00FF641C"/>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769DA"/>
  <w15:chartTrackingRefBased/>
  <w15:docId w15:val="{B7B8746D-52A2-46CD-9B59-D5A712AD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4B3BFA"/>
    <w:pPr>
      <w:spacing w:line="240" w:lineRule="auto"/>
    </w:pPr>
    <w:rPr>
      <w:sz w:val="20"/>
      <w:szCs w:val="20"/>
    </w:rPr>
  </w:style>
  <w:style w:type="character" w:customStyle="1" w:styleId="FootnoteTextChar">
    <w:name w:val="Footnote Text Char"/>
    <w:basedOn w:val="DefaultParagraphFont"/>
    <w:link w:val="FootnoteText"/>
    <w:uiPriority w:val="99"/>
    <w:semiHidden/>
    <w:rsid w:val="004B3BFA"/>
    <w:rPr>
      <w:sz w:val="20"/>
      <w:szCs w:val="20"/>
    </w:rPr>
  </w:style>
  <w:style w:type="character" w:styleId="FootnoteReference">
    <w:name w:val="footnote reference"/>
    <w:basedOn w:val="DefaultParagraphFont"/>
    <w:uiPriority w:val="99"/>
    <w:semiHidden/>
    <w:unhideWhenUsed/>
    <w:rsid w:val="004B3BFA"/>
    <w:rPr>
      <w:vertAlign w:val="superscript"/>
    </w:rPr>
  </w:style>
  <w:style w:type="paragraph" w:styleId="ListParagraph">
    <w:name w:val="List Paragraph"/>
    <w:basedOn w:val="Normal"/>
    <w:uiPriority w:val="34"/>
    <w:qFormat/>
    <w:rsid w:val="001C071A"/>
    <w:pPr>
      <w:ind w:left="720"/>
      <w:contextualSpacing/>
    </w:pPr>
  </w:style>
  <w:style w:type="paragraph" w:styleId="NormalWeb">
    <w:name w:val="Normal (Web)"/>
    <w:basedOn w:val="Normal"/>
    <w:uiPriority w:val="99"/>
    <w:semiHidden/>
    <w:unhideWhenUsed/>
    <w:rsid w:val="00702AA6"/>
    <w:rPr>
      <w:rFonts w:ascii="Times New Roman" w:hAnsi="Times New Roman" w:cs="Times New Roman"/>
      <w:sz w:val="24"/>
      <w:szCs w:val="24"/>
    </w:rPr>
  </w:style>
  <w:style w:type="character" w:styleId="IntenseEmphasis">
    <w:name w:val="Intense Emphasis"/>
    <w:basedOn w:val="DefaultParagraphFont"/>
    <w:uiPriority w:val="21"/>
    <w:qFormat/>
    <w:rsid w:val="000C7F70"/>
    <w:rPr>
      <w:i/>
      <w:iCs/>
      <w:color w:val="4472C4" w:themeColor="accent1"/>
    </w:rPr>
  </w:style>
  <w:style w:type="character" w:styleId="UnresolvedMention">
    <w:name w:val="Unresolved Mention"/>
    <w:basedOn w:val="DefaultParagraphFont"/>
    <w:uiPriority w:val="99"/>
    <w:semiHidden/>
    <w:unhideWhenUsed/>
    <w:rsid w:val="008C5631"/>
    <w:rPr>
      <w:color w:val="605E5C"/>
      <w:shd w:val="clear" w:color="auto" w:fill="E1DFDD"/>
    </w:rPr>
  </w:style>
  <w:style w:type="paragraph" w:styleId="TOCHeading">
    <w:name w:val="TOC Heading"/>
    <w:basedOn w:val="Heading1"/>
    <w:next w:val="Normal"/>
    <w:uiPriority w:val="39"/>
    <w:unhideWhenUsed/>
    <w:qFormat/>
    <w:rsid w:val="007C1E85"/>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38776F"/>
    <w:pPr>
      <w:tabs>
        <w:tab w:val="right" w:leader="dot" w:pos="9350"/>
      </w:tabs>
      <w:spacing w:after="100" w:line="240" w:lineRule="auto"/>
      <w:ind w:left="440" w:firstLine="0"/>
    </w:pPr>
  </w:style>
  <w:style w:type="paragraph" w:styleId="TOC3">
    <w:name w:val="toc 3"/>
    <w:basedOn w:val="Normal"/>
    <w:next w:val="Normal"/>
    <w:autoRedefine/>
    <w:uiPriority w:val="39"/>
    <w:unhideWhenUsed/>
    <w:rsid w:val="007C1E85"/>
    <w:pPr>
      <w:spacing w:after="100"/>
      <w:ind w:left="440"/>
    </w:pPr>
  </w:style>
  <w:style w:type="paragraph" w:styleId="TOC1">
    <w:name w:val="toc 1"/>
    <w:basedOn w:val="Normal"/>
    <w:next w:val="Normal"/>
    <w:autoRedefine/>
    <w:uiPriority w:val="39"/>
    <w:unhideWhenUsed/>
    <w:rsid w:val="007C1E85"/>
    <w:pPr>
      <w:spacing w:after="100" w:line="259" w:lineRule="auto"/>
      <w:ind w:firstLine="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8247">
      <w:bodyDiv w:val="1"/>
      <w:marLeft w:val="0"/>
      <w:marRight w:val="0"/>
      <w:marTop w:val="0"/>
      <w:marBottom w:val="0"/>
      <w:divBdr>
        <w:top w:val="none" w:sz="0" w:space="0" w:color="auto"/>
        <w:left w:val="none" w:sz="0" w:space="0" w:color="auto"/>
        <w:bottom w:val="none" w:sz="0" w:space="0" w:color="auto"/>
        <w:right w:val="none" w:sz="0" w:space="0" w:color="auto"/>
      </w:divBdr>
    </w:div>
    <w:div w:id="64572971">
      <w:bodyDiv w:val="1"/>
      <w:marLeft w:val="0"/>
      <w:marRight w:val="0"/>
      <w:marTop w:val="0"/>
      <w:marBottom w:val="0"/>
      <w:divBdr>
        <w:top w:val="none" w:sz="0" w:space="0" w:color="auto"/>
        <w:left w:val="none" w:sz="0" w:space="0" w:color="auto"/>
        <w:bottom w:val="none" w:sz="0" w:space="0" w:color="auto"/>
        <w:right w:val="none" w:sz="0" w:space="0" w:color="auto"/>
      </w:divBdr>
      <w:divsChild>
        <w:div w:id="669411916">
          <w:marLeft w:val="0"/>
          <w:marRight w:val="0"/>
          <w:marTop w:val="0"/>
          <w:marBottom w:val="0"/>
          <w:divBdr>
            <w:top w:val="none" w:sz="0" w:space="0" w:color="auto"/>
            <w:left w:val="none" w:sz="0" w:space="0" w:color="auto"/>
            <w:bottom w:val="none" w:sz="0" w:space="0" w:color="auto"/>
            <w:right w:val="none" w:sz="0" w:space="0" w:color="auto"/>
          </w:divBdr>
          <w:divsChild>
            <w:div w:id="820850038">
              <w:marLeft w:val="0"/>
              <w:marRight w:val="0"/>
              <w:marTop w:val="0"/>
              <w:marBottom w:val="0"/>
              <w:divBdr>
                <w:top w:val="none" w:sz="0" w:space="0" w:color="auto"/>
                <w:left w:val="none" w:sz="0" w:space="0" w:color="auto"/>
                <w:bottom w:val="none" w:sz="0" w:space="0" w:color="auto"/>
                <w:right w:val="none" w:sz="0" w:space="0" w:color="auto"/>
              </w:divBdr>
              <w:divsChild>
                <w:div w:id="2067098493">
                  <w:marLeft w:val="0"/>
                  <w:marRight w:val="0"/>
                  <w:marTop w:val="0"/>
                  <w:marBottom w:val="0"/>
                  <w:divBdr>
                    <w:top w:val="none" w:sz="0" w:space="0" w:color="auto"/>
                    <w:left w:val="none" w:sz="0" w:space="0" w:color="auto"/>
                    <w:bottom w:val="none" w:sz="0" w:space="0" w:color="auto"/>
                    <w:right w:val="none" w:sz="0" w:space="0" w:color="auto"/>
                  </w:divBdr>
                  <w:divsChild>
                    <w:div w:id="208811615">
                      <w:marLeft w:val="0"/>
                      <w:marRight w:val="0"/>
                      <w:marTop w:val="0"/>
                      <w:marBottom w:val="0"/>
                      <w:divBdr>
                        <w:top w:val="none" w:sz="0" w:space="0" w:color="auto"/>
                        <w:left w:val="none" w:sz="0" w:space="0" w:color="auto"/>
                        <w:bottom w:val="none" w:sz="0" w:space="0" w:color="auto"/>
                        <w:right w:val="none" w:sz="0" w:space="0" w:color="auto"/>
                      </w:divBdr>
                      <w:divsChild>
                        <w:div w:id="1295060533">
                          <w:marLeft w:val="0"/>
                          <w:marRight w:val="0"/>
                          <w:marTop w:val="0"/>
                          <w:marBottom w:val="0"/>
                          <w:divBdr>
                            <w:top w:val="none" w:sz="0" w:space="0" w:color="auto"/>
                            <w:left w:val="none" w:sz="0" w:space="0" w:color="auto"/>
                            <w:bottom w:val="none" w:sz="0" w:space="0" w:color="auto"/>
                            <w:right w:val="none" w:sz="0" w:space="0" w:color="auto"/>
                          </w:divBdr>
                          <w:divsChild>
                            <w:div w:id="13610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6721">
      <w:bodyDiv w:val="1"/>
      <w:marLeft w:val="0"/>
      <w:marRight w:val="0"/>
      <w:marTop w:val="0"/>
      <w:marBottom w:val="0"/>
      <w:divBdr>
        <w:top w:val="none" w:sz="0" w:space="0" w:color="auto"/>
        <w:left w:val="none" w:sz="0" w:space="0" w:color="auto"/>
        <w:bottom w:val="none" w:sz="0" w:space="0" w:color="auto"/>
        <w:right w:val="none" w:sz="0" w:space="0" w:color="auto"/>
      </w:divBdr>
    </w:div>
    <w:div w:id="114448367">
      <w:bodyDiv w:val="1"/>
      <w:marLeft w:val="0"/>
      <w:marRight w:val="0"/>
      <w:marTop w:val="0"/>
      <w:marBottom w:val="0"/>
      <w:divBdr>
        <w:top w:val="none" w:sz="0" w:space="0" w:color="auto"/>
        <w:left w:val="none" w:sz="0" w:space="0" w:color="auto"/>
        <w:bottom w:val="none" w:sz="0" w:space="0" w:color="auto"/>
        <w:right w:val="none" w:sz="0" w:space="0" w:color="auto"/>
      </w:divBdr>
    </w:div>
    <w:div w:id="129908048">
      <w:bodyDiv w:val="1"/>
      <w:marLeft w:val="0"/>
      <w:marRight w:val="0"/>
      <w:marTop w:val="0"/>
      <w:marBottom w:val="0"/>
      <w:divBdr>
        <w:top w:val="none" w:sz="0" w:space="0" w:color="auto"/>
        <w:left w:val="none" w:sz="0" w:space="0" w:color="auto"/>
        <w:bottom w:val="none" w:sz="0" w:space="0" w:color="auto"/>
        <w:right w:val="none" w:sz="0" w:space="0" w:color="auto"/>
      </w:divBdr>
    </w:div>
    <w:div w:id="133956250">
      <w:bodyDiv w:val="1"/>
      <w:marLeft w:val="0"/>
      <w:marRight w:val="0"/>
      <w:marTop w:val="0"/>
      <w:marBottom w:val="0"/>
      <w:divBdr>
        <w:top w:val="none" w:sz="0" w:space="0" w:color="auto"/>
        <w:left w:val="none" w:sz="0" w:space="0" w:color="auto"/>
        <w:bottom w:val="none" w:sz="0" w:space="0" w:color="auto"/>
        <w:right w:val="none" w:sz="0" w:space="0" w:color="auto"/>
      </w:divBdr>
    </w:div>
    <w:div w:id="137118614">
      <w:bodyDiv w:val="1"/>
      <w:marLeft w:val="0"/>
      <w:marRight w:val="0"/>
      <w:marTop w:val="0"/>
      <w:marBottom w:val="0"/>
      <w:divBdr>
        <w:top w:val="none" w:sz="0" w:space="0" w:color="auto"/>
        <w:left w:val="none" w:sz="0" w:space="0" w:color="auto"/>
        <w:bottom w:val="none" w:sz="0" w:space="0" w:color="auto"/>
        <w:right w:val="none" w:sz="0" w:space="0" w:color="auto"/>
      </w:divBdr>
    </w:div>
    <w:div w:id="164053859">
      <w:bodyDiv w:val="1"/>
      <w:marLeft w:val="0"/>
      <w:marRight w:val="0"/>
      <w:marTop w:val="0"/>
      <w:marBottom w:val="0"/>
      <w:divBdr>
        <w:top w:val="none" w:sz="0" w:space="0" w:color="auto"/>
        <w:left w:val="none" w:sz="0" w:space="0" w:color="auto"/>
        <w:bottom w:val="none" w:sz="0" w:space="0" w:color="auto"/>
        <w:right w:val="none" w:sz="0" w:space="0" w:color="auto"/>
      </w:divBdr>
    </w:div>
    <w:div w:id="203640179">
      <w:bodyDiv w:val="1"/>
      <w:marLeft w:val="0"/>
      <w:marRight w:val="0"/>
      <w:marTop w:val="0"/>
      <w:marBottom w:val="0"/>
      <w:divBdr>
        <w:top w:val="none" w:sz="0" w:space="0" w:color="auto"/>
        <w:left w:val="none" w:sz="0" w:space="0" w:color="auto"/>
        <w:bottom w:val="none" w:sz="0" w:space="0" w:color="auto"/>
        <w:right w:val="none" w:sz="0" w:space="0" w:color="auto"/>
      </w:divBdr>
      <w:divsChild>
        <w:div w:id="830217138">
          <w:marLeft w:val="0"/>
          <w:marRight w:val="0"/>
          <w:marTop w:val="0"/>
          <w:marBottom w:val="0"/>
          <w:divBdr>
            <w:top w:val="none" w:sz="0" w:space="0" w:color="auto"/>
            <w:left w:val="none" w:sz="0" w:space="0" w:color="auto"/>
            <w:bottom w:val="none" w:sz="0" w:space="0" w:color="auto"/>
            <w:right w:val="none" w:sz="0" w:space="0" w:color="auto"/>
          </w:divBdr>
          <w:divsChild>
            <w:div w:id="623973185">
              <w:marLeft w:val="0"/>
              <w:marRight w:val="0"/>
              <w:marTop w:val="0"/>
              <w:marBottom w:val="0"/>
              <w:divBdr>
                <w:top w:val="none" w:sz="0" w:space="0" w:color="auto"/>
                <w:left w:val="none" w:sz="0" w:space="0" w:color="auto"/>
                <w:bottom w:val="none" w:sz="0" w:space="0" w:color="auto"/>
                <w:right w:val="none" w:sz="0" w:space="0" w:color="auto"/>
              </w:divBdr>
              <w:divsChild>
                <w:div w:id="518159543">
                  <w:marLeft w:val="0"/>
                  <w:marRight w:val="0"/>
                  <w:marTop w:val="0"/>
                  <w:marBottom w:val="0"/>
                  <w:divBdr>
                    <w:top w:val="none" w:sz="0" w:space="0" w:color="auto"/>
                    <w:left w:val="none" w:sz="0" w:space="0" w:color="auto"/>
                    <w:bottom w:val="none" w:sz="0" w:space="0" w:color="auto"/>
                    <w:right w:val="none" w:sz="0" w:space="0" w:color="auto"/>
                  </w:divBdr>
                  <w:divsChild>
                    <w:div w:id="1374311944">
                      <w:marLeft w:val="0"/>
                      <w:marRight w:val="0"/>
                      <w:marTop w:val="0"/>
                      <w:marBottom w:val="0"/>
                      <w:divBdr>
                        <w:top w:val="none" w:sz="0" w:space="0" w:color="auto"/>
                        <w:left w:val="none" w:sz="0" w:space="0" w:color="auto"/>
                        <w:bottom w:val="none" w:sz="0" w:space="0" w:color="auto"/>
                        <w:right w:val="none" w:sz="0" w:space="0" w:color="auto"/>
                      </w:divBdr>
                      <w:divsChild>
                        <w:div w:id="48038364">
                          <w:marLeft w:val="0"/>
                          <w:marRight w:val="0"/>
                          <w:marTop w:val="0"/>
                          <w:marBottom w:val="0"/>
                          <w:divBdr>
                            <w:top w:val="none" w:sz="0" w:space="0" w:color="auto"/>
                            <w:left w:val="none" w:sz="0" w:space="0" w:color="auto"/>
                            <w:bottom w:val="none" w:sz="0" w:space="0" w:color="auto"/>
                            <w:right w:val="none" w:sz="0" w:space="0" w:color="auto"/>
                          </w:divBdr>
                          <w:divsChild>
                            <w:div w:id="20107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421233">
      <w:bodyDiv w:val="1"/>
      <w:marLeft w:val="0"/>
      <w:marRight w:val="0"/>
      <w:marTop w:val="0"/>
      <w:marBottom w:val="0"/>
      <w:divBdr>
        <w:top w:val="none" w:sz="0" w:space="0" w:color="auto"/>
        <w:left w:val="none" w:sz="0" w:space="0" w:color="auto"/>
        <w:bottom w:val="none" w:sz="0" w:space="0" w:color="auto"/>
        <w:right w:val="none" w:sz="0" w:space="0" w:color="auto"/>
      </w:divBdr>
    </w:div>
    <w:div w:id="249971773">
      <w:bodyDiv w:val="1"/>
      <w:marLeft w:val="0"/>
      <w:marRight w:val="0"/>
      <w:marTop w:val="0"/>
      <w:marBottom w:val="0"/>
      <w:divBdr>
        <w:top w:val="none" w:sz="0" w:space="0" w:color="auto"/>
        <w:left w:val="none" w:sz="0" w:space="0" w:color="auto"/>
        <w:bottom w:val="none" w:sz="0" w:space="0" w:color="auto"/>
        <w:right w:val="none" w:sz="0" w:space="0" w:color="auto"/>
      </w:divBdr>
    </w:div>
    <w:div w:id="274558602">
      <w:bodyDiv w:val="1"/>
      <w:marLeft w:val="0"/>
      <w:marRight w:val="0"/>
      <w:marTop w:val="0"/>
      <w:marBottom w:val="0"/>
      <w:divBdr>
        <w:top w:val="none" w:sz="0" w:space="0" w:color="auto"/>
        <w:left w:val="none" w:sz="0" w:space="0" w:color="auto"/>
        <w:bottom w:val="none" w:sz="0" w:space="0" w:color="auto"/>
        <w:right w:val="none" w:sz="0" w:space="0" w:color="auto"/>
      </w:divBdr>
    </w:div>
    <w:div w:id="311568929">
      <w:bodyDiv w:val="1"/>
      <w:marLeft w:val="0"/>
      <w:marRight w:val="0"/>
      <w:marTop w:val="0"/>
      <w:marBottom w:val="0"/>
      <w:divBdr>
        <w:top w:val="none" w:sz="0" w:space="0" w:color="auto"/>
        <w:left w:val="none" w:sz="0" w:space="0" w:color="auto"/>
        <w:bottom w:val="none" w:sz="0" w:space="0" w:color="auto"/>
        <w:right w:val="none" w:sz="0" w:space="0" w:color="auto"/>
      </w:divBdr>
    </w:div>
    <w:div w:id="347567078">
      <w:bodyDiv w:val="1"/>
      <w:marLeft w:val="0"/>
      <w:marRight w:val="0"/>
      <w:marTop w:val="0"/>
      <w:marBottom w:val="0"/>
      <w:divBdr>
        <w:top w:val="none" w:sz="0" w:space="0" w:color="auto"/>
        <w:left w:val="none" w:sz="0" w:space="0" w:color="auto"/>
        <w:bottom w:val="none" w:sz="0" w:space="0" w:color="auto"/>
        <w:right w:val="none" w:sz="0" w:space="0" w:color="auto"/>
      </w:divBdr>
    </w:div>
    <w:div w:id="374240827">
      <w:bodyDiv w:val="1"/>
      <w:marLeft w:val="0"/>
      <w:marRight w:val="0"/>
      <w:marTop w:val="0"/>
      <w:marBottom w:val="0"/>
      <w:divBdr>
        <w:top w:val="none" w:sz="0" w:space="0" w:color="auto"/>
        <w:left w:val="none" w:sz="0" w:space="0" w:color="auto"/>
        <w:bottom w:val="none" w:sz="0" w:space="0" w:color="auto"/>
        <w:right w:val="none" w:sz="0" w:space="0" w:color="auto"/>
      </w:divBdr>
    </w:div>
    <w:div w:id="402024166">
      <w:bodyDiv w:val="1"/>
      <w:marLeft w:val="0"/>
      <w:marRight w:val="0"/>
      <w:marTop w:val="0"/>
      <w:marBottom w:val="0"/>
      <w:divBdr>
        <w:top w:val="none" w:sz="0" w:space="0" w:color="auto"/>
        <w:left w:val="none" w:sz="0" w:space="0" w:color="auto"/>
        <w:bottom w:val="none" w:sz="0" w:space="0" w:color="auto"/>
        <w:right w:val="none" w:sz="0" w:space="0" w:color="auto"/>
      </w:divBdr>
    </w:div>
    <w:div w:id="407076742">
      <w:bodyDiv w:val="1"/>
      <w:marLeft w:val="0"/>
      <w:marRight w:val="0"/>
      <w:marTop w:val="0"/>
      <w:marBottom w:val="0"/>
      <w:divBdr>
        <w:top w:val="none" w:sz="0" w:space="0" w:color="auto"/>
        <w:left w:val="none" w:sz="0" w:space="0" w:color="auto"/>
        <w:bottom w:val="none" w:sz="0" w:space="0" w:color="auto"/>
        <w:right w:val="none" w:sz="0" w:space="0" w:color="auto"/>
      </w:divBdr>
      <w:divsChild>
        <w:div w:id="422578104">
          <w:marLeft w:val="0"/>
          <w:marRight w:val="0"/>
          <w:marTop w:val="0"/>
          <w:marBottom w:val="0"/>
          <w:divBdr>
            <w:top w:val="none" w:sz="0" w:space="0" w:color="auto"/>
            <w:left w:val="none" w:sz="0" w:space="0" w:color="auto"/>
            <w:bottom w:val="none" w:sz="0" w:space="0" w:color="auto"/>
            <w:right w:val="none" w:sz="0" w:space="0" w:color="auto"/>
          </w:divBdr>
          <w:divsChild>
            <w:div w:id="883710022">
              <w:marLeft w:val="0"/>
              <w:marRight w:val="0"/>
              <w:marTop w:val="0"/>
              <w:marBottom w:val="0"/>
              <w:divBdr>
                <w:top w:val="none" w:sz="0" w:space="0" w:color="auto"/>
                <w:left w:val="none" w:sz="0" w:space="0" w:color="auto"/>
                <w:bottom w:val="none" w:sz="0" w:space="0" w:color="auto"/>
                <w:right w:val="none" w:sz="0" w:space="0" w:color="auto"/>
              </w:divBdr>
              <w:divsChild>
                <w:div w:id="1493836797">
                  <w:marLeft w:val="0"/>
                  <w:marRight w:val="0"/>
                  <w:marTop w:val="0"/>
                  <w:marBottom w:val="0"/>
                  <w:divBdr>
                    <w:top w:val="none" w:sz="0" w:space="0" w:color="auto"/>
                    <w:left w:val="none" w:sz="0" w:space="0" w:color="auto"/>
                    <w:bottom w:val="none" w:sz="0" w:space="0" w:color="auto"/>
                    <w:right w:val="none" w:sz="0" w:space="0" w:color="auto"/>
                  </w:divBdr>
                  <w:divsChild>
                    <w:div w:id="1947535573">
                      <w:marLeft w:val="0"/>
                      <w:marRight w:val="0"/>
                      <w:marTop w:val="0"/>
                      <w:marBottom w:val="0"/>
                      <w:divBdr>
                        <w:top w:val="none" w:sz="0" w:space="0" w:color="auto"/>
                        <w:left w:val="none" w:sz="0" w:space="0" w:color="auto"/>
                        <w:bottom w:val="none" w:sz="0" w:space="0" w:color="auto"/>
                        <w:right w:val="none" w:sz="0" w:space="0" w:color="auto"/>
                      </w:divBdr>
                      <w:divsChild>
                        <w:div w:id="683871543">
                          <w:marLeft w:val="0"/>
                          <w:marRight w:val="0"/>
                          <w:marTop w:val="0"/>
                          <w:marBottom w:val="0"/>
                          <w:divBdr>
                            <w:top w:val="none" w:sz="0" w:space="0" w:color="auto"/>
                            <w:left w:val="none" w:sz="0" w:space="0" w:color="auto"/>
                            <w:bottom w:val="none" w:sz="0" w:space="0" w:color="auto"/>
                            <w:right w:val="none" w:sz="0" w:space="0" w:color="auto"/>
                          </w:divBdr>
                          <w:divsChild>
                            <w:div w:id="11877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451677">
      <w:bodyDiv w:val="1"/>
      <w:marLeft w:val="0"/>
      <w:marRight w:val="0"/>
      <w:marTop w:val="0"/>
      <w:marBottom w:val="0"/>
      <w:divBdr>
        <w:top w:val="none" w:sz="0" w:space="0" w:color="auto"/>
        <w:left w:val="none" w:sz="0" w:space="0" w:color="auto"/>
        <w:bottom w:val="none" w:sz="0" w:space="0" w:color="auto"/>
        <w:right w:val="none" w:sz="0" w:space="0" w:color="auto"/>
      </w:divBdr>
    </w:div>
    <w:div w:id="484442254">
      <w:bodyDiv w:val="1"/>
      <w:marLeft w:val="0"/>
      <w:marRight w:val="0"/>
      <w:marTop w:val="0"/>
      <w:marBottom w:val="0"/>
      <w:divBdr>
        <w:top w:val="none" w:sz="0" w:space="0" w:color="auto"/>
        <w:left w:val="none" w:sz="0" w:space="0" w:color="auto"/>
        <w:bottom w:val="none" w:sz="0" w:space="0" w:color="auto"/>
        <w:right w:val="none" w:sz="0" w:space="0" w:color="auto"/>
      </w:divBdr>
    </w:div>
    <w:div w:id="571819733">
      <w:bodyDiv w:val="1"/>
      <w:marLeft w:val="0"/>
      <w:marRight w:val="0"/>
      <w:marTop w:val="0"/>
      <w:marBottom w:val="0"/>
      <w:divBdr>
        <w:top w:val="none" w:sz="0" w:space="0" w:color="auto"/>
        <w:left w:val="none" w:sz="0" w:space="0" w:color="auto"/>
        <w:bottom w:val="none" w:sz="0" w:space="0" w:color="auto"/>
        <w:right w:val="none" w:sz="0" w:space="0" w:color="auto"/>
      </w:divBdr>
    </w:div>
    <w:div w:id="586154111">
      <w:bodyDiv w:val="1"/>
      <w:marLeft w:val="0"/>
      <w:marRight w:val="0"/>
      <w:marTop w:val="0"/>
      <w:marBottom w:val="0"/>
      <w:divBdr>
        <w:top w:val="none" w:sz="0" w:space="0" w:color="auto"/>
        <w:left w:val="none" w:sz="0" w:space="0" w:color="auto"/>
        <w:bottom w:val="none" w:sz="0" w:space="0" w:color="auto"/>
        <w:right w:val="none" w:sz="0" w:space="0" w:color="auto"/>
      </w:divBdr>
    </w:div>
    <w:div w:id="588348410">
      <w:bodyDiv w:val="1"/>
      <w:marLeft w:val="0"/>
      <w:marRight w:val="0"/>
      <w:marTop w:val="0"/>
      <w:marBottom w:val="0"/>
      <w:divBdr>
        <w:top w:val="none" w:sz="0" w:space="0" w:color="auto"/>
        <w:left w:val="none" w:sz="0" w:space="0" w:color="auto"/>
        <w:bottom w:val="none" w:sz="0" w:space="0" w:color="auto"/>
        <w:right w:val="none" w:sz="0" w:space="0" w:color="auto"/>
      </w:divBdr>
    </w:div>
    <w:div w:id="608972402">
      <w:bodyDiv w:val="1"/>
      <w:marLeft w:val="0"/>
      <w:marRight w:val="0"/>
      <w:marTop w:val="0"/>
      <w:marBottom w:val="0"/>
      <w:divBdr>
        <w:top w:val="none" w:sz="0" w:space="0" w:color="auto"/>
        <w:left w:val="none" w:sz="0" w:space="0" w:color="auto"/>
        <w:bottom w:val="none" w:sz="0" w:space="0" w:color="auto"/>
        <w:right w:val="none" w:sz="0" w:space="0" w:color="auto"/>
      </w:divBdr>
    </w:div>
    <w:div w:id="768356888">
      <w:bodyDiv w:val="1"/>
      <w:marLeft w:val="0"/>
      <w:marRight w:val="0"/>
      <w:marTop w:val="0"/>
      <w:marBottom w:val="0"/>
      <w:divBdr>
        <w:top w:val="none" w:sz="0" w:space="0" w:color="auto"/>
        <w:left w:val="none" w:sz="0" w:space="0" w:color="auto"/>
        <w:bottom w:val="none" w:sz="0" w:space="0" w:color="auto"/>
        <w:right w:val="none" w:sz="0" w:space="0" w:color="auto"/>
      </w:divBdr>
    </w:div>
    <w:div w:id="954141203">
      <w:bodyDiv w:val="1"/>
      <w:marLeft w:val="0"/>
      <w:marRight w:val="0"/>
      <w:marTop w:val="0"/>
      <w:marBottom w:val="0"/>
      <w:divBdr>
        <w:top w:val="none" w:sz="0" w:space="0" w:color="auto"/>
        <w:left w:val="none" w:sz="0" w:space="0" w:color="auto"/>
        <w:bottom w:val="none" w:sz="0" w:space="0" w:color="auto"/>
        <w:right w:val="none" w:sz="0" w:space="0" w:color="auto"/>
      </w:divBdr>
    </w:div>
    <w:div w:id="986278419">
      <w:bodyDiv w:val="1"/>
      <w:marLeft w:val="0"/>
      <w:marRight w:val="0"/>
      <w:marTop w:val="0"/>
      <w:marBottom w:val="0"/>
      <w:divBdr>
        <w:top w:val="none" w:sz="0" w:space="0" w:color="auto"/>
        <w:left w:val="none" w:sz="0" w:space="0" w:color="auto"/>
        <w:bottom w:val="none" w:sz="0" w:space="0" w:color="auto"/>
        <w:right w:val="none" w:sz="0" w:space="0" w:color="auto"/>
      </w:divBdr>
    </w:div>
    <w:div w:id="1145388865">
      <w:bodyDiv w:val="1"/>
      <w:marLeft w:val="0"/>
      <w:marRight w:val="0"/>
      <w:marTop w:val="0"/>
      <w:marBottom w:val="0"/>
      <w:divBdr>
        <w:top w:val="none" w:sz="0" w:space="0" w:color="auto"/>
        <w:left w:val="none" w:sz="0" w:space="0" w:color="auto"/>
        <w:bottom w:val="none" w:sz="0" w:space="0" w:color="auto"/>
        <w:right w:val="none" w:sz="0" w:space="0" w:color="auto"/>
      </w:divBdr>
    </w:div>
    <w:div w:id="1187334153">
      <w:bodyDiv w:val="1"/>
      <w:marLeft w:val="0"/>
      <w:marRight w:val="0"/>
      <w:marTop w:val="0"/>
      <w:marBottom w:val="0"/>
      <w:divBdr>
        <w:top w:val="none" w:sz="0" w:space="0" w:color="auto"/>
        <w:left w:val="none" w:sz="0" w:space="0" w:color="auto"/>
        <w:bottom w:val="none" w:sz="0" w:space="0" w:color="auto"/>
        <w:right w:val="none" w:sz="0" w:space="0" w:color="auto"/>
      </w:divBdr>
    </w:div>
    <w:div w:id="1298686141">
      <w:bodyDiv w:val="1"/>
      <w:marLeft w:val="0"/>
      <w:marRight w:val="0"/>
      <w:marTop w:val="0"/>
      <w:marBottom w:val="0"/>
      <w:divBdr>
        <w:top w:val="none" w:sz="0" w:space="0" w:color="auto"/>
        <w:left w:val="none" w:sz="0" w:space="0" w:color="auto"/>
        <w:bottom w:val="none" w:sz="0" w:space="0" w:color="auto"/>
        <w:right w:val="none" w:sz="0" w:space="0" w:color="auto"/>
      </w:divBdr>
    </w:div>
    <w:div w:id="1418404906">
      <w:bodyDiv w:val="1"/>
      <w:marLeft w:val="0"/>
      <w:marRight w:val="0"/>
      <w:marTop w:val="0"/>
      <w:marBottom w:val="0"/>
      <w:divBdr>
        <w:top w:val="none" w:sz="0" w:space="0" w:color="auto"/>
        <w:left w:val="none" w:sz="0" w:space="0" w:color="auto"/>
        <w:bottom w:val="none" w:sz="0" w:space="0" w:color="auto"/>
        <w:right w:val="none" w:sz="0" w:space="0" w:color="auto"/>
      </w:divBdr>
    </w:div>
    <w:div w:id="1528836968">
      <w:bodyDiv w:val="1"/>
      <w:marLeft w:val="0"/>
      <w:marRight w:val="0"/>
      <w:marTop w:val="0"/>
      <w:marBottom w:val="0"/>
      <w:divBdr>
        <w:top w:val="none" w:sz="0" w:space="0" w:color="auto"/>
        <w:left w:val="none" w:sz="0" w:space="0" w:color="auto"/>
        <w:bottom w:val="none" w:sz="0" w:space="0" w:color="auto"/>
        <w:right w:val="none" w:sz="0" w:space="0" w:color="auto"/>
      </w:divBdr>
      <w:divsChild>
        <w:div w:id="1191839954">
          <w:marLeft w:val="0"/>
          <w:marRight w:val="0"/>
          <w:marTop w:val="0"/>
          <w:marBottom w:val="0"/>
          <w:divBdr>
            <w:top w:val="none" w:sz="0" w:space="0" w:color="auto"/>
            <w:left w:val="none" w:sz="0" w:space="0" w:color="auto"/>
            <w:bottom w:val="none" w:sz="0" w:space="0" w:color="auto"/>
            <w:right w:val="none" w:sz="0" w:space="0" w:color="auto"/>
          </w:divBdr>
          <w:divsChild>
            <w:div w:id="1573197217">
              <w:marLeft w:val="0"/>
              <w:marRight w:val="0"/>
              <w:marTop w:val="0"/>
              <w:marBottom w:val="0"/>
              <w:divBdr>
                <w:top w:val="none" w:sz="0" w:space="0" w:color="auto"/>
                <w:left w:val="none" w:sz="0" w:space="0" w:color="auto"/>
                <w:bottom w:val="none" w:sz="0" w:space="0" w:color="auto"/>
                <w:right w:val="none" w:sz="0" w:space="0" w:color="auto"/>
              </w:divBdr>
              <w:divsChild>
                <w:div w:id="1833833753">
                  <w:marLeft w:val="0"/>
                  <w:marRight w:val="0"/>
                  <w:marTop w:val="0"/>
                  <w:marBottom w:val="0"/>
                  <w:divBdr>
                    <w:top w:val="none" w:sz="0" w:space="0" w:color="auto"/>
                    <w:left w:val="none" w:sz="0" w:space="0" w:color="auto"/>
                    <w:bottom w:val="none" w:sz="0" w:space="0" w:color="auto"/>
                    <w:right w:val="none" w:sz="0" w:space="0" w:color="auto"/>
                  </w:divBdr>
                  <w:divsChild>
                    <w:div w:id="1620722529">
                      <w:marLeft w:val="0"/>
                      <w:marRight w:val="0"/>
                      <w:marTop w:val="0"/>
                      <w:marBottom w:val="0"/>
                      <w:divBdr>
                        <w:top w:val="none" w:sz="0" w:space="0" w:color="auto"/>
                        <w:left w:val="none" w:sz="0" w:space="0" w:color="auto"/>
                        <w:bottom w:val="none" w:sz="0" w:space="0" w:color="auto"/>
                        <w:right w:val="none" w:sz="0" w:space="0" w:color="auto"/>
                      </w:divBdr>
                      <w:divsChild>
                        <w:div w:id="1814247170">
                          <w:marLeft w:val="0"/>
                          <w:marRight w:val="0"/>
                          <w:marTop w:val="0"/>
                          <w:marBottom w:val="0"/>
                          <w:divBdr>
                            <w:top w:val="none" w:sz="0" w:space="0" w:color="auto"/>
                            <w:left w:val="none" w:sz="0" w:space="0" w:color="auto"/>
                            <w:bottom w:val="none" w:sz="0" w:space="0" w:color="auto"/>
                            <w:right w:val="none" w:sz="0" w:space="0" w:color="auto"/>
                          </w:divBdr>
                          <w:divsChild>
                            <w:div w:id="20497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806214">
      <w:bodyDiv w:val="1"/>
      <w:marLeft w:val="0"/>
      <w:marRight w:val="0"/>
      <w:marTop w:val="0"/>
      <w:marBottom w:val="0"/>
      <w:divBdr>
        <w:top w:val="none" w:sz="0" w:space="0" w:color="auto"/>
        <w:left w:val="none" w:sz="0" w:space="0" w:color="auto"/>
        <w:bottom w:val="none" w:sz="0" w:space="0" w:color="auto"/>
        <w:right w:val="none" w:sz="0" w:space="0" w:color="auto"/>
      </w:divBdr>
    </w:div>
    <w:div w:id="1635018760">
      <w:bodyDiv w:val="1"/>
      <w:marLeft w:val="0"/>
      <w:marRight w:val="0"/>
      <w:marTop w:val="0"/>
      <w:marBottom w:val="0"/>
      <w:divBdr>
        <w:top w:val="none" w:sz="0" w:space="0" w:color="auto"/>
        <w:left w:val="none" w:sz="0" w:space="0" w:color="auto"/>
        <w:bottom w:val="none" w:sz="0" w:space="0" w:color="auto"/>
        <w:right w:val="none" w:sz="0" w:space="0" w:color="auto"/>
      </w:divBdr>
    </w:div>
    <w:div w:id="1656061691">
      <w:bodyDiv w:val="1"/>
      <w:marLeft w:val="0"/>
      <w:marRight w:val="0"/>
      <w:marTop w:val="0"/>
      <w:marBottom w:val="0"/>
      <w:divBdr>
        <w:top w:val="none" w:sz="0" w:space="0" w:color="auto"/>
        <w:left w:val="none" w:sz="0" w:space="0" w:color="auto"/>
        <w:bottom w:val="none" w:sz="0" w:space="0" w:color="auto"/>
        <w:right w:val="none" w:sz="0" w:space="0" w:color="auto"/>
      </w:divBdr>
    </w:div>
    <w:div w:id="1686831730">
      <w:bodyDiv w:val="1"/>
      <w:marLeft w:val="0"/>
      <w:marRight w:val="0"/>
      <w:marTop w:val="0"/>
      <w:marBottom w:val="0"/>
      <w:divBdr>
        <w:top w:val="none" w:sz="0" w:space="0" w:color="auto"/>
        <w:left w:val="none" w:sz="0" w:space="0" w:color="auto"/>
        <w:bottom w:val="none" w:sz="0" w:space="0" w:color="auto"/>
        <w:right w:val="none" w:sz="0" w:space="0" w:color="auto"/>
      </w:divBdr>
    </w:div>
    <w:div w:id="1687054931">
      <w:bodyDiv w:val="1"/>
      <w:marLeft w:val="0"/>
      <w:marRight w:val="0"/>
      <w:marTop w:val="0"/>
      <w:marBottom w:val="0"/>
      <w:divBdr>
        <w:top w:val="none" w:sz="0" w:space="0" w:color="auto"/>
        <w:left w:val="none" w:sz="0" w:space="0" w:color="auto"/>
        <w:bottom w:val="none" w:sz="0" w:space="0" w:color="auto"/>
        <w:right w:val="none" w:sz="0" w:space="0" w:color="auto"/>
      </w:divBdr>
    </w:div>
    <w:div w:id="1728256777">
      <w:bodyDiv w:val="1"/>
      <w:marLeft w:val="0"/>
      <w:marRight w:val="0"/>
      <w:marTop w:val="0"/>
      <w:marBottom w:val="0"/>
      <w:divBdr>
        <w:top w:val="none" w:sz="0" w:space="0" w:color="auto"/>
        <w:left w:val="none" w:sz="0" w:space="0" w:color="auto"/>
        <w:bottom w:val="none" w:sz="0" w:space="0" w:color="auto"/>
        <w:right w:val="none" w:sz="0" w:space="0" w:color="auto"/>
      </w:divBdr>
    </w:div>
    <w:div w:id="1779983157">
      <w:bodyDiv w:val="1"/>
      <w:marLeft w:val="0"/>
      <w:marRight w:val="0"/>
      <w:marTop w:val="0"/>
      <w:marBottom w:val="0"/>
      <w:divBdr>
        <w:top w:val="none" w:sz="0" w:space="0" w:color="auto"/>
        <w:left w:val="none" w:sz="0" w:space="0" w:color="auto"/>
        <w:bottom w:val="none" w:sz="0" w:space="0" w:color="auto"/>
        <w:right w:val="none" w:sz="0" w:space="0" w:color="auto"/>
      </w:divBdr>
    </w:div>
    <w:div w:id="1809085299">
      <w:bodyDiv w:val="1"/>
      <w:marLeft w:val="0"/>
      <w:marRight w:val="0"/>
      <w:marTop w:val="0"/>
      <w:marBottom w:val="0"/>
      <w:divBdr>
        <w:top w:val="none" w:sz="0" w:space="0" w:color="auto"/>
        <w:left w:val="none" w:sz="0" w:space="0" w:color="auto"/>
        <w:bottom w:val="none" w:sz="0" w:space="0" w:color="auto"/>
        <w:right w:val="none" w:sz="0" w:space="0" w:color="auto"/>
      </w:divBdr>
    </w:div>
    <w:div w:id="1851486548">
      <w:bodyDiv w:val="1"/>
      <w:marLeft w:val="0"/>
      <w:marRight w:val="0"/>
      <w:marTop w:val="0"/>
      <w:marBottom w:val="0"/>
      <w:divBdr>
        <w:top w:val="none" w:sz="0" w:space="0" w:color="auto"/>
        <w:left w:val="none" w:sz="0" w:space="0" w:color="auto"/>
        <w:bottom w:val="none" w:sz="0" w:space="0" w:color="auto"/>
        <w:right w:val="none" w:sz="0" w:space="0" w:color="auto"/>
      </w:divBdr>
    </w:div>
    <w:div w:id="1910190422">
      <w:bodyDiv w:val="1"/>
      <w:marLeft w:val="0"/>
      <w:marRight w:val="0"/>
      <w:marTop w:val="0"/>
      <w:marBottom w:val="0"/>
      <w:divBdr>
        <w:top w:val="none" w:sz="0" w:space="0" w:color="auto"/>
        <w:left w:val="none" w:sz="0" w:space="0" w:color="auto"/>
        <w:bottom w:val="none" w:sz="0" w:space="0" w:color="auto"/>
        <w:right w:val="none" w:sz="0" w:space="0" w:color="auto"/>
      </w:divBdr>
    </w:div>
    <w:div w:id="1997610936">
      <w:bodyDiv w:val="1"/>
      <w:marLeft w:val="0"/>
      <w:marRight w:val="0"/>
      <w:marTop w:val="0"/>
      <w:marBottom w:val="0"/>
      <w:divBdr>
        <w:top w:val="none" w:sz="0" w:space="0" w:color="auto"/>
        <w:left w:val="none" w:sz="0" w:space="0" w:color="auto"/>
        <w:bottom w:val="none" w:sz="0" w:space="0" w:color="auto"/>
        <w:right w:val="none" w:sz="0" w:space="0" w:color="auto"/>
      </w:divBdr>
    </w:div>
    <w:div w:id="2030066115">
      <w:bodyDiv w:val="1"/>
      <w:marLeft w:val="0"/>
      <w:marRight w:val="0"/>
      <w:marTop w:val="0"/>
      <w:marBottom w:val="0"/>
      <w:divBdr>
        <w:top w:val="none" w:sz="0" w:space="0" w:color="auto"/>
        <w:left w:val="none" w:sz="0" w:space="0" w:color="auto"/>
        <w:bottom w:val="none" w:sz="0" w:space="0" w:color="auto"/>
        <w:right w:val="none" w:sz="0" w:space="0" w:color="auto"/>
      </w:divBdr>
    </w:div>
    <w:div w:id="2053844191">
      <w:bodyDiv w:val="1"/>
      <w:marLeft w:val="0"/>
      <w:marRight w:val="0"/>
      <w:marTop w:val="0"/>
      <w:marBottom w:val="0"/>
      <w:divBdr>
        <w:top w:val="none" w:sz="0" w:space="0" w:color="auto"/>
        <w:left w:val="none" w:sz="0" w:space="0" w:color="auto"/>
        <w:bottom w:val="none" w:sz="0" w:space="0" w:color="auto"/>
        <w:right w:val="none" w:sz="0" w:space="0" w:color="auto"/>
      </w:divBdr>
    </w:div>
    <w:div w:id="2093354250">
      <w:bodyDiv w:val="1"/>
      <w:marLeft w:val="0"/>
      <w:marRight w:val="0"/>
      <w:marTop w:val="0"/>
      <w:marBottom w:val="0"/>
      <w:divBdr>
        <w:top w:val="none" w:sz="0" w:space="0" w:color="auto"/>
        <w:left w:val="none" w:sz="0" w:space="0" w:color="auto"/>
        <w:bottom w:val="none" w:sz="0" w:space="0" w:color="auto"/>
        <w:right w:val="none" w:sz="0" w:space="0" w:color="auto"/>
      </w:divBdr>
    </w:div>
    <w:div w:id="210379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publications.jrc.ec.europa.eu/repository/handle/JRC31473"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787/9789264043466-en"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montalvo\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37637D4-1F90-41F6-BD43-B645A243A33C}">
  <ds:schemaRefs>
    <ds:schemaRef ds:uri="http://schemas.openxmlformats.org/officeDocument/2006/bibliography"/>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165</TotalTime>
  <Pages>19</Pages>
  <Words>6817</Words>
  <Characters>38858</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Montalvo Sanz</dc:creator>
  <cp:keywords/>
  <dc:description/>
  <cp:lastModifiedBy>Pablo Montalvo Sanz</cp:lastModifiedBy>
  <cp:revision>22</cp:revision>
  <dcterms:created xsi:type="dcterms:W3CDTF">2024-09-10T09:53:00Z</dcterms:created>
  <dcterms:modified xsi:type="dcterms:W3CDTF">2024-09-16T11:37:00Z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