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061D1" w14:textId="7E3BC610" w:rsidR="00FC56B2" w:rsidRPr="00B408B6" w:rsidRDefault="00FC56B2" w:rsidP="004B14AE">
      <w:pPr>
        <w:jc w:val="both"/>
        <w:rPr>
          <w:b/>
        </w:rPr>
      </w:pPr>
      <w:r w:rsidRPr="00B408B6">
        <w:rPr>
          <w:b/>
        </w:rPr>
        <w:t>Amy VanScoy</w:t>
      </w:r>
    </w:p>
    <w:p w14:paraId="2E7B3CC4" w14:textId="036789C8" w:rsidR="00FC56B2" w:rsidRPr="00B408B6" w:rsidRDefault="00FC56B2" w:rsidP="004B14AE">
      <w:pPr>
        <w:jc w:val="both"/>
        <w:rPr>
          <w:b/>
        </w:rPr>
      </w:pPr>
      <w:r w:rsidRPr="00B408B6">
        <w:rPr>
          <w:b/>
        </w:rPr>
        <w:t>Un</w:t>
      </w:r>
      <w:r w:rsidR="003560A2">
        <w:rPr>
          <w:b/>
        </w:rPr>
        <w:t>iversity at Buffalo, Buffalo, New York</w:t>
      </w:r>
      <w:r w:rsidRPr="00B408B6">
        <w:rPr>
          <w:b/>
        </w:rPr>
        <w:t>, USA</w:t>
      </w:r>
    </w:p>
    <w:p w14:paraId="1FB0C227" w14:textId="77777777" w:rsidR="00FC56B2" w:rsidRPr="00B408B6" w:rsidRDefault="00FC56B2" w:rsidP="004B14AE">
      <w:pPr>
        <w:jc w:val="both"/>
        <w:rPr>
          <w:b/>
        </w:rPr>
      </w:pPr>
    </w:p>
    <w:p w14:paraId="17DDA3E5" w14:textId="726B1290" w:rsidR="00FC56B2" w:rsidRPr="00B408B6" w:rsidRDefault="00FC56B2" w:rsidP="004B14AE">
      <w:pPr>
        <w:jc w:val="both"/>
        <w:rPr>
          <w:b/>
        </w:rPr>
      </w:pPr>
      <w:r w:rsidRPr="00B408B6">
        <w:rPr>
          <w:b/>
        </w:rPr>
        <w:t>Heidi Julien</w:t>
      </w:r>
    </w:p>
    <w:p w14:paraId="5B152556" w14:textId="23FB98D9" w:rsidR="00FC56B2" w:rsidRPr="00B408B6" w:rsidRDefault="00FC56B2" w:rsidP="004B14AE">
      <w:pPr>
        <w:jc w:val="both"/>
        <w:rPr>
          <w:b/>
        </w:rPr>
      </w:pPr>
      <w:r w:rsidRPr="00B408B6">
        <w:rPr>
          <w:b/>
        </w:rPr>
        <w:t>Un</w:t>
      </w:r>
      <w:r w:rsidR="003560A2">
        <w:rPr>
          <w:b/>
        </w:rPr>
        <w:t>iversity at Buffalo, Buffalo, New York</w:t>
      </w:r>
      <w:r w:rsidRPr="00B408B6">
        <w:rPr>
          <w:b/>
        </w:rPr>
        <w:t>, USA</w:t>
      </w:r>
    </w:p>
    <w:p w14:paraId="6016C597" w14:textId="77777777" w:rsidR="00FC56B2" w:rsidRPr="00B408B6" w:rsidRDefault="00FC56B2" w:rsidP="004B14AE">
      <w:pPr>
        <w:jc w:val="both"/>
        <w:rPr>
          <w:b/>
        </w:rPr>
      </w:pPr>
    </w:p>
    <w:p w14:paraId="2CE543E9" w14:textId="10B4251D" w:rsidR="00FC56B2" w:rsidRPr="00B408B6" w:rsidRDefault="00FC56B2" w:rsidP="004B14AE">
      <w:pPr>
        <w:jc w:val="both"/>
        <w:rPr>
          <w:b/>
        </w:rPr>
      </w:pPr>
      <w:r w:rsidRPr="00B408B6">
        <w:rPr>
          <w:b/>
        </w:rPr>
        <w:t>Alison Harding</w:t>
      </w:r>
    </w:p>
    <w:p w14:paraId="562A51EA" w14:textId="07421848" w:rsidR="00FC56B2" w:rsidRPr="00B408B6" w:rsidRDefault="00FC56B2" w:rsidP="004B14AE">
      <w:pPr>
        <w:jc w:val="both"/>
        <w:rPr>
          <w:b/>
        </w:rPr>
      </w:pPr>
      <w:r w:rsidRPr="00B408B6">
        <w:rPr>
          <w:b/>
        </w:rPr>
        <w:t>Un</w:t>
      </w:r>
      <w:r w:rsidR="003560A2">
        <w:rPr>
          <w:b/>
        </w:rPr>
        <w:t>iversity at Buffalo, Buffalo, New York</w:t>
      </w:r>
      <w:bookmarkStart w:id="0" w:name="_GoBack"/>
      <w:bookmarkEnd w:id="0"/>
      <w:r w:rsidRPr="00B408B6">
        <w:rPr>
          <w:b/>
        </w:rPr>
        <w:t>, USA</w:t>
      </w:r>
    </w:p>
    <w:p w14:paraId="7B15611E" w14:textId="77777777" w:rsidR="00FC56B2" w:rsidRDefault="00FC56B2" w:rsidP="004B14AE">
      <w:pPr>
        <w:jc w:val="both"/>
        <w:rPr>
          <w:caps/>
        </w:rPr>
      </w:pPr>
    </w:p>
    <w:p w14:paraId="6349B9C2" w14:textId="77777777" w:rsidR="003560A2" w:rsidRPr="00B408B6" w:rsidRDefault="003560A2" w:rsidP="004B14AE">
      <w:pPr>
        <w:jc w:val="both"/>
        <w:rPr>
          <w:caps/>
        </w:rPr>
      </w:pPr>
    </w:p>
    <w:p w14:paraId="28475168" w14:textId="376BB807" w:rsidR="002565F4" w:rsidRPr="00026945" w:rsidRDefault="002565F4" w:rsidP="004B14AE">
      <w:pPr>
        <w:jc w:val="both"/>
        <w:rPr>
          <w:caps/>
          <w:sz w:val="36"/>
          <w:szCs w:val="36"/>
        </w:rPr>
      </w:pPr>
      <w:r w:rsidRPr="00026945">
        <w:rPr>
          <w:caps/>
          <w:sz w:val="36"/>
          <w:szCs w:val="36"/>
        </w:rPr>
        <w:t xml:space="preserve">Encouraging Convergence of Information </w:t>
      </w:r>
      <w:r w:rsidR="00EC30BD" w:rsidRPr="00026945">
        <w:rPr>
          <w:caps/>
          <w:sz w:val="36"/>
          <w:szCs w:val="36"/>
        </w:rPr>
        <w:t>Behaviour</w:t>
      </w:r>
      <w:r w:rsidRPr="00026945">
        <w:rPr>
          <w:caps/>
          <w:sz w:val="36"/>
          <w:szCs w:val="36"/>
        </w:rPr>
        <w:t xml:space="preserve"> Theory and Information Services Education</w:t>
      </w:r>
      <w:r w:rsidR="00026945">
        <w:rPr>
          <w:caps/>
          <w:sz w:val="36"/>
          <w:szCs w:val="36"/>
        </w:rPr>
        <w:t xml:space="preserve"> </w:t>
      </w:r>
      <w:r w:rsidR="00026945">
        <w:rPr>
          <w:sz w:val="36"/>
          <w:szCs w:val="36"/>
        </w:rPr>
        <w:t>(PAPER)</w:t>
      </w:r>
    </w:p>
    <w:p w14:paraId="7D51C9CC" w14:textId="77777777" w:rsidR="002565F4" w:rsidRDefault="002565F4" w:rsidP="004B14AE">
      <w:pPr>
        <w:jc w:val="both"/>
      </w:pPr>
    </w:p>
    <w:p w14:paraId="1E68212B" w14:textId="77777777" w:rsidR="003560A2" w:rsidRPr="00B31AF2" w:rsidRDefault="003560A2" w:rsidP="004B14AE">
      <w:pPr>
        <w:jc w:val="both"/>
      </w:pPr>
    </w:p>
    <w:p w14:paraId="4565EAA7" w14:textId="5DF80367" w:rsidR="004B14AE" w:rsidRPr="00B31AF2" w:rsidRDefault="004B14AE" w:rsidP="004B14AE">
      <w:pPr>
        <w:jc w:val="both"/>
      </w:pPr>
      <w:r w:rsidRPr="00B31AF2">
        <w:rPr>
          <w:b/>
          <w:sz w:val="22"/>
          <w:szCs w:val="22"/>
        </w:rPr>
        <w:t>Abstract:</w:t>
      </w:r>
    </w:p>
    <w:p w14:paraId="71E7CF79" w14:textId="58547D59" w:rsidR="004B14AE" w:rsidRDefault="004B14AE" w:rsidP="004B14AE">
      <w:pPr>
        <w:jc w:val="both"/>
      </w:pPr>
    </w:p>
    <w:p w14:paraId="3C59A8AF" w14:textId="16199C6F" w:rsidR="0095534D" w:rsidRDefault="0095534D" w:rsidP="004B14AE">
      <w:pPr>
        <w:jc w:val="both"/>
      </w:pPr>
      <w:r>
        <w:t xml:space="preserve">Information behaviour theory, models, and concepts </w:t>
      </w:r>
      <w:r w:rsidR="00211EF4">
        <w:t xml:space="preserve">(IB TMCs) </w:t>
      </w:r>
      <w:r>
        <w:t>are foundational for effective reference and information services</w:t>
      </w:r>
      <w:r w:rsidR="00EC30BD">
        <w:t xml:space="preserve"> (RIS) and yet they </w:t>
      </w:r>
      <w:r w:rsidR="00F715D7">
        <w:t>are</w:t>
      </w:r>
      <w:r w:rsidR="00026945">
        <w:t xml:space="preserve"> not widely addressed in</w:t>
      </w:r>
      <w:r w:rsidR="00455A08">
        <w:t xml:space="preserve"> basic RIS courses. This presentation reports preliminary findings from a broader study exploring which</w:t>
      </w:r>
      <w:r>
        <w:t xml:space="preserve"> </w:t>
      </w:r>
      <w:r w:rsidR="00211EF4">
        <w:t>IB TMCs</w:t>
      </w:r>
      <w:r w:rsidR="00455A08">
        <w:t xml:space="preserve"> are introduced in RIS courses and how they are treated</w:t>
      </w:r>
      <w:r w:rsidR="00211EF4">
        <w:t xml:space="preserve">. Course syllabi and assigned textbooks of </w:t>
      </w:r>
      <w:r w:rsidR="007E0824">
        <w:t>RIS</w:t>
      </w:r>
      <w:r w:rsidR="00211EF4">
        <w:t xml:space="preserve"> courses were analyzed </w:t>
      </w:r>
      <w:r w:rsidR="00026945">
        <w:t>for integrat</w:t>
      </w:r>
      <w:r w:rsidR="00455A08">
        <w:t>ion of IB TMCs. This analysis will be</w:t>
      </w:r>
      <w:r w:rsidR="00026945">
        <w:t xml:space="preserve"> followed by </w:t>
      </w:r>
      <w:r w:rsidR="00211EF4">
        <w:t>a survey of instructors of these courses</w:t>
      </w:r>
      <w:r w:rsidR="00026945">
        <w:t xml:space="preserve"> to determine key factors in integration of IB TMCs.</w:t>
      </w:r>
      <w:r w:rsidR="00211EF4">
        <w:t xml:space="preserve"> </w:t>
      </w:r>
      <w:r w:rsidR="00026945">
        <w:t>Preliminary r</w:t>
      </w:r>
      <w:r w:rsidR="00211EF4">
        <w:t xml:space="preserve">esults indicate that treatment of IB TMCs </w:t>
      </w:r>
      <w:r w:rsidR="00026945">
        <w:t>remain</w:t>
      </w:r>
      <w:r w:rsidR="00211EF4">
        <w:t xml:space="preserve"> limite</w:t>
      </w:r>
      <w:r w:rsidR="00026945">
        <w:t>d and suggest that IB scholars may have an impact on the integration of their work</w:t>
      </w:r>
      <w:r w:rsidR="00211EF4">
        <w:t>.</w:t>
      </w:r>
    </w:p>
    <w:p w14:paraId="15D954C6" w14:textId="4DB780CC" w:rsidR="0095534D" w:rsidRDefault="0095534D" w:rsidP="004B14AE">
      <w:pPr>
        <w:jc w:val="both"/>
      </w:pPr>
    </w:p>
    <w:p w14:paraId="13D4E116" w14:textId="77777777" w:rsidR="00A35DEF" w:rsidRPr="00B31AF2" w:rsidRDefault="00A35DEF" w:rsidP="004B14AE">
      <w:pPr>
        <w:jc w:val="both"/>
      </w:pPr>
    </w:p>
    <w:p w14:paraId="650F47BF" w14:textId="627CEA0A" w:rsidR="004B14AE" w:rsidRPr="00B31AF2" w:rsidRDefault="004B14AE" w:rsidP="00B31AF2">
      <w:pPr>
        <w:pStyle w:val="ListParagraph"/>
        <w:numPr>
          <w:ilvl w:val="0"/>
          <w:numId w:val="3"/>
        </w:numPr>
        <w:jc w:val="both"/>
        <w:rPr>
          <w:b/>
        </w:rPr>
      </w:pPr>
      <w:r w:rsidRPr="00B31AF2">
        <w:rPr>
          <w:b/>
        </w:rPr>
        <w:t>Introduction</w:t>
      </w:r>
    </w:p>
    <w:p w14:paraId="64A5B8C4" w14:textId="3A901919" w:rsidR="00EA3E80" w:rsidRDefault="00FC7788" w:rsidP="0034385B">
      <w:r>
        <w:t xml:space="preserve">Information </w:t>
      </w:r>
      <w:r w:rsidR="00EC30BD">
        <w:t>behaviour</w:t>
      </w:r>
      <w:r w:rsidR="00DF6463">
        <w:t xml:space="preserve"> (IB)</w:t>
      </w:r>
      <w:r>
        <w:t xml:space="preserve"> is a critical research area for informing </w:t>
      </w:r>
      <w:r w:rsidR="005846A5">
        <w:t>research and information services (RIS)</w:t>
      </w:r>
      <w:r>
        <w:t xml:space="preserve">. RIS practice must be </w:t>
      </w:r>
      <w:r w:rsidRPr="00B31AF2">
        <w:t xml:space="preserve">predicated on what is understood about how users think about their information needs, how they search for information to meet those needs, and what they do with that information once found. That understanding includes a complex mix of users’ cognition, affect, and behaviours. </w:t>
      </w:r>
      <w:r>
        <w:t xml:space="preserve">Information </w:t>
      </w:r>
      <w:r w:rsidR="00EC30BD">
        <w:t>behaviour</w:t>
      </w:r>
      <w:r>
        <w:t xml:space="preserve"> theories, models, and concepts</w:t>
      </w:r>
      <w:r w:rsidR="00DF6463">
        <w:t xml:space="preserve"> (IB TMCSs)</w:t>
      </w:r>
      <w:r>
        <w:t xml:space="preserve"> are not, however, well-integrated into RIS practice. In her study of library-related trade publications, King</w:t>
      </w:r>
      <w:r w:rsidR="00F715D7">
        <w:t>r</w:t>
      </w:r>
      <w:r>
        <w:t>ey (2002) found that information seeking concepts were not present. In their study of professional associations’ RIS-related competency standards, Hicks</w:t>
      </w:r>
      <w:r w:rsidR="00B46527">
        <w:t xml:space="preserve"> and VanScoy</w:t>
      </w:r>
      <w:r>
        <w:t xml:space="preserve"> (2019) found that information </w:t>
      </w:r>
      <w:r w:rsidR="00EC30BD">
        <w:t>behaviour</w:t>
      </w:r>
      <w:r>
        <w:t xml:space="preserve"> was generally not treated as an area of expertise. </w:t>
      </w:r>
    </w:p>
    <w:p w14:paraId="64D0A4AA" w14:textId="77777777" w:rsidR="00EA3E80" w:rsidRDefault="00EA3E80" w:rsidP="0034385B"/>
    <w:p w14:paraId="720605A4" w14:textId="71E71640" w:rsidR="00FC7788" w:rsidRDefault="00FC7788" w:rsidP="0034385B">
      <w:r>
        <w:t xml:space="preserve">The lack of attention to </w:t>
      </w:r>
      <w:r w:rsidR="005846A5">
        <w:t>IB TMCs</w:t>
      </w:r>
      <w:r w:rsidR="00DF6463">
        <w:t xml:space="preserve"> </w:t>
      </w:r>
      <w:r>
        <w:t xml:space="preserve">in RIS practice may originate with the values and preferences </w:t>
      </w:r>
      <w:r w:rsidR="00EA3E80">
        <w:t xml:space="preserve">of RIS professional education. O’Connor (2011) found that “information seeking </w:t>
      </w:r>
      <w:r w:rsidR="00EC30BD">
        <w:t>behavior</w:t>
      </w:r>
      <w:r w:rsidR="00EA3E80">
        <w:t xml:space="preserve">” was in the content of 43% of the RIS syllabi that she studied. This figure was a dramatic reduction from earlier studies that found the concept in 79% (Powell &amp; Raber, 1994) and 77% (Broadway &amp; Smith, 1986). The finding that more than half of the fundamental courses for RIS professional education do not include </w:t>
      </w:r>
      <w:r w:rsidR="00DF6463">
        <w:t>IB</w:t>
      </w:r>
      <w:r w:rsidR="00EA3E80">
        <w:t xml:space="preserve"> is troubling. Beyond the broad concern about the disconnect </w:t>
      </w:r>
      <w:r w:rsidR="00EA3E80">
        <w:lastRenderedPageBreak/>
        <w:t xml:space="preserve">between theory and practice, </w:t>
      </w:r>
      <w:r w:rsidR="00B80467">
        <w:t xml:space="preserve">it </w:t>
      </w:r>
      <w:r w:rsidR="00735943">
        <w:t>indic</w:t>
      </w:r>
      <w:r w:rsidR="00455A08">
        <w:t>ates that RIS professionals may</w:t>
      </w:r>
      <w:r w:rsidR="00735943">
        <w:t xml:space="preserve"> enter the workforce lacking a critical knowledge base that should inform their practice.</w:t>
      </w:r>
    </w:p>
    <w:p w14:paraId="374C372D" w14:textId="01ED95E3" w:rsidR="00735943" w:rsidRDefault="00735943" w:rsidP="0034385B"/>
    <w:p w14:paraId="129BE575" w14:textId="3B170B36" w:rsidR="00735943" w:rsidRDefault="00735943" w:rsidP="0034385B">
      <w:r>
        <w:t xml:space="preserve">This study builds on O’Connor’s findings by probing the extent to which </w:t>
      </w:r>
      <w:r w:rsidR="005846A5">
        <w:t>IB TMCs</w:t>
      </w:r>
      <w:r>
        <w:t xml:space="preserve"> are integrated, or merely represented in RIS professional education. It also explores the </w:t>
      </w:r>
      <w:r w:rsidR="005846A5">
        <w:t xml:space="preserve">IB TMCs </w:t>
      </w:r>
      <w:r>
        <w:t>that are integrated to determine why these have been more successful. Th</w:t>
      </w:r>
      <w:r w:rsidR="00715B63">
        <w:t xml:space="preserve">e findings will </w:t>
      </w:r>
      <w:r w:rsidR="003B6F35">
        <w:t xml:space="preserve">encourage better integration of IB TMCs into RIS courses and will ultimately </w:t>
      </w:r>
      <w:r w:rsidR="00715B63">
        <w:t>contribut</w:t>
      </w:r>
      <w:r w:rsidR="003B6F35">
        <w:t>e</w:t>
      </w:r>
      <w:r w:rsidR="00715B63">
        <w:t xml:space="preserve"> to better RIS practice.</w:t>
      </w:r>
    </w:p>
    <w:p w14:paraId="7ADDB8A7" w14:textId="77777777" w:rsidR="00A35DEF" w:rsidRPr="00B31AF2" w:rsidRDefault="00A35DEF" w:rsidP="0034385B"/>
    <w:p w14:paraId="07692793" w14:textId="49FFFFA7" w:rsidR="0034385B" w:rsidRPr="00B31AF2" w:rsidRDefault="0034385B" w:rsidP="00B31AF2">
      <w:pPr>
        <w:pStyle w:val="ListParagraph"/>
        <w:numPr>
          <w:ilvl w:val="0"/>
          <w:numId w:val="3"/>
        </w:numPr>
        <w:rPr>
          <w:b/>
        </w:rPr>
      </w:pPr>
      <w:r w:rsidRPr="00B31AF2">
        <w:rPr>
          <w:b/>
        </w:rPr>
        <w:t>Research Questions</w:t>
      </w:r>
    </w:p>
    <w:p w14:paraId="12CA6F03" w14:textId="1A7C7555" w:rsidR="0034385B" w:rsidRPr="00B31AF2" w:rsidRDefault="00455A08" w:rsidP="0034385B">
      <w:r>
        <w:t xml:space="preserve">This presentation reports findings from the first phase of a larger study on the integration IB TMCs into RIS education. </w:t>
      </w:r>
      <w:r w:rsidR="0034385B" w:rsidRPr="00B31AF2">
        <w:t>The research questions address</w:t>
      </w:r>
      <w:r>
        <w:t>ed by the</w:t>
      </w:r>
      <w:r w:rsidR="0034385B" w:rsidRPr="00B31AF2">
        <w:t xml:space="preserve"> study include:</w:t>
      </w:r>
    </w:p>
    <w:p w14:paraId="48732926" w14:textId="77777777" w:rsidR="0034385B" w:rsidRPr="00B31AF2" w:rsidRDefault="0034385B" w:rsidP="0034385B"/>
    <w:p w14:paraId="12E97016" w14:textId="32BAC624" w:rsidR="00F00630" w:rsidRPr="00B31AF2" w:rsidRDefault="00F00630" w:rsidP="00F00630">
      <w:pPr>
        <w:pStyle w:val="ListParagraph"/>
        <w:numPr>
          <w:ilvl w:val="0"/>
          <w:numId w:val="2"/>
        </w:numPr>
        <w:rPr>
          <w:sz w:val="24"/>
          <w:szCs w:val="24"/>
        </w:rPr>
      </w:pPr>
      <w:r w:rsidRPr="00B31AF2">
        <w:rPr>
          <w:sz w:val="24"/>
          <w:szCs w:val="24"/>
        </w:rPr>
        <w:t xml:space="preserve">To what extent are </w:t>
      </w:r>
      <w:r w:rsidR="005846A5">
        <w:rPr>
          <w:sz w:val="24"/>
          <w:szCs w:val="24"/>
        </w:rPr>
        <w:t>IB TMCs</w:t>
      </w:r>
      <w:r w:rsidRPr="00B31AF2">
        <w:rPr>
          <w:sz w:val="24"/>
          <w:szCs w:val="24"/>
        </w:rPr>
        <w:t xml:space="preserve"> </w:t>
      </w:r>
      <w:r>
        <w:rPr>
          <w:sz w:val="24"/>
          <w:szCs w:val="24"/>
        </w:rPr>
        <w:t>integrated into</w:t>
      </w:r>
      <w:r w:rsidRPr="00B31AF2">
        <w:rPr>
          <w:sz w:val="24"/>
          <w:szCs w:val="24"/>
        </w:rPr>
        <w:t xml:space="preserve"> syllabi for basic RIS courses in North America?</w:t>
      </w:r>
    </w:p>
    <w:p w14:paraId="04B65424" w14:textId="3FD6CE89" w:rsidR="0034385B" w:rsidRPr="00B31AF2" w:rsidRDefault="0034385B" w:rsidP="001221D6">
      <w:pPr>
        <w:pStyle w:val="ListParagraph"/>
        <w:numPr>
          <w:ilvl w:val="0"/>
          <w:numId w:val="2"/>
        </w:numPr>
        <w:rPr>
          <w:sz w:val="24"/>
          <w:szCs w:val="24"/>
        </w:rPr>
      </w:pPr>
      <w:r w:rsidRPr="00B31AF2">
        <w:rPr>
          <w:sz w:val="24"/>
          <w:szCs w:val="24"/>
        </w:rPr>
        <w:t xml:space="preserve">To what extent are </w:t>
      </w:r>
      <w:r w:rsidR="005846A5">
        <w:rPr>
          <w:sz w:val="24"/>
          <w:szCs w:val="24"/>
        </w:rPr>
        <w:t>IB TMCs</w:t>
      </w:r>
      <w:r w:rsidRPr="00B31AF2">
        <w:rPr>
          <w:sz w:val="24"/>
          <w:szCs w:val="24"/>
        </w:rPr>
        <w:t xml:space="preserve"> </w:t>
      </w:r>
      <w:r w:rsidR="00715B63">
        <w:rPr>
          <w:sz w:val="24"/>
          <w:szCs w:val="24"/>
        </w:rPr>
        <w:t xml:space="preserve">integrated into </w:t>
      </w:r>
      <w:r w:rsidRPr="00B31AF2">
        <w:rPr>
          <w:sz w:val="24"/>
          <w:szCs w:val="24"/>
        </w:rPr>
        <w:t>the major RIS textbooks in North America?</w:t>
      </w:r>
    </w:p>
    <w:p w14:paraId="433BAD52" w14:textId="001EC114" w:rsidR="0034385B" w:rsidRPr="00715B63" w:rsidRDefault="00715B63" w:rsidP="00715B63">
      <w:pPr>
        <w:pStyle w:val="ListParagraph"/>
        <w:numPr>
          <w:ilvl w:val="0"/>
          <w:numId w:val="2"/>
        </w:numPr>
        <w:rPr>
          <w:sz w:val="24"/>
          <w:szCs w:val="24"/>
        </w:rPr>
      </w:pPr>
      <w:r>
        <w:rPr>
          <w:sz w:val="24"/>
          <w:szCs w:val="24"/>
        </w:rPr>
        <w:t>To what extent do RIS</w:t>
      </w:r>
      <w:r w:rsidR="0034385B" w:rsidRPr="00B31AF2">
        <w:rPr>
          <w:sz w:val="24"/>
          <w:szCs w:val="24"/>
        </w:rPr>
        <w:t xml:space="preserve"> instructors consider </w:t>
      </w:r>
      <w:r w:rsidR="005846A5">
        <w:rPr>
          <w:sz w:val="24"/>
          <w:szCs w:val="24"/>
        </w:rPr>
        <w:t xml:space="preserve">IB TMCs </w:t>
      </w:r>
      <w:r w:rsidR="0034385B" w:rsidRPr="00B31AF2">
        <w:rPr>
          <w:sz w:val="24"/>
          <w:szCs w:val="24"/>
        </w:rPr>
        <w:t>in preparing their basic RIS courses?</w:t>
      </w:r>
      <w:r>
        <w:rPr>
          <w:sz w:val="24"/>
          <w:szCs w:val="24"/>
        </w:rPr>
        <w:t xml:space="preserve"> </w:t>
      </w:r>
      <w:r w:rsidR="0034385B" w:rsidRPr="00715B63">
        <w:t xml:space="preserve">Are there common </w:t>
      </w:r>
      <w:r w:rsidRPr="00715B63">
        <w:t>characteristics</w:t>
      </w:r>
      <w:r w:rsidR="0034385B" w:rsidRPr="00715B63">
        <w:t xml:space="preserve"> or perspectives of instructors who integrate </w:t>
      </w:r>
      <w:r w:rsidRPr="00715B63">
        <w:t>them</w:t>
      </w:r>
      <w:r w:rsidR="0034385B" w:rsidRPr="00715B63">
        <w:t xml:space="preserve"> in their courses?</w:t>
      </w:r>
    </w:p>
    <w:p w14:paraId="4C612AB1" w14:textId="03319CD0" w:rsidR="00954FC5" w:rsidRDefault="00954FC5" w:rsidP="00B31AF2">
      <w:pPr>
        <w:pStyle w:val="ListParagraph"/>
        <w:numPr>
          <w:ilvl w:val="0"/>
          <w:numId w:val="2"/>
        </w:numPr>
        <w:rPr>
          <w:sz w:val="24"/>
          <w:szCs w:val="24"/>
        </w:rPr>
      </w:pPr>
      <w:r>
        <w:rPr>
          <w:sz w:val="24"/>
          <w:szCs w:val="24"/>
        </w:rPr>
        <w:t>Wha</w:t>
      </w:r>
      <w:r w:rsidR="00FC7788">
        <w:rPr>
          <w:sz w:val="24"/>
          <w:szCs w:val="24"/>
        </w:rPr>
        <w:t xml:space="preserve">t are characteristics of </w:t>
      </w:r>
      <w:r w:rsidR="005846A5">
        <w:rPr>
          <w:sz w:val="24"/>
          <w:szCs w:val="24"/>
        </w:rPr>
        <w:t>IB TMCs</w:t>
      </w:r>
      <w:r w:rsidR="00FC7788">
        <w:rPr>
          <w:sz w:val="24"/>
          <w:szCs w:val="24"/>
        </w:rPr>
        <w:t xml:space="preserve"> that are well-integrated into RIS professional education?</w:t>
      </w:r>
    </w:p>
    <w:p w14:paraId="40BE1C67" w14:textId="3760D012" w:rsidR="0095534D" w:rsidRDefault="00455A08" w:rsidP="002565F4">
      <w:r>
        <w:t>The preliminary findings reported here address the first two research questions.</w:t>
      </w:r>
    </w:p>
    <w:p w14:paraId="33AE0E21" w14:textId="77777777" w:rsidR="00455A08" w:rsidRPr="002565F4" w:rsidRDefault="00455A08" w:rsidP="002565F4"/>
    <w:p w14:paraId="2DE0ADFD" w14:textId="05E8B2DF" w:rsidR="0034385B" w:rsidRPr="00B31AF2" w:rsidRDefault="0034385B" w:rsidP="00B31AF2">
      <w:pPr>
        <w:pStyle w:val="ListParagraph"/>
        <w:numPr>
          <w:ilvl w:val="0"/>
          <w:numId w:val="3"/>
        </w:numPr>
        <w:rPr>
          <w:b/>
        </w:rPr>
      </w:pPr>
      <w:r w:rsidRPr="00B31AF2">
        <w:rPr>
          <w:b/>
        </w:rPr>
        <w:t>Methods</w:t>
      </w:r>
    </w:p>
    <w:p w14:paraId="6A64169A" w14:textId="181B1257" w:rsidR="002565F4" w:rsidRDefault="002565F4" w:rsidP="0034385B">
      <w:r>
        <w:t xml:space="preserve">The study is being conducted in two phases. </w:t>
      </w:r>
      <w:r w:rsidRPr="00B31AF2">
        <w:t xml:space="preserve">Phase 1 </w:t>
      </w:r>
      <w:r>
        <w:t xml:space="preserve">is a content analysis of RIS syllabi and textbooks (RQs 1 and 2). Phase 2 is a survey and interviews of RIS instructors (RQs 3). RQ4 will be addressed by the findings of both phases. </w:t>
      </w:r>
    </w:p>
    <w:p w14:paraId="28C82FAD" w14:textId="77777777" w:rsidR="002565F4" w:rsidRDefault="002565F4" w:rsidP="0034385B"/>
    <w:p w14:paraId="2FCBAA4C" w14:textId="2AE20B94" w:rsidR="008527CD" w:rsidRDefault="00E359A2" w:rsidP="0034385B">
      <w:r>
        <w:t xml:space="preserve">In Phase 1, </w:t>
      </w:r>
      <w:r w:rsidR="00B31AF2" w:rsidRPr="00B31AF2">
        <w:t xml:space="preserve">websites for </w:t>
      </w:r>
      <w:r>
        <w:t xml:space="preserve">ALA-accredited </w:t>
      </w:r>
      <w:r w:rsidR="00B31AF2" w:rsidRPr="00B31AF2">
        <w:t xml:space="preserve">programs </w:t>
      </w:r>
      <w:r>
        <w:t xml:space="preserve">in North America </w:t>
      </w:r>
      <w:r w:rsidR="00B31AF2" w:rsidRPr="00B31AF2">
        <w:t xml:space="preserve">were examined to identify the </w:t>
      </w:r>
      <w:r w:rsidR="002565F4">
        <w:t xml:space="preserve">fundamental </w:t>
      </w:r>
      <w:r>
        <w:t xml:space="preserve">RIS </w:t>
      </w:r>
      <w:r w:rsidR="00B31AF2" w:rsidRPr="00B31AF2">
        <w:t>course</w:t>
      </w:r>
      <w:r w:rsidR="002565F4">
        <w:t xml:space="preserve"> for each program. P</w:t>
      </w:r>
      <w:r>
        <w:t xml:space="preserve">ublicly available syllabi </w:t>
      </w:r>
      <w:r w:rsidR="008D43D6">
        <w:t xml:space="preserve">for </w:t>
      </w:r>
      <w:r w:rsidR="002565F4">
        <w:t>these RIS</w:t>
      </w:r>
      <w:r w:rsidR="008D43D6">
        <w:t xml:space="preserve"> courses</w:t>
      </w:r>
      <w:r w:rsidR="002565F4">
        <w:t xml:space="preserve"> taught in 2019</w:t>
      </w:r>
      <w:r w:rsidR="008D43D6">
        <w:t xml:space="preserve"> </w:t>
      </w:r>
      <w:r>
        <w:t>were downloaded</w:t>
      </w:r>
      <w:r w:rsidR="00B31AF2" w:rsidRPr="00B31AF2">
        <w:t>.</w:t>
      </w:r>
      <w:r w:rsidR="00087BDB" w:rsidRPr="003B6F35">
        <w:t xml:space="preserve"> </w:t>
      </w:r>
      <w:r w:rsidR="005846A5">
        <w:t>Ten</w:t>
      </w:r>
      <w:r w:rsidR="005846A5" w:rsidRPr="00B31AF2">
        <w:t xml:space="preserve"> </w:t>
      </w:r>
      <w:r w:rsidR="00B31AF2" w:rsidRPr="00B31AF2">
        <w:t xml:space="preserve">were </w:t>
      </w:r>
      <w:r w:rsidR="00131433">
        <w:t xml:space="preserve">made </w:t>
      </w:r>
      <w:r w:rsidR="00B31AF2" w:rsidRPr="00B31AF2">
        <w:t xml:space="preserve">available in this way. </w:t>
      </w:r>
      <w:r w:rsidR="00F34E78">
        <w:t>W</w:t>
      </w:r>
      <w:r w:rsidR="00B31AF2" w:rsidRPr="00B31AF2">
        <w:t xml:space="preserve">here syllabi were not available, course instructors were identified and an email sent to explain the </w:t>
      </w:r>
      <w:r w:rsidR="00F34E78">
        <w:t xml:space="preserve">study </w:t>
      </w:r>
      <w:r w:rsidR="00B31AF2" w:rsidRPr="00B31AF2">
        <w:t>purpose and request a copy of the course syllabus</w:t>
      </w:r>
      <w:r w:rsidR="008527CD">
        <w:t xml:space="preserve"> and reading list</w:t>
      </w:r>
      <w:r w:rsidR="00B31AF2" w:rsidRPr="00B31AF2">
        <w:t xml:space="preserve">. Emails were sent to </w:t>
      </w:r>
      <w:r w:rsidR="00DC4508" w:rsidRPr="003B6F35">
        <w:t>83</w:t>
      </w:r>
      <w:r w:rsidR="008527CD" w:rsidRPr="003B6F35">
        <w:t xml:space="preserve"> i</w:t>
      </w:r>
      <w:r w:rsidR="005846A5" w:rsidRPr="003B6F35">
        <w:t>nstructors</w:t>
      </w:r>
      <w:r w:rsidR="00B31AF2" w:rsidRPr="003B6F35">
        <w:t xml:space="preserve">, and </w:t>
      </w:r>
      <w:r w:rsidR="00DC4508" w:rsidRPr="003B6F35">
        <w:t>45</w:t>
      </w:r>
      <w:r w:rsidR="008527CD" w:rsidRPr="003B6F35">
        <w:t xml:space="preserve"> syllabi </w:t>
      </w:r>
      <w:r w:rsidR="00B31AF2" w:rsidRPr="00B31AF2">
        <w:t>were forwarded for inclusion in the analys</w:t>
      </w:r>
      <w:r w:rsidR="008527CD">
        <w:t>i</w:t>
      </w:r>
      <w:r w:rsidR="00B31AF2" w:rsidRPr="00B31AF2">
        <w:t>s</w:t>
      </w:r>
      <w:r w:rsidR="00455A08">
        <w:t>, for a total corpus</w:t>
      </w:r>
      <w:r w:rsidR="00087BDB">
        <w:t xml:space="preserve"> of 55 syllabi</w:t>
      </w:r>
      <w:r w:rsidR="00B31AF2" w:rsidRPr="00B31AF2">
        <w:t xml:space="preserve">. Content analysis was used to identify terms used to indicate that </w:t>
      </w:r>
      <w:r w:rsidR="005846A5">
        <w:t>IB TMCs</w:t>
      </w:r>
      <w:r w:rsidR="00B31AF2" w:rsidRPr="00B31AF2">
        <w:t xml:space="preserve"> were included on the syllabi (i.e., information </w:t>
      </w:r>
      <w:r w:rsidR="00EC30BD">
        <w:t>behavio(u)r</w:t>
      </w:r>
      <w:r w:rsidR="00455A08">
        <w:t>*, information practice*</w:t>
      </w:r>
      <w:r w:rsidR="00B31AF2" w:rsidRPr="00B31AF2">
        <w:t xml:space="preserve">, human information interaction, user </w:t>
      </w:r>
      <w:r w:rsidR="00833829">
        <w:t>behavio</w:t>
      </w:r>
      <w:r w:rsidR="00EC30BD">
        <w:t>(</w:t>
      </w:r>
      <w:r w:rsidR="00833829">
        <w:t>u</w:t>
      </w:r>
      <w:r w:rsidR="00EC30BD">
        <w:t>)</w:t>
      </w:r>
      <w:r w:rsidR="00833829">
        <w:t>r</w:t>
      </w:r>
      <w:r w:rsidR="00455A08">
        <w:t>*</w:t>
      </w:r>
      <w:r w:rsidR="00131433">
        <w:t>,</w:t>
      </w:r>
      <w:r w:rsidR="00B31AF2" w:rsidRPr="00B31AF2">
        <w:t xml:space="preserve"> information-seeking). Specific </w:t>
      </w:r>
      <w:r w:rsidR="005846A5">
        <w:t xml:space="preserve">IB </w:t>
      </w:r>
      <w:r>
        <w:t>TMCs</w:t>
      </w:r>
      <w:r w:rsidR="00B31AF2" w:rsidRPr="00B31AF2">
        <w:t xml:space="preserve"> included in the syllabus</w:t>
      </w:r>
      <w:r w:rsidR="00540076">
        <w:t>, and t</w:t>
      </w:r>
      <w:r w:rsidR="00B31AF2" w:rsidRPr="00B31AF2">
        <w:t xml:space="preserve">he location of these terms and specific </w:t>
      </w:r>
      <w:r w:rsidR="005846A5">
        <w:t xml:space="preserve">IB </w:t>
      </w:r>
      <w:r w:rsidR="00B31AF2" w:rsidRPr="00B31AF2">
        <w:t>TMCs</w:t>
      </w:r>
      <w:r w:rsidR="00F34E78">
        <w:t>,</w:t>
      </w:r>
      <w:r w:rsidR="00B31AF2" w:rsidRPr="00B31AF2">
        <w:t xml:space="preserve"> w</w:t>
      </w:r>
      <w:r w:rsidR="00F34E78">
        <w:t>ere</w:t>
      </w:r>
      <w:r w:rsidR="00B31AF2" w:rsidRPr="00B31AF2">
        <w:t xml:space="preserve"> </w:t>
      </w:r>
      <w:r w:rsidR="00F34E78">
        <w:t>not</w:t>
      </w:r>
      <w:r w:rsidR="00F34E78" w:rsidRPr="00B31AF2">
        <w:t>ed</w:t>
      </w:r>
      <w:r w:rsidR="00B31AF2" w:rsidRPr="00B31AF2">
        <w:t>. Readings related to IB TMCs were recorded, and the location of these readings (i.e., whether they were concentrated in particular weeks or spread thr</w:t>
      </w:r>
      <w:r w:rsidR="00540076">
        <w:t>oughout the course) was documented</w:t>
      </w:r>
      <w:r w:rsidR="00B31AF2" w:rsidRPr="00B31AF2">
        <w:t xml:space="preserve">. </w:t>
      </w:r>
      <w:r w:rsidR="008D43D6">
        <w:t>Coding was conducted by three coders, who analyzed a small subset of syllabi and compared findings in order to come to consensus on analytic coding. That consensus was achieved</w:t>
      </w:r>
      <w:r w:rsidR="00131433">
        <w:t xml:space="preserve"> to 85% </w:t>
      </w:r>
      <w:r w:rsidR="00131433" w:rsidRPr="00F14B3B">
        <w:t>(</w:t>
      </w:r>
      <w:r w:rsidR="00F14B3B" w:rsidRPr="00F14B3B">
        <w:t>Connaway &amp; Radford, 2016</w:t>
      </w:r>
      <w:r w:rsidR="00131433" w:rsidRPr="00F14B3B">
        <w:t>)</w:t>
      </w:r>
      <w:r w:rsidR="008D43D6">
        <w:t xml:space="preserve">, so the remainder of the syllabi were divided into three, and each coder analyzed that set. </w:t>
      </w:r>
      <w:r w:rsidR="00B31AF2" w:rsidRPr="00B31AF2">
        <w:t xml:space="preserve">In addition, the required textbooks noted in all syllabi </w:t>
      </w:r>
      <w:r w:rsidR="00F34E78">
        <w:t>were</w:t>
      </w:r>
      <w:r w:rsidR="00B31AF2" w:rsidRPr="00B31AF2">
        <w:t xml:space="preserve"> analyzed for inclusion of IB TMCs.</w:t>
      </w:r>
      <w:r>
        <w:t xml:space="preserve"> </w:t>
      </w:r>
    </w:p>
    <w:p w14:paraId="4253F3C1" w14:textId="77777777" w:rsidR="008527CD" w:rsidRDefault="008527CD" w:rsidP="0034385B"/>
    <w:p w14:paraId="25B2504C" w14:textId="7BBE7EAE" w:rsidR="00715B63" w:rsidRDefault="00E359A2" w:rsidP="0034385B">
      <w:r>
        <w:t>Phase 2 of the study, an online census survey of instructors of RIS courses in all ALA-accredited programs is scheduled for early 2020.</w:t>
      </w:r>
      <w:r w:rsidR="007C6CDD">
        <w:t xml:space="preserve"> </w:t>
      </w:r>
      <w:r w:rsidR="00943DAD">
        <w:t xml:space="preserve">Survey questions </w:t>
      </w:r>
      <w:r w:rsidR="00131433">
        <w:t xml:space="preserve">will </w:t>
      </w:r>
      <w:r w:rsidR="003B6F35">
        <w:t xml:space="preserve">examine the decision-making around integration of IB TMCs in the design of RIS courses, as well as individual and contextual factors that affect these decisions. </w:t>
      </w:r>
    </w:p>
    <w:p w14:paraId="28DFF66F" w14:textId="32FDB899" w:rsidR="00E359A2" w:rsidRDefault="00E359A2" w:rsidP="0034385B"/>
    <w:p w14:paraId="4A9F88DE" w14:textId="701F27C3" w:rsidR="00E359A2" w:rsidRPr="00E359A2" w:rsidRDefault="00E359A2" w:rsidP="00E359A2">
      <w:pPr>
        <w:pStyle w:val="ListParagraph"/>
        <w:numPr>
          <w:ilvl w:val="0"/>
          <w:numId w:val="3"/>
        </w:numPr>
        <w:rPr>
          <w:b/>
        </w:rPr>
      </w:pPr>
      <w:r w:rsidRPr="00E359A2">
        <w:rPr>
          <w:b/>
        </w:rPr>
        <w:t>Results</w:t>
      </w:r>
      <w:r>
        <w:rPr>
          <w:b/>
        </w:rPr>
        <w:t xml:space="preserve"> and Discussion</w:t>
      </w:r>
    </w:p>
    <w:p w14:paraId="22B2EF09" w14:textId="09E267DF" w:rsidR="008527CD" w:rsidRDefault="008527CD" w:rsidP="00087BDB">
      <w:r>
        <w:t>T</w:t>
      </w:r>
      <w:r w:rsidR="00131433">
        <w:t xml:space="preserve">wo-thirds of </w:t>
      </w:r>
      <w:r>
        <w:t xml:space="preserve">the </w:t>
      </w:r>
      <w:r w:rsidR="00131433">
        <w:t xml:space="preserve">syllabi make some reference to </w:t>
      </w:r>
      <w:r w:rsidR="00704B72">
        <w:t>IB TMCs</w:t>
      </w:r>
      <w:r>
        <w:t>.</w:t>
      </w:r>
      <w:r w:rsidR="00943DAD">
        <w:t xml:space="preserve"> </w:t>
      </w:r>
      <w:r w:rsidR="000174BF">
        <w:t>The terms used to indicate IB as a topic</w:t>
      </w:r>
      <w:r w:rsidR="00943DAD">
        <w:t xml:space="preserve"> were largely found in </w:t>
      </w:r>
      <w:r w:rsidR="00087BDB">
        <w:t xml:space="preserve">weekly topic labels (40%, n=22), </w:t>
      </w:r>
      <w:r w:rsidR="00943DAD">
        <w:t>course descriptions</w:t>
      </w:r>
      <w:r w:rsidR="00087BDB">
        <w:t xml:space="preserve"> (31%, n=17)</w:t>
      </w:r>
      <w:r w:rsidR="00943DAD">
        <w:t xml:space="preserve"> and </w:t>
      </w:r>
      <w:r w:rsidR="00087BDB">
        <w:t>course objectives (31%, n=17)</w:t>
      </w:r>
      <w:r w:rsidR="00943DAD">
        <w:t xml:space="preserve">. </w:t>
      </w:r>
      <w:r w:rsidR="00087BDB">
        <w:t xml:space="preserve">Only 15% (n=8) of syllabi treated IB TMCs substantively (as integrated and fundamental to the course, or the focus of a week’s content and one </w:t>
      </w:r>
      <w:r w:rsidR="00972D6A">
        <w:t xml:space="preserve">major </w:t>
      </w:r>
      <w:r w:rsidR="00087BDB">
        <w:t>assignment). Another 25% (n=14) included some treatment of IB TMCs (e.g., assigning one or two early readings</w:t>
      </w:r>
      <w:r w:rsidR="00704B72">
        <w:t>,</w:t>
      </w:r>
      <w:r w:rsidR="00087BDB">
        <w:t xml:space="preserve"> or assigning a brief assignment</w:t>
      </w:r>
      <w:r w:rsidR="00704B72">
        <w:t>,</w:t>
      </w:r>
      <w:r w:rsidR="00087BDB">
        <w:t xml:space="preserve"> or brief topical treatment in a single week of the course, possibly to establish a “lens” for students). Sixteen (29%) syllabi included minimal treatment of IB TMCs (the course title, </w:t>
      </w:r>
      <w:r w:rsidR="00087BDB" w:rsidRPr="00087BDB">
        <w:t xml:space="preserve">description, </w:t>
      </w:r>
      <w:r w:rsidR="00087BDB">
        <w:t xml:space="preserve">or student learning outcomes </w:t>
      </w:r>
      <w:r w:rsidR="00087BDB" w:rsidRPr="00087BDB">
        <w:t xml:space="preserve">set expectations but </w:t>
      </w:r>
      <w:r w:rsidR="00087BDB">
        <w:t xml:space="preserve">these were not followed by any content or readings; or, </w:t>
      </w:r>
      <w:r w:rsidR="00704B72">
        <w:t xml:space="preserve">a few </w:t>
      </w:r>
      <w:r w:rsidR="00087BDB">
        <w:t xml:space="preserve">related readings were assigned, with nothing else). </w:t>
      </w:r>
      <w:r w:rsidR="00972D6A">
        <w:t>The remaining 17 syllabi (31%) made no reference to IB TMCs.</w:t>
      </w:r>
      <w:r w:rsidR="00A35DEF">
        <w:t xml:space="preserve"> </w:t>
      </w:r>
      <w:r w:rsidR="00972D6A">
        <w:t xml:space="preserve">In </w:t>
      </w:r>
      <w:r w:rsidR="00A35DEF">
        <w:t>eight</w:t>
      </w:r>
      <w:r w:rsidR="00972D6A">
        <w:t xml:space="preserve"> of these case</w:t>
      </w:r>
      <w:r w:rsidR="00F34E78">
        <w:t>s</w:t>
      </w:r>
      <w:r w:rsidR="00A35DEF">
        <w:t>,</w:t>
      </w:r>
      <w:r w:rsidR="00972D6A">
        <w:t xml:space="preserve"> this </w:t>
      </w:r>
      <w:r w:rsidR="00F34E78">
        <w:t xml:space="preserve">limited attention to IB TMCs </w:t>
      </w:r>
      <w:r w:rsidR="00A35DEF">
        <w:t>could have been due to a required or prerequisite course in IB</w:t>
      </w:r>
      <w:r w:rsidR="00972D6A">
        <w:t xml:space="preserve">. </w:t>
      </w:r>
    </w:p>
    <w:p w14:paraId="31E212B2" w14:textId="77777777" w:rsidR="008527CD" w:rsidRDefault="008527CD" w:rsidP="00087BDB"/>
    <w:p w14:paraId="2A988CAE" w14:textId="3FF86C85" w:rsidR="008527CD" w:rsidRDefault="000174BF" w:rsidP="00087BDB">
      <w:r>
        <w:t>T</w:t>
      </w:r>
      <w:r w:rsidR="00540076">
        <w:t>he most-reference</w:t>
      </w:r>
      <w:r w:rsidR="00972D6A">
        <w:t>d</w:t>
      </w:r>
      <w:r w:rsidR="00540076">
        <w:t xml:space="preserve"> IB TMC was Kuhlthau’s </w:t>
      </w:r>
      <w:r w:rsidR="00906E00">
        <w:t>i</w:t>
      </w:r>
      <w:r w:rsidR="00540076">
        <w:t xml:space="preserve">nformation </w:t>
      </w:r>
      <w:r w:rsidR="00906E00">
        <w:t>s</w:t>
      </w:r>
      <w:r w:rsidR="00540076">
        <w:t xml:space="preserve">earch </w:t>
      </w:r>
      <w:r w:rsidR="00906E00">
        <w:t>p</w:t>
      </w:r>
      <w:r w:rsidR="00540076">
        <w:t>rocess</w:t>
      </w:r>
      <w:r w:rsidR="00906E00">
        <w:t xml:space="preserve"> </w:t>
      </w:r>
      <w:r w:rsidR="00906E00" w:rsidRPr="00906E00">
        <w:t>model</w:t>
      </w:r>
      <w:r w:rsidR="00540076" w:rsidRPr="00906E00">
        <w:t xml:space="preserve"> (</w:t>
      </w:r>
      <w:r w:rsidR="00F34E78">
        <w:t>e.g.,</w:t>
      </w:r>
      <w:r w:rsidR="00906E00" w:rsidRPr="00906E00">
        <w:t xml:space="preserve"> Kuhlthau, 2004</w:t>
      </w:r>
      <w:r w:rsidR="00540076" w:rsidRPr="00906E00">
        <w:t xml:space="preserve">), </w:t>
      </w:r>
      <w:r w:rsidRPr="00906E00">
        <w:t xml:space="preserve">in 12 syllabi (22%), </w:t>
      </w:r>
      <w:r w:rsidR="00540076" w:rsidRPr="00906E00">
        <w:t>undoubtedly because of Kuhlthau</w:t>
      </w:r>
      <w:r w:rsidR="00540076">
        <w:t xml:space="preserve">’s dedication to providing practitioners with clear advice about how to incorporate the </w:t>
      </w:r>
      <w:r w:rsidR="001011A5">
        <w:t>information search process model (</w:t>
      </w:r>
      <w:r w:rsidR="00540076">
        <w:t>ISP</w:t>
      </w:r>
      <w:r w:rsidR="001011A5">
        <w:t>)</w:t>
      </w:r>
      <w:r w:rsidR="00540076">
        <w:t xml:space="preserve"> into RIS. </w:t>
      </w:r>
      <w:r>
        <w:t xml:space="preserve">The most commonly assigned reading </w:t>
      </w:r>
      <w:r w:rsidR="00972D6A">
        <w:t xml:space="preserve">in those syllabi that referenced IB TMCs to any extent </w:t>
      </w:r>
      <w:r>
        <w:t xml:space="preserve">was an excerpt from </w:t>
      </w:r>
      <w:r w:rsidRPr="000174BF">
        <w:rPr>
          <w:i/>
        </w:rPr>
        <w:t>Looking for Information</w:t>
      </w:r>
      <w:r>
        <w:t xml:space="preserve"> (</w:t>
      </w:r>
      <w:r w:rsidR="00DF6463">
        <w:t>Case &amp; Given, 2016</w:t>
      </w:r>
      <w:r>
        <w:t xml:space="preserve">), required in 7 syllabi (13%). </w:t>
      </w:r>
      <w:r w:rsidR="00943DAD">
        <w:t>IB-related readings were typically found grouped together in the week or weeks devoted to IB TMCs.</w:t>
      </w:r>
      <w:r w:rsidR="00972D6A">
        <w:t xml:space="preserve"> </w:t>
      </w:r>
      <w:r w:rsidR="00D71B48">
        <w:t xml:space="preserve">The expectation set by course titles and objectives mentioning </w:t>
      </w:r>
      <w:r w:rsidR="00DF6463">
        <w:t>IB</w:t>
      </w:r>
      <w:r w:rsidR="00D71B48">
        <w:t xml:space="preserve"> </w:t>
      </w:r>
      <w:r w:rsidR="00704B72">
        <w:t xml:space="preserve">was </w:t>
      </w:r>
      <w:r w:rsidR="001011A5">
        <w:t>frequently not</w:t>
      </w:r>
      <w:r w:rsidR="00D71B48">
        <w:t xml:space="preserve"> reflected by course content, as measured by readings, assignments, and course topics. </w:t>
      </w:r>
    </w:p>
    <w:p w14:paraId="4BBCF415" w14:textId="2AECA98A" w:rsidR="008527CD" w:rsidRDefault="008527CD" w:rsidP="00087BDB"/>
    <w:p w14:paraId="5430D9CA" w14:textId="0E91948A" w:rsidR="008527CD" w:rsidRDefault="008527CD" w:rsidP="00087BDB">
      <w:r>
        <w:t xml:space="preserve">The syllabi identified 11 unique textbooks for student reading; that set included one which was an updated edition of another in the list. The coverage of IB TMCs within those texts varied, but was mostly minimal. Only one assigned textbook treated IB TMCs substantively (Hirsh, 2018). </w:t>
      </w:r>
      <w:r w:rsidR="00D71B48">
        <w:t xml:space="preserve">In textbooks that included </w:t>
      </w:r>
      <w:r w:rsidR="00DF6463">
        <w:t>IB TMCs</w:t>
      </w:r>
      <w:r w:rsidR="00D71B48">
        <w:t>, they tended to appear in early chapters on fundamental concepts or in chapters on RIS for children or diverse populations.</w:t>
      </w:r>
    </w:p>
    <w:p w14:paraId="3F64045E" w14:textId="77777777" w:rsidR="008527CD" w:rsidRDefault="008527CD" w:rsidP="00087BDB"/>
    <w:p w14:paraId="55334B71" w14:textId="560ED4FE" w:rsidR="00E359A2" w:rsidRDefault="00972D6A" w:rsidP="00E359A2">
      <w:r>
        <w:t>The picture painted by these results make clear that there remains significant opportunity to</w:t>
      </w:r>
      <w:r w:rsidR="009877AA">
        <w:t xml:space="preserve"> enhance treatment of IB TMCs to</w:t>
      </w:r>
      <w:r>
        <w:t xml:space="preserve"> ensure that pre-service librarians have at least a basic understanding of </w:t>
      </w:r>
      <w:r w:rsidR="00DF6463">
        <w:t>IB</w:t>
      </w:r>
      <w:r w:rsidR="009877AA">
        <w:t>, as an important</w:t>
      </w:r>
      <w:r w:rsidR="00704B72">
        <w:t xml:space="preserve"> theoretical</w:t>
      </w:r>
      <w:r>
        <w:t xml:space="preserve"> foundation to RIS.</w:t>
      </w:r>
    </w:p>
    <w:p w14:paraId="0C1816A0" w14:textId="77777777" w:rsidR="00A35DEF" w:rsidRDefault="00A35DEF" w:rsidP="00E359A2"/>
    <w:p w14:paraId="1C77836C" w14:textId="507A64E0" w:rsidR="00E359A2" w:rsidRPr="00E359A2" w:rsidRDefault="00E359A2" w:rsidP="00E359A2">
      <w:pPr>
        <w:pStyle w:val="ListParagraph"/>
        <w:numPr>
          <w:ilvl w:val="0"/>
          <w:numId w:val="3"/>
        </w:numPr>
        <w:rPr>
          <w:b/>
        </w:rPr>
      </w:pPr>
      <w:r w:rsidRPr="00E359A2">
        <w:rPr>
          <w:b/>
        </w:rPr>
        <w:t>Importance and Implications of the Study</w:t>
      </w:r>
      <w:r w:rsidR="00972D6A">
        <w:rPr>
          <w:b/>
        </w:rPr>
        <w:t xml:space="preserve"> </w:t>
      </w:r>
    </w:p>
    <w:p w14:paraId="36C66AFB" w14:textId="540977FC" w:rsidR="00E359A2" w:rsidRDefault="0066540B" w:rsidP="00E359A2">
      <w:r>
        <w:t xml:space="preserve">A limitation to the results presented here is that syllabi and textbooks reveal an incomplete picture of what is taught in a course. Instructors may refer to </w:t>
      </w:r>
      <w:r w:rsidR="00DF6463">
        <w:t xml:space="preserve">IB TMCs </w:t>
      </w:r>
      <w:r>
        <w:t>during lectures</w:t>
      </w:r>
      <w:r w:rsidR="00140984">
        <w:t xml:space="preserve">, introducing them as new content or using them to frame RIS concepts. For this reason, the third </w:t>
      </w:r>
      <w:r w:rsidR="00140984">
        <w:lastRenderedPageBreak/>
        <w:t xml:space="preserve">research question that probes how instructors consider </w:t>
      </w:r>
      <w:r w:rsidR="00DF6463">
        <w:t>IB</w:t>
      </w:r>
      <w:r w:rsidR="00140984">
        <w:t xml:space="preserve"> in preparing their course is a critical component of this study.</w:t>
      </w:r>
    </w:p>
    <w:p w14:paraId="5940F4B5" w14:textId="2BF8A10B" w:rsidR="00140984" w:rsidRDefault="00140984" w:rsidP="00E359A2"/>
    <w:p w14:paraId="695932A2" w14:textId="3867F0F9" w:rsidR="00ED5E98" w:rsidRPr="00E359A2" w:rsidRDefault="00ED5E98" w:rsidP="00ED5E98">
      <w:r>
        <w:t xml:space="preserve">The study’s finding that </w:t>
      </w:r>
      <w:r w:rsidR="00DF6463">
        <w:t>IB TMCs</w:t>
      </w:r>
      <w:r>
        <w:t xml:space="preserve"> are not well-integrated into RIS professional education should encourage instructors to reflect about the power of </w:t>
      </w:r>
      <w:r w:rsidR="00DF6463">
        <w:t>IB</w:t>
      </w:r>
      <w:r>
        <w:t xml:space="preserve"> research for understanding why certain RIS practices are recommended and the power of </w:t>
      </w:r>
      <w:r w:rsidR="00DF6463">
        <w:t>IB</w:t>
      </w:r>
      <w:r>
        <w:t xml:space="preserve"> knowledge to help students respond to future contexts that today’s instructors cannot foresee. The authors acknowledge the fact that the breadth of content required of an RIS course is a challenge (Agosto et al.</w:t>
      </w:r>
      <w:r w:rsidR="00F715D7">
        <w:t>,</w:t>
      </w:r>
      <w:r>
        <w:t xml:space="preserve"> 2010). The demand for future RIS professionals to acquire skills and knowledge in management, marketing,</w:t>
      </w:r>
      <w:r w:rsidR="001011A5">
        <w:t xml:space="preserve"> and</w:t>
      </w:r>
      <w:r>
        <w:t xml:space="preserve"> instruction,</w:t>
      </w:r>
      <w:r w:rsidR="00B46527">
        <w:t xml:space="preserve"> for example,</w:t>
      </w:r>
      <w:r>
        <w:t xml:space="preserve"> may be </w:t>
      </w:r>
      <w:r w:rsidR="00B46527">
        <w:t>eliminating course time that would have been devoted to</w:t>
      </w:r>
      <w:r>
        <w:t xml:space="preserve"> some fundamental skills and knowledge from </w:t>
      </w:r>
      <w:r w:rsidR="00704B72">
        <w:t>RIS courses</w:t>
      </w:r>
      <w:r>
        <w:t xml:space="preserve">. </w:t>
      </w:r>
    </w:p>
    <w:p w14:paraId="1DF85D46" w14:textId="77777777" w:rsidR="00ED5E98" w:rsidRDefault="00ED5E98" w:rsidP="00ED5E98"/>
    <w:p w14:paraId="5698A6FF" w14:textId="17A60354" w:rsidR="00F00630" w:rsidRDefault="00140984" w:rsidP="00E359A2">
      <w:r>
        <w:t xml:space="preserve">This study’s finding that Kuhlthau’s </w:t>
      </w:r>
      <w:r w:rsidR="001011A5">
        <w:t>ISP</w:t>
      </w:r>
      <w:r>
        <w:t xml:space="preserve"> is the most commonly integrated model sheds light on the role of the </w:t>
      </w:r>
      <w:r w:rsidR="001011A5">
        <w:t xml:space="preserve">IB </w:t>
      </w:r>
      <w:r>
        <w:t xml:space="preserve">scholar in </w:t>
      </w:r>
      <w:r w:rsidR="00906E00">
        <w:t>the use of IB TMCs in RIS courses.</w:t>
      </w:r>
      <w:r>
        <w:t xml:space="preserve"> </w:t>
      </w:r>
      <w:r w:rsidR="00906E00">
        <w:t>E</w:t>
      </w:r>
      <w:r w:rsidR="00D71B48">
        <w:t xml:space="preserve">fforts by IB scholars to apply their research to practice may pay off in adoption by practitioners. </w:t>
      </w:r>
      <w:r w:rsidR="00F00630">
        <w:t xml:space="preserve">McKechnie et al. </w:t>
      </w:r>
      <w:r w:rsidR="00704B72">
        <w:t xml:space="preserve">(2008) </w:t>
      </w:r>
      <w:r w:rsidR="00F00630">
        <w:t>fo</w:t>
      </w:r>
      <w:r w:rsidR="00D71B48">
        <w:t>u</w:t>
      </w:r>
      <w:r w:rsidR="00F00630">
        <w:t>nd that IB scholars do a poor job of writing up their research</w:t>
      </w:r>
      <w:r w:rsidR="00704B72">
        <w:t xml:space="preserve"> for</w:t>
      </w:r>
      <w:r w:rsidR="00F00630">
        <w:t xml:space="preserve"> practitioner access. IB scholars can </w:t>
      </w:r>
      <w:r w:rsidR="00D71B48">
        <w:t xml:space="preserve">facilitate integration of their </w:t>
      </w:r>
      <w:r w:rsidR="00ED5E98">
        <w:t xml:space="preserve">findings into RIS professional education by </w:t>
      </w:r>
      <w:r w:rsidR="001011A5">
        <w:t>deliberately making connections to practice</w:t>
      </w:r>
      <w:r w:rsidR="00F00630">
        <w:t xml:space="preserve">, </w:t>
      </w:r>
      <w:r w:rsidR="00ED5E98">
        <w:t>by collaborating with</w:t>
      </w:r>
      <w:r w:rsidR="00F00630">
        <w:t xml:space="preserve"> practitioners </w:t>
      </w:r>
      <w:r w:rsidR="00ED5E98">
        <w:t xml:space="preserve">and instructors to communicate </w:t>
      </w:r>
      <w:r w:rsidR="001011A5">
        <w:t>their</w:t>
      </w:r>
      <w:r w:rsidR="00ED5E98">
        <w:t xml:space="preserve"> relevance</w:t>
      </w:r>
      <w:r w:rsidR="00F00630">
        <w:t xml:space="preserve">, and </w:t>
      </w:r>
      <w:r w:rsidR="00ED5E98">
        <w:t xml:space="preserve">by </w:t>
      </w:r>
      <w:r w:rsidR="00F00630">
        <w:t xml:space="preserve">disseminating </w:t>
      </w:r>
      <w:r w:rsidR="00ED5E98">
        <w:t>their work</w:t>
      </w:r>
      <w:r w:rsidR="00F00630">
        <w:t xml:space="preserve"> </w:t>
      </w:r>
      <w:r w:rsidR="001011A5">
        <w:t>through practitioner-oriented</w:t>
      </w:r>
      <w:r w:rsidR="00F00630">
        <w:t xml:space="preserve"> channels.</w:t>
      </w:r>
    </w:p>
    <w:p w14:paraId="7C80B8BE" w14:textId="713C4828" w:rsidR="00140984" w:rsidRDefault="00140984" w:rsidP="00E359A2"/>
    <w:p w14:paraId="57F6901C" w14:textId="120DF0D0" w:rsidR="0034385B" w:rsidRDefault="00ED5E98" w:rsidP="004B14AE">
      <w:r>
        <w:t xml:space="preserve">As Nguyen &amp; Hider </w:t>
      </w:r>
      <w:r w:rsidR="00704B72">
        <w:t>(</w:t>
      </w:r>
      <w:r w:rsidR="00F715D7">
        <w:t>2018</w:t>
      </w:r>
      <w:r w:rsidR="00704B72">
        <w:t xml:space="preserve">) </w:t>
      </w:r>
      <w:r>
        <w:t>s</w:t>
      </w:r>
      <w:r w:rsidR="00704B72">
        <w:t>t</w:t>
      </w:r>
      <w:r>
        <w:t>ate</w:t>
      </w:r>
      <w:r w:rsidR="001011A5">
        <w:t>,</w:t>
      </w:r>
      <w:r>
        <w:t xml:space="preserve"> the responsibility for ameliorating the theory practice gap lies on both sides. </w:t>
      </w:r>
      <w:r w:rsidR="00F00630">
        <w:t xml:space="preserve">A more synergistic relationship between RIS instructors and IB scholars may help to enrich RIS courses with theories, models, and concepts that will improve RIS practice. In turn, such a relationship would increase the impact of </w:t>
      </w:r>
      <w:r w:rsidR="00DF6463">
        <w:t>IB</w:t>
      </w:r>
      <w:r w:rsidR="00F00630">
        <w:t xml:space="preserve"> scholarship.</w:t>
      </w:r>
    </w:p>
    <w:p w14:paraId="517972C8" w14:textId="73C4E94B" w:rsidR="00B31AF2" w:rsidRDefault="00B31AF2" w:rsidP="004B14AE"/>
    <w:p w14:paraId="07F67C6E" w14:textId="16FE15FE" w:rsidR="00B31AF2" w:rsidRDefault="00B31AF2" w:rsidP="004B14AE">
      <w:pPr>
        <w:rPr>
          <w:b/>
        </w:rPr>
      </w:pPr>
      <w:r>
        <w:rPr>
          <w:b/>
        </w:rPr>
        <w:t>Reference List:</w:t>
      </w:r>
    </w:p>
    <w:p w14:paraId="2C9E662D" w14:textId="53C288F7" w:rsidR="00C907EF" w:rsidRDefault="00C907EF" w:rsidP="004B14AE">
      <w:pPr>
        <w:rPr>
          <w:b/>
        </w:rPr>
      </w:pPr>
    </w:p>
    <w:p w14:paraId="74B9A9FC" w14:textId="7DAB455C" w:rsidR="00F715D7" w:rsidRPr="003B6F35" w:rsidRDefault="00F715D7" w:rsidP="003B6F35">
      <w:pPr>
        <w:ind w:left="720" w:hanging="720"/>
      </w:pPr>
      <w:r w:rsidRPr="003B6F35">
        <w:rPr>
          <w:color w:val="000000"/>
        </w:rPr>
        <w:t xml:space="preserve">Agosto, D. E., Rozaklis, L., MacDonald, C., &amp; Abels, E. G. (2010). Barriers and challenges to teaching reference in today's electronic information environment. </w:t>
      </w:r>
      <w:r w:rsidRPr="00906E00">
        <w:rPr>
          <w:i/>
          <w:color w:val="000000"/>
        </w:rPr>
        <w:t>Journal of Education for Library and Information Science</w:t>
      </w:r>
      <w:r w:rsidR="00906E00">
        <w:rPr>
          <w:i/>
          <w:color w:val="000000"/>
        </w:rPr>
        <w:t>, 51</w:t>
      </w:r>
      <w:r w:rsidR="00906E00">
        <w:rPr>
          <w:color w:val="000000"/>
        </w:rPr>
        <w:t>(3)</w:t>
      </w:r>
      <w:r w:rsidRPr="003B6F35">
        <w:rPr>
          <w:color w:val="000000"/>
        </w:rPr>
        <w:t>, 177-186.</w:t>
      </w:r>
    </w:p>
    <w:p w14:paraId="298483E2" w14:textId="08B319A7" w:rsidR="00F00630" w:rsidRPr="003B6F35" w:rsidRDefault="00F00630" w:rsidP="003B6F35">
      <w:pPr>
        <w:ind w:left="720" w:hanging="720"/>
      </w:pPr>
      <w:r w:rsidRPr="003B6F35">
        <w:t>Broadway</w:t>
      </w:r>
      <w:r w:rsidR="00DF6463">
        <w:t>, N.D,</w:t>
      </w:r>
      <w:r w:rsidRPr="003B6F35">
        <w:t xml:space="preserve"> &amp; Smith, </w:t>
      </w:r>
      <w:r w:rsidR="00DF6463">
        <w:t>N.M. (1</w:t>
      </w:r>
      <w:r w:rsidRPr="003B6F35">
        <w:t>98</w:t>
      </w:r>
      <w:r w:rsidR="00DF6463">
        <w:t xml:space="preserve">9). Basic reference courses in ALA-accredited library schools. </w:t>
      </w:r>
      <w:r w:rsidR="00DF6463" w:rsidRPr="00DF6463">
        <w:rPr>
          <w:i/>
        </w:rPr>
        <w:t>The Reference Librarian, 25/26</w:t>
      </w:r>
      <w:r w:rsidR="00DF6463">
        <w:t>, 431-448.</w:t>
      </w:r>
    </w:p>
    <w:p w14:paraId="342BDA56" w14:textId="77777777" w:rsidR="00F14B3B" w:rsidRDefault="00F14B3B" w:rsidP="00DF6463">
      <w:pPr>
        <w:ind w:left="720" w:hanging="720"/>
        <w:rPr>
          <w:color w:val="222222"/>
          <w:shd w:val="clear" w:color="auto" w:fill="FFFFFF"/>
        </w:rPr>
      </w:pPr>
      <w:r w:rsidRPr="00F14B3B">
        <w:rPr>
          <w:color w:val="222222"/>
          <w:shd w:val="clear" w:color="auto" w:fill="FFFFFF"/>
        </w:rPr>
        <w:t>Connaway, L. S., &amp; Radford, M. L. (2016). </w:t>
      </w:r>
      <w:r w:rsidRPr="00F14B3B">
        <w:rPr>
          <w:i/>
          <w:iCs/>
          <w:color w:val="222222"/>
          <w:shd w:val="clear" w:color="auto" w:fill="FFFFFF"/>
        </w:rPr>
        <w:t xml:space="preserve">Research methods in library and information science </w:t>
      </w:r>
      <w:r w:rsidRPr="00F14B3B">
        <w:rPr>
          <w:color w:val="222222"/>
          <w:shd w:val="clear" w:color="auto" w:fill="FFFFFF"/>
        </w:rPr>
        <w:t>(6th ed.). Santa Barbara, CA; Libraries Unlimited.</w:t>
      </w:r>
    </w:p>
    <w:p w14:paraId="61074716" w14:textId="3801B28F" w:rsidR="00DF6463" w:rsidRPr="00DF6463" w:rsidRDefault="00DF6463" w:rsidP="00DF6463">
      <w:pPr>
        <w:ind w:left="720" w:hanging="720"/>
        <w:rPr>
          <w:color w:val="222222"/>
          <w:shd w:val="clear" w:color="auto" w:fill="FFFFFF"/>
        </w:rPr>
      </w:pPr>
      <w:r w:rsidRPr="00DF6463">
        <w:rPr>
          <w:color w:val="222222"/>
          <w:shd w:val="clear" w:color="auto" w:fill="FFFFFF"/>
        </w:rPr>
        <w:t xml:space="preserve">Given, L. M., &amp; Case, D. O. (2016). </w:t>
      </w:r>
      <w:r w:rsidRPr="00DF6463">
        <w:rPr>
          <w:i/>
          <w:color w:val="222222"/>
          <w:shd w:val="clear" w:color="auto" w:fill="FFFFFF"/>
        </w:rPr>
        <w:t xml:space="preserve">Looking for information: A survey of research on information seeking, needs, and behavior. </w:t>
      </w:r>
      <w:r>
        <w:rPr>
          <w:color w:val="222222"/>
          <w:shd w:val="clear" w:color="auto" w:fill="FFFFFF"/>
        </w:rPr>
        <w:t>UK: Emerald Group Publishing.</w:t>
      </w:r>
    </w:p>
    <w:p w14:paraId="39B5E504" w14:textId="77777777" w:rsidR="00B46527" w:rsidRPr="003B6F35" w:rsidRDefault="00B46527" w:rsidP="00B46527">
      <w:pPr>
        <w:ind w:left="720" w:hanging="720"/>
      </w:pPr>
      <w:r w:rsidRPr="003B6F35">
        <w:rPr>
          <w:color w:val="222222"/>
          <w:shd w:val="clear" w:color="auto" w:fill="FFFFFF"/>
        </w:rPr>
        <w:t>Hicks, D., &amp; VanScoy, A. (2019). Discourses of Expertise in Professional Competency Documents: Reference Expertise as Performance. </w:t>
      </w:r>
      <w:r w:rsidRPr="003B6F35">
        <w:rPr>
          <w:i/>
          <w:iCs/>
          <w:color w:val="222222"/>
          <w:shd w:val="clear" w:color="auto" w:fill="FFFFFF"/>
        </w:rPr>
        <w:t>The Library Quarterly</w:t>
      </w:r>
      <w:r w:rsidRPr="003B6F35">
        <w:rPr>
          <w:color w:val="222222"/>
          <w:shd w:val="clear" w:color="auto" w:fill="FFFFFF"/>
        </w:rPr>
        <w:t>, </w:t>
      </w:r>
      <w:r w:rsidRPr="003B6F35">
        <w:rPr>
          <w:i/>
          <w:iCs/>
          <w:color w:val="222222"/>
          <w:shd w:val="clear" w:color="auto" w:fill="FFFFFF"/>
        </w:rPr>
        <w:t>89</w:t>
      </w:r>
      <w:r w:rsidRPr="003B6F35">
        <w:rPr>
          <w:color w:val="222222"/>
          <w:shd w:val="clear" w:color="auto" w:fill="FFFFFF"/>
        </w:rPr>
        <w:t>(1), 34-52.</w:t>
      </w:r>
    </w:p>
    <w:p w14:paraId="5A63B135" w14:textId="39DA0424" w:rsidR="00B46527" w:rsidRPr="00B46527" w:rsidRDefault="00B46527" w:rsidP="00B46527">
      <w:pPr>
        <w:ind w:left="720" w:hanging="720"/>
      </w:pPr>
      <w:r w:rsidRPr="00B46527">
        <w:t>Hirsh, S. (Ed.). (2018). </w:t>
      </w:r>
      <w:r w:rsidRPr="00B46527">
        <w:rPr>
          <w:i/>
          <w:iCs/>
        </w:rPr>
        <w:t>Information services today: an introduction</w:t>
      </w:r>
      <w:r w:rsidRPr="00B46527">
        <w:t xml:space="preserve">. </w:t>
      </w:r>
      <w:r w:rsidR="00906E00">
        <w:t xml:space="preserve">Lanham, MD: </w:t>
      </w:r>
      <w:r w:rsidRPr="00B46527">
        <w:t>Rowman &amp; Littlefield.</w:t>
      </w:r>
    </w:p>
    <w:p w14:paraId="29FF7DBF" w14:textId="64EAE980" w:rsidR="00F715D7" w:rsidRPr="003B6F35" w:rsidRDefault="00F715D7" w:rsidP="00B46527">
      <w:pPr>
        <w:ind w:left="720" w:hanging="720"/>
      </w:pPr>
      <w:r w:rsidRPr="003B6F35">
        <w:rPr>
          <w:color w:val="000000"/>
        </w:rPr>
        <w:t xml:space="preserve">Kingrey, K. P. (2002). Concepts of information seeking and their presence in the practical library literature. </w:t>
      </w:r>
      <w:r w:rsidRPr="00906E00">
        <w:rPr>
          <w:i/>
          <w:color w:val="000000"/>
        </w:rPr>
        <w:t>Library Philosophy and Practice, 4</w:t>
      </w:r>
      <w:r w:rsidRPr="003B6F35">
        <w:rPr>
          <w:color w:val="000000"/>
        </w:rPr>
        <w:t>(2), 1-14.</w:t>
      </w:r>
    </w:p>
    <w:p w14:paraId="737BA6D1" w14:textId="0EA3A87F" w:rsidR="00906E00" w:rsidRPr="00906E00" w:rsidRDefault="00906E00" w:rsidP="00906E00">
      <w:pPr>
        <w:ind w:left="720" w:hanging="720"/>
        <w:rPr>
          <w:color w:val="222222"/>
          <w:shd w:val="clear" w:color="auto" w:fill="FFFFFF"/>
        </w:rPr>
      </w:pPr>
      <w:r w:rsidRPr="00906E00">
        <w:rPr>
          <w:color w:val="222222"/>
          <w:shd w:val="clear" w:color="auto" w:fill="FFFFFF"/>
        </w:rPr>
        <w:t>Kuhlthau, C. C. (2004). </w:t>
      </w:r>
      <w:r w:rsidRPr="00906E00">
        <w:rPr>
          <w:i/>
          <w:iCs/>
          <w:color w:val="222222"/>
          <w:shd w:val="clear" w:color="auto" w:fill="FFFFFF"/>
        </w:rPr>
        <w:t>Seeking meaning: A process approach to library and information services</w:t>
      </w:r>
      <w:r>
        <w:rPr>
          <w:color w:val="222222"/>
          <w:shd w:val="clear" w:color="auto" w:fill="FFFFFF"/>
        </w:rPr>
        <w:t xml:space="preserve"> </w:t>
      </w:r>
      <w:r w:rsidR="00DF6463">
        <w:rPr>
          <w:color w:val="222222"/>
          <w:shd w:val="clear" w:color="auto" w:fill="FFFFFF"/>
        </w:rPr>
        <w:t>(2</w:t>
      </w:r>
      <w:r w:rsidR="00DF6463" w:rsidRPr="00DF6463">
        <w:rPr>
          <w:color w:val="222222"/>
          <w:shd w:val="clear" w:color="auto" w:fill="FFFFFF"/>
          <w:vertAlign w:val="superscript"/>
        </w:rPr>
        <w:t>nd</w:t>
      </w:r>
      <w:r w:rsidR="00DF6463">
        <w:rPr>
          <w:color w:val="222222"/>
          <w:shd w:val="clear" w:color="auto" w:fill="FFFFFF"/>
        </w:rPr>
        <w:t xml:space="preserve"> ed.)</w:t>
      </w:r>
      <w:r w:rsidRPr="00906E00">
        <w:rPr>
          <w:color w:val="222222"/>
          <w:shd w:val="clear" w:color="auto" w:fill="FFFFFF"/>
        </w:rPr>
        <w:t>. Westport, CT: Libraries Unlimited.</w:t>
      </w:r>
    </w:p>
    <w:p w14:paraId="22E4083C" w14:textId="01AA441E" w:rsidR="00F715D7" w:rsidRPr="003B6F35" w:rsidRDefault="00F715D7" w:rsidP="003B6F35">
      <w:pPr>
        <w:ind w:left="720" w:hanging="720"/>
      </w:pPr>
      <w:r w:rsidRPr="003B6F35">
        <w:rPr>
          <w:color w:val="222222"/>
          <w:shd w:val="clear" w:color="auto" w:fill="FFFFFF"/>
        </w:rPr>
        <w:lastRenderedPageBreak/>
        <w:t xml:space="preserve">McKechnie, L. E., Julien, H., Genuis, S. K., &amp; Oliphant, T. (2008). Communicating research findings to library and information science practitioners: </w:t>
      </w:r>
      <w:r w:rsidR="00906E00">
        <w:rPr>
          <w:color w:val="222222"/>
          <w:shd w:val="clear" w:color="auto" w:fill="FFFFFF"/>
        </w:rPr>
        <w:t>A</w:t>
      </w:r>
      <w:r w:rsidRPr="003B6F35">
        <w:rPr>
          <w:color w:val="222222"/>
          <w:shd w:val="clear" w:color="auto" w:fill="FFFFFF"/>
        </w:rPr>
        <w:t xml:space="preserve"> study of ISIC papers from 1996 to 2000. </w:t>
      </w:r>
      <w:r w:rsidRPr="003B6F35">
        <w:rPr>
          <w:i/>
          <w:iCs/>
          <w:color w:val="222222"/>
          <w:shd w:val="clear" w:color="auto" w:fill="FFFFFF"/>
        </w:rPr>
        <w:t>Information Research</w:t>
      </w:r>
      <w:r w:rsidRPr="003B6F35">
        <w:rPr>
          <w:color w:val="222222"/>
          <w:shd w:val="clear" w:color="auto" w:fill="FFFFFF"/>
        </w:rPr>
        <w:t>, </w:t>
      </w:r>
      <w:r w:rsidRPr="003B6F35">
        <w:rPr>
          <w:i/>
          <w:iCs/>
          <w:color w:val="222222"/>
          <w:shd w:val="clear" w:color="auto" w:fill="FFFFFF"/>
        </w:rPr>
        <w:t>13</w:t>
      </w:r>
      <w:r w:rsidRPr="003B6F35">
        <w:rPr>
          <w:color w:val="222222"/>
          <w:shd w:val="clear" w:color="auto" w:fill="FFFFFF"/>
        </w:rPr>
        <w:t>(4).</w:t>
      </w:r>
    </w:p>
    <w:p w14:paraId="18946DF9" w14:textId="77777777" w:rsidR="00F715D7" w:rsidRPr="003B6F35" w:rsidRDefault="00F715D7" w:rsidP="003B6F35">
      <w:pPr>
        <w:ind w:left="720" w:hanging="720"/>
      </w:pPr>
      <w:r w:rsidRPr="003B6F35">
        <w:rPr>
          <w:color w:val="222222"/>
          <w:shd w:val="clear" w:color="auto" w:fill="FFFFFF"/>
        </w:rPr>
        <w:t>Nguyen, L. C., &amp; Hider, P. (2018). Narrowing the gap between LIS research and practice in Australia. </w:t>
      </w:r>
      <w:r w:rsidRPr="003B6F35">
        <w:rPr>
          <w:i/>
          <w:iCs/>
          <w:color w:val="222222"/>
          <w:shd w:val="clear" w:color="auto" w:fill="FFFFFF"/>
        </w:rPr>
        <w:t>Journal of the Australian Library and Information Association</w:t>
      </w:r>
      <w:r w:rsidRPr="003B6F35">
        <w:rPr>
          <w:color w:val="222222"/>
          <w:shd w:val="clear" w:color="auto" w:fill="FFFFFF"/>
        </w:rPr>
        <w:t>, </w:t>
      </w:r>
      <w:r w:rsidRPr="003B6F35">
        <w:rPr>
          <w:i/>
          <w:iCs/>
          <w:color w:val="222222"/>
          <w:shd w:val="clear" w:color="auto" w:fill="FFFFFF"/>
        </w:rPr>
        <w:t>67</w:t>
      </w:r>
      <w:r w:rsidRPr="003B6F35">
        <w:rPr>
          <w:color w:val="222222"/>
          <w:shd w:val="clear" w:color="auto" w:fill="FFFFFF"/>
        </w:rPr>
        <w:t>(1), 3-19.</w:t>
      </w:r>
    </w:p>
    <w:p w14:paraId="08F1EC07" w14:textId="15A9C983" w:rsidR="00F715D7" w:rsidRPr="003B6F35" w:rsidRDefault="00F715D7" w:rsidP="003B6F35">
      <w:pPr>
        <w:ind w:left="720" w:hanging="720"/>
      </w:pPr>
      <w:r w:rsidRPr="003B6F35">
        <w:rPr>
          <w:color w:val="000000"/>
        </w:rPr>
        <w:t>O’Connor, L. G. (2011). The education of reference librarians: A detailed survey and analysis.</w:t>
      </w:r>
      <w:r w:rsidR="00906E00">
        <w:rPr>
          <w:color w:val="000000"/>
        </w:rPr>
        <w:t xml:space="preserve"> In D. Zabel (Ed.),</w:t>
      </w:r>
      <w:r w:rsidRPr="003B6F35">
        <w:rPr>
          <w:color w:val="000000"/>
        </w:rPr>
        <w:t xml:space="preserve"> </w:t>
      </w:r>
      <w:r w:rsidRPr="00906E00">
        <w:rPr>
          <w:i/>
          <w:color w:val="000000"/>
        </w:rPr>
        <w:t>Reference reborn: Breathing new life into public services librarianship</w:t>
      </w:r>
      <w:r w:rsidRPr="003B6F35">
        <w:rPr>
          <w:color w:val="000000"/>
        </w:rPr>
        <w:t xml:space="preserve"> </w:t>
      </w:r>
      <w:r w:rsidR="00906E00">
        <w:rPr>
          <w:color w:val="000000"/>
        </w:rPr>
        <w:t>(</w:t>
      </w:r>
      <w:r w:rsidRPr="003B6F35">
        <w:rPr>
          <w:color w:val="000000"/>
        </w:rPr>
        <w:t>317-337</w:t>
      </w:r>
      <w:r w:rsidR="00906E00">
        <w:rPr>
          <w:color w:val="000000"/>
        </w:rPr>
        <w:t>)</w:t>
      </w:r>
      <w:r w:rsidRPr="003B6F35">
        <w:rPr>
          <w:color w:val="000000"/>
        </w:rPr>
        <w:t>.</w:t>
      </w:r>
      <w:r w:rsidR="00906E00">
        <w:rPr>
          <w:color w:val="000000"/>
        </w:rPr>
        <w:t xml:space="preserve"> Santa Barbara, CA: Libraries Unlimited.</w:t>
      </w:r>
    </w:p>
    <w:p w14:paraId="328F16B3" w14:textId="3449C74D" w:rsidR="00F00630" w:rsidRPr="003B6F35" w:rsidRDefault="00F715D7" w:rsidP="00DF6463">
      <w:pPr>
        <w:ind w:left="720" w:hanging="720"/>
      </w:pPr>
      <w:r w:rsidRPr="003B6F35">
        <w:rPr>
          <w:color w:val="222222"/>
          <w:shd w:val="clear" w:color="auto" w:fill="FFFFFF"/>
        </w:rPr>
        <w:t xml:space="preserve">Powell, R. R., &amp; Raber, D. (1994). Education for reference/information service: </w:t>
      </w:r>
      <w:r w:rsidR="00906E00">
        <w:rPr>
          <w:color w:val="222222"/>
          <w:shd w:val="clear" w:color="auto" w:fill="FFFFFF"/>
        </w:rPr>
        <w:t>A</w:t>
      </w:r>
      <w:r w:rsidRPr="003B6F35">
        <w:rPr>
          <w:color w:val="222222"/>
          <w:shd w:val="clear" w:color="auto" w:fill="FFFFFF"/>
        </w:rPr>
        <w:t xml:space="preserve"> quantitative and qualitative analysis of basic reference courses. </w:t>
      </w:r>
      <w:r w:rsidRPr="003B6F35">
        <w:rPr>
          <w:i/>
          <w:iCs/>
          <w:color w:val="222222"/>
          <w:shd w:val="clear" w:color="auto" w:fill="FFFFFF"/>
        </w:rPr>
        <w:t xml:space="preserve">The </w:t>
      </w:r>
      <w:r w:rsidR="00906E00">
        <w:rPr>
          <w:i/>
          <w:iCs/>
          <w:color w:val="222222"/>
          <w:shd w:val="clear" w:color="auto" w:fill="FFFFFF"/>
        </w:rPr>
        <w:t>R</w:t>
      </w:r>
      <w:r w:rsidRPr="003B6F35">
        <w:rPr>
          <w:i/>
          <w:iCs/>
          <w:color w:val="222222"/>
          <w:shd w:val="clear" w:color="auto" w:fill="FFFFFF"/>
        </w:rPr>
        <w:t xml:space="preserve">eference </w:t>
      </w:r>
      <w:r w:rsidR="00906E00">
        <w:rPr>
          <w:i/>
          <w:iCs/>
          <w:color w:val="222222"/>
          <w:shd w:val="clear" w:color="auto" w:fill="FFFFFF"/>
        </w:rPr>
        <w:t>L</w:t>
      </w:r>
      <w:r w:rsidRPr="003B6F35">
        <w:rPr>
          <w:i/>
          <w:iCs/>
          <w:color w:val="222222"/>
          <w:shd w:val="clear" w:color="auto" w:fill="FFFFFF"/>
        </w:rPr>
        <w:t>ibrarian</w:t>
      </w:r>
      <w:r w:rsidRPr="003B6F35">
        <w:rPr>
          <w:color w:val="222222"/>
          <w:shd w:val="clear" w:color="auto" w:fill="FFFFFF"/>
        </w:rPr>
        <w:t>, </w:t>
      </w:r>
      <w:r w:rsidRPr="003B6F35">
        <w:rPr>
          <w:i/>
          <w:iCs/>
          <w:color w:val="222222"/>
          <w:shd w:val="clear" w:color="auto" w:fill="FFFFFF"/>
        </w:rPr>
        <w:t>20</w:t>
      </w:r>
      <w:r w:rsidRPr="003B6F35">
        <w:rPr>
          <w:color w:val="222222"/>
          <w:shd w:val="clear" w:color="auto" w:fill="FFFFFF"/>
        </w:rPr>
        <w:t>(43), 145-172.</w:t>
      </w:r>
    </w:p>
    <w:sectPr w:rsidR="00F00630" w:rsidRPr="003B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40001"/>
    <w:multiLevelType w:val="hybridMultilevel"/>
    <w:tmpl w:val="0DB6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E22AA"/>
    <w:multiLevelType w:val="hybridMultilevel"/>
    <w:tmpl w:val="33E0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A370C"/>
    <w:multiLevelType w:val="hybridMultilevel"/>
    <w:tmpl w:val="37C051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4AE"/>
    <w:rsid w:val="000174BF"/>
    <w:rsid w:val="00026945"/>
    <w:rsid w:val="00087BDB"/>
    <w:rsid w:val="001011A5"/>
    <w:rsid w:val="00131433"/>
    <w:rsid w:val="00140984"/>
    <w:rsid w:val="00211EF4"/>
    <w:rsid w:val="00224CD0"/>
    <w:rsid w:val="002565F4"/>
    <w:rsid w:val="002C4306"/>
    <w:rsid w:val="0034385B"/>
    <w:rsid w:val="003560A2"/>
    <w:rsid w:val="003B6F35"/>
    <w:rsid w:val="00455A08"/>
    <w:rsid w:val="004B14AE"/>
    <w:rsid w:val="00540076"/>
    <w:rsid w:val="0056403C"/>
    <w:rsid w:val="005846A5"/>
    <w:rsid w:val="00596024"/>
    <w:rsid w:val="005A0BDD"/>
    <w:rsid w:val="005A24AE"/>
    <w:rsid w:val="0061151E"/>
    <w:rsid w:val="0066540B"/>
    <w:rsid w:val="006F4657"/>
    <w:rsid w:val="00704B72"/>
    <w:rsid w:val="00715B63"/>
    <w:rsid w:val="00732E27"/>
    <w:rsid w:val="00735943"/>
    <w:rsid w:val="007C6CDD"/>
    <w:rsid w:val="007E0824"/>
    <w:rsid w:val="00833829"/>
    <w:rsid w:val="008527CD"/>
    <w:rsid w:val="008758DE"/>
    <w:rsid w:val="008D43D6"/>
    <w:rsid w:val="00906E00"/>
    <w:rsid w:val="00920096"/>
    <w:rsid w:val="00937789"/>
    <w:rsid w:val="00943DAD"/>
    <w:rsid w:val="00954FC5"/>
    <w:rsid w:val="0095534D"/>
    <w:rsid w:val="00972D6A"/>
    <w:rsid w:val="009877AA"/>
    <w:rsid w:val="00A35DEF"/>
    <w:rsid w:val="00B31AF2"/>
    <w:rsid w:val="00B408B6"/>
    <w:rsid w:val="00B46527"/>
    <w:rsid w:val="00B80467"/>
    <w:rsid w:val="00C13C28"/>
    <w:rsid w:val="00C907EF"/>
    <w:rsid w:val="00C91709"/>
    <w:rsid w:val="00D04674"/>
    <w:rsid w:val="00D371B9"/>
    <w:rsid w:val="00D71B48"/>
    <w:rsid w:val="00DC4508"/>
    <w:rsid w:val="00DE173D"/>
    <w:rsid w:val="00DF6463"/>
    <w:rsid w:val="00E219C4"/>
    <w:rsid w:val="00E359A2"/>
    <w:rsid w:val="00EA3E80"/>
    <w:rsid w:val="00EC30BD"/>
    <w:rsid w:val="00ED5E98"/>
    <w:rsid w:val="00F00630"/>
    <w:rsid w:val="00F14B3B"/>
    <w:rsid w:val="00F34E78"/>
    <w:rsid w:val="00F715D7"/>
    <w:rsid w:val="00FC56B2"/>
    <w:rsid w:val="00FC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476D"/>
  <w15:chartTrackingRefBased/>
  <w15:docId w15:val="{C51A9346-5F77-4CCF-A141-8AC69088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4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4AE"/>
    <w:pPr>
      <w:spacing w:after="160" w:line="259" w:lineRule="auto"/>
      <w:ind w:left="720"/>
      <w:contextualSpacing/>
    </w:pPr>
    <w:rPr>
      <w:sz w:val="22"/>
      <w:szCs w:val="22"/>
    </w:rPr>
  </w:style>
  <w:style w:type="paragraph" w:styleId="CommentText">
    <w:name w:val="annotation text"/>
    <w:basedOn w:val="Normal"/>
    <w:link w:val="CommentTextChar"/>
    <w:uiPriority w:val="99"/>
    <w:semiHidden/>
    <w:unhideWhenUsed/>
    <w:rsid w:val="004B14AE"/>
    <w:rPr>
      <w:sz w:val="20"/>
      <w:szCs w:val="20"/>
    </w:rPr>
  </w:style>
  <w:style w:type="character" w:customStyle="1" w:styleId="CommentTextChar">
    <w:name w:val="Comment Text Char"/>
    <w:basedOn w:val="DefaultParagraphFont"/>
    <w:link w:val="CommentText"/>
    <w:uiPriority w:val="99"/>
    <w:semiHidden/>
    <w:rsid w:val="004B14AE"/>
    <w:rPr>
      <w:sz w:val="20"/>
      <w:szCs w:val="20"/>
      <w:lang w:val="en-CA"/>
    </w:rPr>
  </w:style>
  <w:style w:type="character" w:styleId="CommentReference">
    <w:name w:val="annotation reference"/>
    <w:basedOn w:val="DefaultParagraphFont"/>
    <w:uiPriority w:val="99"/>
    <w:semiHidden/>
    <w:unhideWhenUsed/>
    <w:rsid w:val="004B14AE"/>
    <w:rPr>
      <w:sz w:val="16"/>
      <w:szCs w:val="16"/>
    </w:rPr>
  </w:style>
  <w:style w:type="paragraph" w:customStyle="1" w:styleId="paragraph">
    <w:name w:val="paragraph"/>
    <w:basedOn w:val="Normal"/>
    <w:rsid w:val="004B14AE"/>
    <w:pPr>
      <w:spacing w:before="100" w:beforeAutospacing="1" w:after="100" w:afterAutospacing="1"/>
    </w:pPr>
  </w:style>
  <w:style w:type="character" w:customStyle="1" w:styleId="normaltextrun">
    <w:name w:val="normaltextrun"/>
    <w:basedOn w:val="DefaultParagraphFont"/>
    <w:rsid w:val="004B14AE"/>
  </w:style>
  <w:style w:type="character" w:customStyle="1" w:styleId="eop">
    <w:name w:val="eop"/>
    <w:basedOn w:val="DefaultParagraphFont"/>
    <w:rsid w:val="004B14AE"/>
  </w:style>
  <w:style w:type="character" w:customStyle="1" w:styleId="spellingerror">
    <w:name w:val="spellingerror"/>
    <w:basedOn w:val="DefaultParagraphFont"/>
    <w:rsid w:val="004B14AE"/>
  </w:style>
  <w:style w:type="paragraph" w:styleId="BalloonText">
    <w:name w:val="Balloon Text"/>
    <w:basedOn w:val="Normal"/>
    <w:link w:val="BalloonTextChar"/>
    <w:uiPriority w:val="99"/>
    <w:semiHidden/>
    <w:unhideWhenUsed/>
    <w:rsid w:val="004B14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4AE"/>
    <w:rPr>
      <w:rFonts w:ascii="Segoe UI" w:hAnsi="Segoe UI" w:cs="Segoe UI"/>
      <w:sz w:val="18"/>
      <w:szCs w:val="18"/>
      <w:lang w:val="en-CA"/>
    </w:rPr>
  </w:style>
  <w:style w:type="paragraph" w:styleId="CommentSubject">
    <w:name w:val="annotation subject"/>
    <w:basedOn w:val="CommentText"/>
    <w:next w:val="CommentText"/>
    <w:link w:val="CommentSubjectChar"/>
    <w:uiPriority w:val="99"/>
    <w:semiHidden/>
    <w:unhideWhenUsed/>
    <w:rsid w:val="00131433"/>
    <w:rPr>
      <w:b/>
      <w:bCs/>
    </w:rPr>
  </w:style>
  <w:style w:type="character" w:customStyle="1" w:styleId="CommentSubjectChar">
    <w:name w:val="Comment Subject Char"/>
    <w:basedOn w:val="CommentTextChar"/>
    <w:link w:val="CommentSubject"/>
    <w:uiPriority w:val="99"/>
    <w:semiHidden/>
    <w:rsid w:val="00131433"/>
    <w:rPr>
      <w:b/>
      <w:bCs/>
      <w:sz w:val="20"/>
      <w:szCs w:val="20"/>
      <w:lang w:val="en-CA"/>
    </w:rPr>
  </w:style>
  <w:style w:type="paragraph" w:styleId="Revision">
    <w:name w:val="Revision"/>
    <w:hidden/>
    <w:uiPriority w:val="99"/>
    <w:semiHidden/>
    <w:rsid w:val="00540076"/>
    <w:pPr>
      <w:spacing w:after="0" w:line="240" w:lineRule="auto"/>
    </w:pPr>
    <w:rPr>
      <w:sz w:val="24"/>
      <w:szCs w:val="24"/>
      <w:lang w:val="en-CA"/>
    </w:rPr>
  </w:style>
  <w:style w:type="character" w:styleId="Hyperlink">
    <w:name w:val="Hyperlink"/>
    <w:rsid w:val="005846A5"/>
    <w:rPr>
      <w:color w:val="0000FF"/>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4301">
      <w:bodyDiv w:val="1"/>
      <w:marLeft w:val="0"/>
      <w:marRight w:val="0"/>
      <w:marTop w:val="0"/>
      <w:marBottom w:val="0"/>
      <w:divBdr>
        <w:top w:val="none" w:sz="0" w:space="0" w:color="auto"/>
        <w:left w:val="none" w:sz="0" w:space="0" w:color="auto"/>
        <w:bottom w:val="none" w:sz="0" w:space="0" w:color="auto"/>
        <w:right w:val="none" w:sz="0" w:space="0" w:color="auto"/>
      </w:divBdr>
    </w:div>
    <w:div w:id="707875868">
      <w:bodyDiv w:val="1"/>
      <w:marLeft w:val="0"/>
      <w:marRight w:val="0"/>
      <w:marTop w:val="0"/>
      <w:marBottom w:val="0"/>
      <w:divBdr>
        <w:top w:val="none" w:sz="0" w:space="0" w:color="auto"/>
        <w:left w:val="none" w:sz="0" w:space="0" w:color="auto"/>
        <w:bottom w:val="none" w:sz="0" w:space="0" w:color="auto"/>
        <w:right w:val="none" w:sz="0" w:space="0" w:color="auto"/>
      </w:divBdr>
    </w:div>
    <w:div w:id="934365554">
      <w:bodyDiv w:val="1"/>
      <w:marLeft w:val="0"/>
      <w:marRight w:val="0"/>
      <w:marTop w:val="0"/>
      <w:marBottom w:val="0"/>
      <w:divBdr>
        <w:top w:val="none" w:sz="0" w:space="0" w:color="auto"/>
        <w:left w:val="none" w:sz="0" w:space="0" w:color="auto"/>
        <w:bottom w:val="none" w:sz="0" w:space="0" w:color="auto"/>
        <w:right w:val="none" w:sz="0" w:space="0" w:color="auto"/>
      </w:divBdr>
    </w:div>
    <w:div w:id="973363297">
      <w:bodyDiv w:val="1"/>
      <w:marLeft w:val="0"/>
      <w:marRight w:val="0"/>
      <w:marTop w:val="0"/>
      <w:marBottom w:val="0"/>
      <w:divBdr>
        <w:top w:val="none" w:sz="0" w:space="0" w:color="auto"/>
        <w:left w:val="none" w:sz="0" w:space="0" w:color="auto"/>
        <w:bottom w:val="none" w:sz="0" w:space="0" w:color="auto"/>
        <w:right w:val="none" w:sz="0" w:space="0" w:color="auto"/>
      </w:divBdr>
    </w:div>
    <w:div w:id="1083843391">
      <w:bodyDiv w:val="1"/>
      <w:marLeft w:val="0"/>
      <w:marRight w:val="0"/>
      <w:marTop w:val="0"/>
      <w:marBottom w:val="0"/>
      <w:divBdr>
        <w:top w:val="none" w:sz="0" w:space="0" w:color="auto"/>
        <w:left w:val="none" w:sz="0" w:space="0" w:color="auto"/>
        <w:bottom w:val="none" w:sz="0" w:space="0" w:color="auto"/>
        <w:right w:val="none" w:sz="0" w:space="0" w:color="auto"/>
      </w:divBdr>
    </w:div>
    <w:div w:id="1184050019">
      <w:bodyDiv w:val="1"/>
      <w:marLeft w:val="0"/>
      <w:marRight w:val="0"/>
      <w:marTop w:val="0"/>
      <w:marBottom w:val="0"/>
      <w:divBdr>
        <w:top w:val="none" w:sz="0" w:space="0" w:color="auto"/>
        <w:left w:val="none" w:sz="0" w:space="0" w:color="auto"/>
        <w:bottom w:val="none" w:sz="0" w:space="0" w:color="auto"/>
        <w:right w:val="none" w:sz="0" w:space="0" w:color="auto"/>
      </w:divBdr>
    </w:div>
    <w:div w:id="1831406411">
      <w:bodyDiv w:val="1"/>
      <w:marLeft w:val="0"/>
      <w:marRight w:val="0"/>
      <w:marTop w:val="0"/>
      <w:marBottom w:val="0"/>
      <w:divBdr>
        <w:top w:val="none" w:sz="0" w:space="0" w:color="auto"/>
        <w:left w:val="none" w:sz="0" w:space="0" w:color="auto"/>
        <w:bottom w:val="none" w:sz="0" w:space="0" w:color="auto"/>
        <w:right w:val="none" w:sz="0" w:space="0" w:color="auto"/>
      </w:divBdr>
    </w:div>
    <w:div w:id="200273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46335-6919-644C-9DCC-51963C85C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Graduate School of Education</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Heidi</dc:creator>
  <cp:keywords/>
  <dc:description/>
  <cp:lastModifiedBy>Amy</cp:lastModifiedBy>
  <cp:revision>3</cp:revision>
  <cp:lastPrinted>2020-07-31T15:39:00Z</cp:lastPrinted>
  <dcterms:created xsi:type="dcterms:W3CDTF">2020-07-31T15:39:00Z</dcterms:created>
  <dcterms:modified xsi:type="dcterms:W3CDTF">2020-07-31T16:40:00Z</dcterms:modified>
</cp:coreProperties>
</file>