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70E4" w14:textId="55FBD1F7" w:rsidR="009B10B8" w:rsidRPr="00960870" w:rsidRDefault="009B10B8" w:rsidP="009B10B8">
      <w:pPr>
        <w:spacing w:after="0" w:line="240" w:lineRule="auto"/>
        <w:rPr>
          <w:rFonts w:ascii="Times New Roman" w:eastAsia="Times New Roman" w:hAnsi="Times New Roman" w:cs="Times New Roman"/>
          <w:b/>
          <w:sz w:val="26"/>
          <w:szCs w:val="26"/>
        </w:rPr>
      </w:pPr>
      <w:r w:rsidRPr="00960870">
        <w:rPr>
          <w:rFonts w:ascii="Times New Roman" w:eastAsia="Times New Roman" w:hAnsi="Times New Roman" w:cs="Times New Roman"/>
          <w:b/>
          <w:sz w:val="26"/>
          <w:szCs w:val="26"/>
        </w:rPr>
        <w:t>Louise Spiteri</w:t>
      </w:r>
      <w:r w:rsidRPr="00960870">
        <w:rPr>
          <w:rFonts w:ascii="Times New Roman" w:eastAsia="Times New Roman" w:hAnsi="Times New Roman" w:cs="Times New Roman"/>
          <w:b/>
          <w:sz w:val="26"/>
          <w:szCs w:val="26"/>
        </w:rPr>
        <w:t xml:space="preserve">  </w:t>
      </w:r>
    </w:p>
    <w:p w14:paraId="021A3358" w14:textId="3D678963" w:rsidR="009B10B8" w:rsidRPr="00960870" w:rsidRDefault="009B10B8" w:rsidP="009B10B8">
      <w:pPr>
        <w:spacing w:after="0" w:line="240" w:lineRule="auto"/>
        <w:rPr>
          <w:rFonts w:ascii="Times New Roman" w:eastAsia="Times New Roman" w:hAnsi="Times New Roman" w:cs="Times New Roman"/>
          <w:b/>
          <w:sz w:val="26"/>
          <w:szCs w:val="26"/>
        </w:rPr>
      </w:pPr>
      <w:r w:rsidRPr="00960870">
        <w:rPr>
          <w:rFonts w:ascii="Times New Roman" w:eastAsia="Times New Roman" w:hAnsi="Times New Roman" w:cs="Times New Roman"/>
          <w:b/>
          <w:sz w:val="26"/>
          <w:szCs w:val="26"/>
        </w:rPr>
        <w:t>Dalhousie University, Halifax, NS, Canada</w:t>
      </w:r>
    </w:p>
    <w:p w14:paraId="569B8726" w14:textId="77777777" w:rsidR="009B10B8" w:rsidRDefault="009B10B8" w:rsidP="009B10B8">
      <w:pPr>
        <w:spacing w:after="0" w:line="240" w:lineRule="auto"/>
        <w:rPr>
          <w:rFonts w:ascii="Times New Roman" w:eastAsia="Times New Roman" w:hAnsi="Times New Roman" w:cs="Times New Roman"/>
          <w:b/>
          <w:sz w:val="24"/>
          <w:szCs w:val="24"/>
        </w:rPr>
      </w:pPr>
    </w:p>
    <w:p w14:paraId="01D57FE3" w14:textId="6EADB155" w:rsidR="00A90674" w:rsidRDefault="00EC15CF">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ZERO-WASTE LIFESTYLE MOVEMENT: A GRASSROOTS RESPONSE TO CLIMATE CHANGE (Paper) </w:t>
      </w:r>
    </w:p>
    <w:p w14:paraId="7697D5D8" w14:textId="77777777" w:rsidR="00A90674" w:rsidRDefault="00A90674">
      <w:pPr>
        <w:spacing w:after="0" w:line="240" w:lineRule="auto"/>
        <w:rPr>
          <w:rFonts w:ascii="Times New Roman" w:eastAsia="Times New Roman" w:hAnsi="Times New Roman" w:cs="Times New Roman"/>
          <w:sz w:val="24"/>
          <w:szCs w:val="24"/>
        </w:rPr>
      </w:pPr>
    </w:p>
    <w:p w14:paraId="39F3AA05" w14:textId="77777777" w:rsidR="00A90674" w:rsidRDefault="00A90674">
      <w:pPr>
        <w:spacing w:after="0" w:line="240" w:lineRule="auto"/>
        <w:rPr>
          <w:rFonts w:ascii="Times New Roman" w:eastAsia="Times New Roman" w:hAnsi="Times New Roman" w:cs="Times New Roman"/>
          <w:sz w:val="24"/>
          <w:szCs w:val="24"/>
        </w:rPr>
      </w:pPr>
    </w:p>
    <w:p w14:paraId="53CE579C" w14:textId="77777777" w:rsidR="00A90674" w:rsidRDefault="00EC15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rPr>
        <w:t xml:space="preserve">Abstract or </w:t>
      </w:r>
      <w:r>
        <w:rPr>
          <w:rFonts w:ascii="Times New Roman" w:eastAsia="Times New Roman" w:hAnsi="Times New Roman" w:cs="Times New Roman"/>
          <w:b/>
          <w:sz w:val="24"/>
          <w:szCs w:val="24"/>
        </w:rPr>
        <w:t xml:space="preserve">Résumé: </w:t>
      </w:r>
      <w:r>
        <w:rPr>
          <w:rFonts w:ascii="Times New Roman" w:eastAsia="Times New Roman" w:hAnsi="Times New Roman" w:cs="Times New Roman"/>
          <w:b/>
        </w:rPr>
        <w:t xml:space="preserve"> </w:t>
      </w:r>
    </w:p>
    <w:p w14:paraId="2E03D4B0" w14:textId="77777777" w:rsidR="00A90674" w:rsidRDefault="00A90674">
      <w:pPr>
        <w:spacing w:after="0" w:line="240" w:lineRule="auto"/>
        <w:rPr>
          <w:rFonts w:ascii="Times New Roman" w:eastAsia="Times New Roman" w:hAnsi="Times New Roman" w:cs="Times New Roman"/>
        </w:rPr>
      </w:pPr>
    </w:p>
    <w:p w14:paraId="640335AF" w14:textId="77777777" w:rsidR="00AA0CFD" w:rsidRDefault="00AA0CFD" w:rsidP="00AA0CFD">
      <w:pPr>
        <w:spacing w:after="0" w:line="240" w:lineRule="auto"/>
        <w:jc w:val="both"/>
        <w:rPr>
          <w:rFonts w:ascii="Times New Roman" w:eastAsia="Times New Roman" w:hAnsi="Times New Roman" w:cs="Times New Roman"/>
          <w:color w:val="000000"/>
          <w:sz w:val="24"/>
          <w:szCs w:val="24"/>
        </w:rPr>
      </w:pPr>
      <w:r w:rsidRPr="00AA0CFD">
        <w:rPr>
          <w:rFonts w:ascii="Times New Roman" w:eastAsia="Times New Roman" w:hAnsi="Times New Roman" w:cs="Times New Roman"/>
          <w:sz w:val="24"/>
          <w:szCs w:val="24"/>
        </w:rPr>
        <w:t xml:space="preserve">This paper explores the </w:t>
      </w:r>
      <w:r>
        <w:rPr>
          <w:rFonts w:ascii="Times New Roman" w:eastAsia="Times New Roman" w:hAnsi="Times New Roman" w:cs="Times New Roman"/>
          <w:sz w:val="24"/>
          <w:szCs w:val="24"/>
        </w:rPr>
        <w:t>zero waste (ZW)</w:t>
      </w:r>
      <w:r w:rsidRPr="00AA0CFD">
        <w:rPr>
          <w:rFonts w:ascii="Times New Roman" w:eastAsia="Times New Roman" w:hAnsi="Times New Roman" w:cs="Times New Roman"/>
          <w:sz w:val="24"/>
          <w:szCs w:val="24"/>
        </w:rPr>
        <w:t xml:space="preserve"> activities and strategies that members of 5 ZW Instagram communities employ in their daily lives</w:t>
      </w:r>
      <w:r>
        <w:rPr>
          <w:rFonts w:ascii="Times New Roman" w:eastAsia="Times New Roman" w:hAnsi="Times New Roman" w:cs="Times New Roman"/>
          <w:sz w:val="24"/>
          <w:szCs w:val="24"/>
        </w:rPr>
        <w:t xml:space="preserve">. </w:t>
      </w:r>
      <w:r w:rsidR="00EC15CF">
        <w:rPr>
          <w:rFonts w:ascii="Times New Roman" w:eastAsia="Times New Roman" w:hAnsi="Times New Roman" w:cs="Times New Roman"/>
          <w:color w:val="000000"/>
          <w:sz w:val="24"/>
          <w:szCs w:val="24"/>
        </w:rPr>
        <w:t xml:space="preserve">A Thematic Analysis of 2,000 posts </w:t>
      </w:r>
      <w:r>
        <w:rPr>
          <w:rFonts w:ascii="Times New Roman" w:eastAsia="Times New Roman" w:hAnsi="Times New Roman" w:cs="Times New Roman"/>
          <w:color w:val="000000"/>
          <w:sz w:val="24"/>
          <w:szCs w:val="24"/>
        </w:rPr>
        <w:t>revealed that m</w:t>
      </w:r>
      <w:r w:rsidRPr="00AA0CFD">
        <w:rPr>
          <w:rFonts w:ascii="Times New Roman" w:eastAsia="Times New Roman" w:hAnsi="Times New Roman" w:cs="Times New Roman"/>
          <w:color w:val="000000"/>
          <w:sz w:val="24"/>
          <w:szCs w:val="24"/>
        </w:rPr>
        <w:t>embers engage in a total of 39 individual ZW activities, which speaks to a level of commitment that far exceeds any trends or fads. The comments from the ZW members suggest that the ZW lifestyle encompasses people’s everyday practices and consumption, and that members engage in private and ongoing actions that interweave into their daily lives</w:t>
      </w:r>
      <w:r w:rsidR="00EC15CF">
        <w:rPr>
          <w:rFonts w:ascii="Times New Roman" w:eastAsia="Times New Roman" w:hAnsi="Times New Roman" w:cs="Times New Roman"/>
          <w:color w:val="000000"/>
          <w:sz w:val="24"/>
          <w:szCs w:val="24"/>
        </w:rPr>
        <w:t xml:space="preserve">. </w:t>
      </w:r>
    </w:p>
    <w:p w14:paraId="6A2F5AEE" w14:textId="77777777" w:rsidR="00AA0CFD" w:rsidRDefault="00AA0CFD" w:rsidP="00AA0CFD">
      <w:pPr>
        <w:spacing w:after="0" w:line="240" w:lineRule="auto"/>
        <w:jc w:val="both"/>
        <w:rPr>
          <w:rFonts w:ascii="Times New Roman" w:eastAsia="Times New Roman" w:hAnsi="Times New Roman" w:cs="Times New Roman"/>
          <w:color w:val="000000"/>
        </w:rPr>
      </w:pPr>
    </w:p>
    <w:p w14:paraId="35C04CEE" w14:textId="77777777" w:rsidR="00A90674" w:rsidRDefault="00A90674">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D541297" w14:textId="77777777" w:rsidR="00A90674" w:rsidRDefault="00EC15CF">
      <w:pPr>
        <w:numPr>
          <w:ilvl w:val="0"/>
          <w:numId w:val="1"/>
        </w:numPr>
        <w:pBdr>
          <w:top w:val="nil"/>
          <w:left w:val="nil"/>
          <w:bottom w:val="nil"/>
          <w:right w:val="nil"/>
          <w:between w:val="nil"/>
        </w:pBdr>
        <w:spacing w:after="0" w:line="240" w:lineRule="auto"/>
        <w:ind w:left="283" w:hanging="283"/>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Introduction</w:t>
      </w:r>
    </w:p>
    <w:p w14:paraId="0D59F351"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2016, the world generated 242 million tonnes of plastic waste, and global consumption of plastics continues to increase (World Bank, 2018). Zero waste (ZW) as an overarching principle is defined as “the conservation of all resources by means of responsible production, consumption, reuse, and recovery of all products, packaging, and materials, without burning them, and without discharges to land, water, or air that threaten the environment or human health” (Zero Waste International Alliance, n.d</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While large-scale ZW initiatives are crucial in global efforts to manage waste, the World Bank report emphasized the importance of citizen engagement in tackling waste production: "Waste managers rely on citizens to consciously reduce the amount of waste they generate, separate or manage" (World Bank, 2018, 126).</w:t>
      </w:r>
    </w:p>
    <w:p w14:paraId="4ED81057" w14:textId="77777777" w:rsidR="00A90674" w:rsidRDefault="00A90674">
      <w:pPr>
        <w:spacing w:after="0" w:line="240" w:lineRule="auto"/>
        <w:jc w:val="both"/>
        <w:rPr>
          <w:rFonts w:ascii="Times New Roman" w:eastAsia="Times New Roman" w:hAnsi="Times New Roman" w:cs="Times New Roman"/>
          <w:sz w:val="24"/>
          <w:szCs w:val="24"/>
        </w:rPr>
      </w:pPr>
    </w:p>
    <w:p w14:paraId="51F7AFFF" w14:textId="77777777" w:rsidR="00A90674" w:rsidRPr="00EC2BFD" w:rsidRDefault="00EC15CF" w:rsidP="00EC2B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individuals who are consciously living ZW lifestyles in response to the global climate emergency is growing significantly. Social media has provided opportunities for individuals who pursue a ZW lifestyle to form online communities. Instagram, in particular, has become a very popular communication platform for the ZW lifestyle; a search for the hashtag #zerowaste retrieved </w:t>
      </w:r>
      <w:r w:rsidR="00AA0CFD" w:rsidRPr="00AA0CFD">
        <w:rPr>
          <w:rFonts w:ascii="Times New Roman" w:eastAsia="Times New Roman" w:hAnsi="Times New Roman" w:cs="Times New Roman"/>
          <w:sz w:val="24"/>
          <w:szCs w:val="24"/>
        </w:rPr>
        <w:t>5, 6,11,879</w:t>
      </w:r>
      <w:r w:rsidR="00AA0C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posts on </w:t>
      </w:r>
      <w:r w:rsidR="00AA0CFD">
        <w:rPr>
          <w:rFonts w:ascii="Times New Roman" w:eastAsia="Times New Roman" w:hAnsi="Times New Roman" w:cs="Times New Roman"/>
          <w:sz w:val="24"/>
          <w:szCs w:val="24"/>
        </w:rPr>
        <w:t>J</w:t>
      </w:r>
      <w:r w:rsidR="00AA0CFD" w:rsidRPr="00AA0CFD">
        <w:rPr>
          <w:rFonts w:ascii="Times New Roman" w:eastAsia="Times New Roman" w:hAnsi="Times New Roman" w:cs="Times New Roman"/>
          <w:sz w:val="24"/>
          <w:szCs w:val="24"/>
        </w:rPr>
        <w:t>uly 8, 2020</w:t>
      </w:r>
      <w:r w:rsidR="00AA0C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spite of the growing popularity of the personal ZW lifestyle, there has been little study on this community-driven response to climate change. Many ZW practitioners face several questions or comments such as “but you’re only one person; it’s a drop in the bucket; one person can’t make a difference.” </w:t>
      </w:r>
      <w:r w:rsidR="00EC2BFD" w:rsidRPr="00EC2BFD">
        <w:rPr>
          <w:rFonts w:ascii="Times New Roman" w:eastAsia="Times New Roman" w:hAnsi="Times New Roman" w:cs="Times New Roman"/>
          <w:sz w:val="24"/>
          <w:szCs w:val="24"/>
        </w:rPr>
        <w:t>This paper is a first step in the examination of the structure, function, and practice of online ZW communities. What motivates people to follow a ZW lifestyle? What are the information needs and behaviours of ZW practitioners? How are ZW resources discovered, accessed, and disseminated? How do ZW practitioners determine the trustworthiness and reliability of the information resources they use?</w:t>
      </w:r>
      <w:r w:rsidR="00EC2BFD">
        <w:rPr>
          <w:rFonts w:ascii="Times New Roman" w:eastAsia="Times New Roman" w:hAnsi="Times New Roman" w:cs="Times New Roman"/>
          <w:sz w:val="24"/>
          <w:szCs w:val="24"/>
        </w:rPr>
        <w:t xml:space="preserve"> </w:t>
      </w:r>
      <w:r w:rsidR="00EC2BFD" w:rsidRPr="00EC2BFD">
        <w:rPr>
          <w:rFonts w:ascii="Times New Roman" w:eastAsia="Times New Roman" w:hAnsi="Times New Roman" w:cs="Times New Roman"/>
          <w:sz w:val="24"/>
          <w:szCs w:val="24"/>
        </w:rPr>
        <w:t xml:space="preserve">The goal of this study is to explore one aspect of the Lifestyle Movement Framework with regard to the ZW lifestyle, namely, </w:t>
      </w:r>
      <w:r w:rsidR="00EC2BFD">
        <w:rPr>
          <w:rFonts w:ascii="Times New Roman" w:eastAsia="Times New Roman" w:hAnsi="Times New Roman" w:cs="Times New Roman"/>
          <w:i/>
          <w:iCs/>
          <w:sz w:val="24"/>
          <w:szCs w:val="24"/>
        </w:rPr>
        <w:t>a</w:t>
      </w:r>
      <w:r w:rsidR="00EC2BFD" w:rsidRPr="00EC2BFD">
        <w:rPr>
          <w:rFonts w:ascii="Times New Roman" w:eastAsia="Times New Roman" w:hAnsi="Times New Roman" w:cs="Times New Roman"/>
          <w:i/>
          <w:iCs/>
          <w:sz w:val="24"/>
          <w:szCs w:val="24"/>
        </w:rPr>
        <w:t>ction at the individual level</w:t>
      </w:r>
      <w:r w:rsidR="00EC2BFD" w:rsidRPr="00EC2BFD">
        <w:rPr>
          <w:rFonts w:ascii="Times New Roman" w:eastAsia="Times New Roman" w:hAnsi="Times New Roman" w:cs="Times New Roman"/>
          <w:sz w:val="24"/>
          <w:szCs w:val="24"/>
        </w:rPr>
        <w:t>, that is to explore how ZW practitioners engage in private ZW activities. More specifically, this study will conduct a thematic analysis of 2000 member comments (or discussions) in 5 ZW Instagram communities over a two-year period to determine how members incorporate ZW activities into their daily lives</w:t>
      </w:r>
      <w:r w:rsidR="00EC2BFD">
        <w:rPr>
          <w:rFonts w:ascii="Times New Roman" w:eastAsia="Times New Roman" w:hAnsi="Times New Roman" w:cs="Times New Roman"/>
          <w:sz w:val="24"/>
          <w:szCs w:val="24"/>
        </w:rPr>
        <w:t>.</w:t>
      </w:r>
    </w:p>
    <w:p w14:paraId="2627B409" w14:textId="77777777" w:rsidR="00A90674" w:rsidRDefault="00A90674">
      <w:pPr>
        <w:spacing w:after="0" w:line="240" w:lineRule="auto"/>
        <w:rPr>
          <w:rFonts w:ascii="Times New Roman" w:eastAsia="Times New Roman" w:hAnsi="Times New Roman" w:cs="Times New Roman"/>
          <w:sz w:val="24"/>
          <w:szCs w:val="24"/>
        </w:rPr>
      </w:pPr>
    </w:p>
    <w:p w14:paraId="5C329469" w14:textId="77777777" w:rsidR="00A90674" w:rsidRDefault="00EC15CF">
      <w:pPr>
        <w:pBdr>
          <w:top w:val="nil"/>
          <w:left w:val="nil"/>
          <w:bottom w:val="nil"/>
          <w:right w:val="nil"/>
          <w:between w:val="nil"/>
        </w:pBdr>
        <w:tabs>
          <w:tab w:val="left" w:pos="284"/>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color w:val="000000"/>
          <w:sz w:val="24"/>
          <w:szCs w:val="24"/>
        </w:rPr>
        <w:t>Literature review</w:t>
      </w:r>
    </w:p>
    <w:p w14:paraId="1B746381"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online ZW communities examples of social movements or lifestyles? Social movements have traditionally been described as organized collective actions aimed at authority structures, such as governments, while lifestyle movements as more internally-focused groupings driven by consumption and popular culture (Haenfler, Johnson, &amp; Jones, 2012; Snow, 2004). Social movements focus on collective action, have some degree of organization, and operate largely outside of conventional institutions (McAdam &amp; Snow, 1997). Snow (2004) expressed his concern with the increasingly restrictive conceptualization of collective action and social movements and suggested that we need to explore the space between lifestyle and social movement and bridge the gap in between them. Lifestyles encompass people’s “individuality, self-expression, and stylistic self-consciousness” (Featherstone, 1987, p. 55). As such, lifestyles have not been perceived as serious contributors to social change. Haenfler, Johnson, and Jones (2012) argued that alternative lifestyles - such as veganism or ZW living - challenge predominant cultural norms and practices. ZW could be viewed as a lifestyle aspect (or wing) of the established climate change social movement that engages individualized collective action. </w:t>
      </w:r>
    </w:p>
    <w:p w14:paraId="5B19F9CB" w14:textId="77777777" w:rsidR="00A90674" w:rsidRDefault="00A90674">
      <w:pPr>
        <w:spacing w:after="0" w:line="240" w:lineRule="auto"/>
        <w:rPr>
          <w:rFonts w:ascii="Times New Roman" w:eastAsia="Times New Roman" w:hAnsi="Times New Roman" w:cs="Times New Roman"/>
          <w:sz w:val="24"/>
          <w:szCs w:val="24"/>
        </w:rPr>
      </w:pPr>
    </w:p>
    <w:p w14:paraId="0E90C7DA"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Bennett and Segerberg (2012) argued that there is increasing coordination of action by organizations and individuals using digital media to create networks, structure activities, and communicate their views directly to the world. Individual proponents of ZW lifestyles share internalized or personalized ideas, strategies, and resources via social network sites such as Facebook or Instagram. These sites “not only create online meeting places and coordinate offline activities, but they also help calibrate relationships by establishing levels of transparency, privacy, security, and interpersonal trust” (Bennett &amp; Segerberg, 2012, p. 753).</w:t>
      </w:r>
    </w:p>
    <w:p w14:paraId="634FA746" w14:textId="77777777" w:rsidR="00A90674" w:rsidRDefault="00A90674">
      <w:pPr>
        <w:spacing w:after="0" w:line="240" w:lineRule="auto"/>
        <w:jc w:val="both"/>
        <w:rPr>
          <w:rFonts w:ascii="Times New Roman" w:eastAsia="Times New Roman" w:hAnsi="Times New Roman" w:cs="Times New Roman"/>
          <w:sz w:val="24"/>
          <w:szCs w:val="24"/>
        </w:rPr>
      </w:pPr>
    </w:p>
    <w:p w14:paraId="01D1014C"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Nekmat, Gower, Gonzenbach &amp; Flanagin (2015) investigated the relationship between different interpersonal influencers and their potential to spur individual participation across online collective activities via social media. In reference to Instagram, influencers are users who have an established audience and who can persuade others by virtue of their trustworthiness and authenticity. The authors found that personal networks can trigger collective action via social media and can mobilize new participants.</w:t>
      </w:r>
    </w:p>
    <w:p w14:paraId="4A2B846B" w14:textId="77777777" w:rsidR="00A90674" w:rsidRDefault="00A90674">
      <w:pPr>
        <w:spacing w:after="0" w:line="240" w:lineRule="auto"/>
      </w:pPr>
    </w:p>
    <w:p w14:paraId="0283E57A"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Lifestyle Movements Framework (Haenfler, Johnson, &amp; Jones, 2012) posits that lifestyle movements have the following characteristics:</w:t>
      </w:r>
    </w:p>
    <w:p w14:paraId="19073351" w14:textId="77777777" w:rsidR="00A90674" w:rsidRDefault="00EC15CF">
      <w:pPr>
        <w:numPr>
          <w:ilvl w:val="0"/>
          <w:numId w:val="2"/>
        </w:numPr>
        <w:spacing w:after="0" w:line="240" w:lineRule="auto"/>
        <w:jc w:val="both"/>
        <w:rPr>
          <w:sz w:val="24"/>
          <w:szCs w:val="24"/>
        </w:rPr>
      </w:pPr>
      <w:r>
        <w:rPr>
          <w:rFonts w:ascii="Times New Roman" w:eastAsia="Times New Roman" w:hAnsi="Times New Roman" w:cs="Times New Roman"/>
          <w:sz w:val="24"/>
          <w:szCs w:val="24"/>
        </w:rPr>
        <w:t>Promote individual action. Participation occurs primarily at the individual level with the subjective understanding that others are taking similar action, collectively adding up to social change;</w:t>
      </w:r>
    </w:p>
    <w:p w14:paraId="44487488" w14:textId="77777777" w:rsidR="00A90674" w:rsidRDefault="00EC15CF">
      <w:pPr>
        <w:numPr>
          <w:ilvl w:val="0"/>
          <w:numId w:val="2"/>
        </w:numPr>
        <w:spacing w:after="0" w:line="240" w:lineRule="auto"/>
        <w:jc w:val="both"/>
        <w:rPr>
          <w:sz w:val="24"/>
          <w:szCs w:val="24"/>
        </w:rPr>
      </w:pPr>
      <w:r>
        <w:rPr>
          <w:rFonts w:ascii="Times New Roman" w:eastAsia="Times New Roman" w:hAnsi="Times New Roman" w:cs="Times New Roman"/>
          <w:sz w:val="24"/>
          <w:szCs w:val="24"/>
        </w:rPr>
        <w:t>Engage in private and ongoing action. Adherents interview action into their daily lives;</w:t>
      </w:r>
    </w:p>
    <w:p w14:paraId="2AAB688A" w14:textId="77777777" w:rsidR="00A90674" w:rsidRDefault="00EC15CF">
      <w:pPr>
        <w:numPr>
          <w:ilvl w:val="0"/>
          <w:numId w:val="2"/>
        </w:numPr>
        <w:spacing w:after="0" w:line="240" w:lineRule="auto"/>
        <w:jc w:val="both"/>
        <w:rPr>
          <w:sz w:val="24"/>
          <w:szCs w:val="24"/>
        </w:rPr>
      </w:pPr>
      <w:r>
        <w:rPr>
          <w:rFonts w:ascii="Times New Roman" w:eastAsia="Times New Roman" w:hAnsi="Times New Roman" w:cs="Times New Roman"/>
          <w:sz w:val="24"/>
          <w:szCs w:val="24"/>
        </w:rPr>
        <w:t>Foster an understanding amongst adherents that their individual actions are efforts towards social change; and</w:t>
      </w:r>
    </w:p>
    <w:p w14:paraId="0CD63587" w14:textId="77777777" w:rsidR="00A90674" w:rsidRDefault="00EC15CF">
      <w:pPr>
        <w:numPr>
          <w:ilvl w:val="0"/>
          <w:numId w:val="2"/>
        </w:numPr>
        <w:spacing w:after="0" w:line="240" w:lineRule="auto"/>
        <w:jc w:val="both"/>
        <w:rPr>
          <w:sz w:val="24"/>
          <w:szCs w:val="24"/>
        </w:rPr>
      </w:pPr>
      <w:r>
        <w:rPr>
          <w:rFonts w:ascii="Times New Roman" w:eastAsia="Times New Roman" w:hAnsi="Times New Roman" w:cs="Times New Roman"/>
          <w:sz w:val="24"/>
          <w:szCs w:val="24"/>
        </w:rPr>
        <w:t>Foster identity work amongst adherents, in which they cultivate a coherent and meaningful identity in the context of a collective identity.</w:t>
      </w:r>
    </w:p>
    <w:p w14:paraId="10D022C9" w14:textId="77777777" w:rsidR="00A90674" w:rsidRDefault="00A90674">
      <w:pPr>
        <w:spacing w:after="0" w:line="240" w:lineRule="auto"/>
        <w:rPr>
          <w:rFonts w:ascii="Times New Roman" w:eastAsia="Times New Roman" w:hAnsi="Times New Roman" w:cs="Times New Roman"/>
          <w:b/>
          <w:sz w:val="24"/>
          <w:szCs w:val="24"/>
        </w:rPr>
      </w:pPr>
    </w:p>
    <w:p w14:paraId="1BD328FA" w14:textId="77777777" w:rsidR="00A90674" w:rsidRDefault="00EC15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Method</w:t>
      </w:r>
    </w:p>
    <w:p w14:paraId="0ED7BBE4"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Posts were extracted from five popular ZW Instagram accounts over the years 2018 and 2019: </w:t>
      </w:r>
    </w:p>
    <w:p w14:paraId="054FCEBB" w14:textId="77777777" w:rsidR="00EC2BFD"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Going Zero Waste</w:t>
      </w:r>
      <w:r w:rsidR="00AA0C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Wasteland Rebel; Zero Waste Chef; Zero Waste Home</w:t>
      </w:r>
      <w:r w:rsidR="00AA0C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Zero Waste Nerd. </w:t>
      </w:r>
      <w:r w:rsidR="00EC2BFD" w:rsidRPr="00EC2BFD">
        <w:rPr>
          <w:rFonts w:ascii="Times New Roman" w:eastAsia="Times New Roman" w:hAnsi="Times New Roman" w:cs="Times New Roman"/>
          <w:sz w:val="24"/>
          <w:szCs w:val="24"/>
        </w:rPr>
        <w:t xml:space="preserve">For each year all the available posts </w:t>
      </w:r>
      <w:r w:rsidR="009107ED">
        <w:rPr>
          <w:rFonts w:ascii="Times New Roman" w:eastAsia="Times New Roman" w:hAnsi="Times New Roman" w:cs="Times New Roman"/>
          <w:sz w:val="24"/>
          <w:szCs w:val="24"/>
        </w:rPr>
        <w:t xml:space="preserve">were extracted </w:t>
      </w:r>
      <w:r w:rsidR="00EC2BFD" w:rsidRPr="00EC2BFD">
        <w:rPr>
          <w:rFonts w:ascii="Times New Roman" w:eastAsia="Times New Roman" w:hAnsi="Times New Roman" w:cs="Times New Roman"/>
          <w:sz w:val="24"/>
          <w:szCs w:val="24"/>
        </w:rPr>
        <w:t>and assigned each a numerical code (e.g., GZW 001). The number of comments per post fluctuated significantly across the five Instagram accounts</w:t>
      </w:r>
      <w:r w:rsidR="009107ED">
        <w:rPr>
          <w:rFonts w:ascii="Times New Roman" w:eastAsia="Times New Roman" w:hAnsi="Times New Roman" w:cs="Times New Roman"/>
          <w:sz w:val="24"/>
          <w:szCs w:val="24"/>
        </w:rPr>
        <w:t>;</w:t>
      </w:r>
      <w:r w:rsidR="00EC2BFD" w:rsidRPr="00EC2BFD">
        <w:rPr>
          <w:rFonts w:ascii="Times New Roman" w:eastAsia="Times New Roman" w:hAnsi="Times New Roman" w:cs="Times New Roman"/>
          <w:sz w:val="24"/>
          <w:szCs w:val="24"/>
        </w:rPr>
        <w:t xml:space="preserve"> on average, the number of comments per post across the two years was 20, and an average of 10 posts per year that contained 20 comments. For each account, and for each yea</w:t>
      </w:r>
      <w:r w:rsidR="009107ED">
        <w:rPr>
          <w:rFonts w:ascii="Times New Roman" w:eastAsia="Times New Roman" w:hAnsi="Times New Roman" w:cs="Times New Roman"/>
          <w:sz w:val="24"/>
          <w:szCs w:val="24"/>
        </w:rPr>
        <w:t>r,</w:t>
      </w:r>
      <w:r w:rsidR="00EC2BFD" w:rsidRPr="00EC2BFD">
        <w:rPr>
          <w:rFonts w:ascii="Times New Roman" w:eastAsia="Times New Roman" w:hAnsi="Times New Roman" w:cs="Times New Roman"/>
          <w:sz w:val="24"/>
          <w:szCs w:val="24"/>
        </w:rPr>
        <w:t xml:space="preserve"> a random sequence generator (</w:t>
      </w:r>
      <w:r w:rsidR="009107ED" w:rsidRPr="00EC2BFD">
        <w:rPr>
          <w:rFonts w:ascii="Times New Roman" w:eastAsia="Times New Roman" w:hAnsi="Times New Roman" w:cs="Times New Roman"/>
          <w:sz w:val="24"/>
          <w:szCs w:val="24"/>
        </w:rPr>
        <w:t xml:space="preserve">https://www.random.org/lists/) </w:t>
      </w:r>
      <w:r w:rsidR="009107ED">
        <w:rPr>
          <w:rFonts w:ascii="Times New Roman" w:eastAsia="Times New Roman" w:hAnsi="Times New Roman" w:cs="Times New Roman"/>
          <w:sz w:val="24"/>
          <w:szCs w:val="24"/>
        </w:rPr>
        <w:t xml:space="preserve">was used </w:t>
      </w:r>
      <w:r w:rsidR="00EC2BFD" w:rsidRPr="00EC2BFD">
        <w:rPr>
          <w:rFonts w:ascii="Times New Roman" w:eastAsia="Times New Roman" w:hAnsi="Times New Roman" w:cs="Times New Roman"/>
          <w:sz w:val="24"/>
          <w:szCs w:val="24"/>
        </w:rPr>
        <w:t xml:space="preserve">to create a randomized list of the extracted posts, based on the numerical codes assigned </w:t>
      </w:r>
      <w:r w:rsidR="009107ED">
        <w:rPr>
          <w:rFonts w:ascii="Times New Roman" w:eastAsia="Times New Roman" w:hAnsi="Times New Roman" w:cs="Times New Roman"/>
          <w:sz w:val="24"/>
          <w:szCs w:val="24"/>
        </w:rPr>
        <w:t xml:space="preserve">to each post </w:t>
      </w:r>
      <w:r w:rsidR="00EC2BFD" w:rsidRPr="00EC2BFD">
        <w:rPr>
          <w:rFonts w:ascii="Times New Roman" w:eastAsia="Times New Roman" w:hAnsi="Times New Roman" w:cs="Times New Roman"/>
          <w:sz w:val="24"/>
          <w:szCs w:val="24"/>
        </w:rPr>
        <w:t xml:space="preserve">(e.g., GZW 001). </w:t>
      </w:r>
      <w:r w:rsidR="009107ED">
        <w:rPr>
          <w:rFonts w:ascii="Times New Roman" w:eastAsia="Times New Roman" w:hAnsi="Times New Roman" w:cs="Times New Roman"/>
          <w:sz w:val="24"/>
          <w:szCs w:val="24"/>
        </w:rPr>
        <w:t xml:space="preserve">The </w:t>
      </w:r>
      <w:r w:rsidR="00EC2BFD" w:rsidRPr="00EC2BFD">
        <w:rPr>
          <w:rFonts w:ascii="Times New Roman" w:eastAsia="Times New Roman" w:hAnsi="Times New Roman" w:cs="Times New Roman"/>
          <w:sz w:val="24"/>
          <w:szCs w:val="24"/>
        </w:rPr>
        <w:t>first 10 posts from each account, for each year, that contained at least 20 comments</w:t>
      </w:r>
      <w:r w:rsidR="009107ED">
        <w:rPr>
          <w:rFonts w:ascii="Times New Roman" w:eastAsia="Times New Roman" w:hAnsi="Times New Roman" w:cs="Times New Roman"/>
          <w:sz w:val="24"/>
          <w:szCs w:val="24"/>
        </w:rPr>
        <w:t>, were selected for analysis</w:t>
      </w:r>
      <w:r w:rsidR="00EC2BFD" w:rsidRPr="00EC2BFD">
        <w:rPr>
          <w:rFonts w:ascii="Times New Roman" w:eastAsia="Times New Roman" w:hAnsi="Times New Roman" w:cs="Times New Roman"/>
          <w:sz w:val="24"/>
          <w:szCs w:val="24"/>
        </w:rPr>
        <w:t>. Since thematic analysis was conducted manually, it was important to have a dataset that was both manageable in size and yet sufficiently rich and varied to provide a comprehensive analysis.</w:t>
      </w:r>
    </w:p>
    <w:p w14:paraId="61BA988D" w14:textId="77777777" w:rsidR="00A90674" w:rsidRDefault="00A90674">
      <w:pPr>
        <w:spacing w:after="0" w:line="240" w:lineRule="auto"/>
        <w:jc w:val="both"/>
        <w:rPr>
          <w:rFonts w:ascii="Times New Roman" w:eastAsia="Times New Roman" w:hAnsi="Times New Roman" w:cs="Times New Roman"/>
          <w:sz w:val="24"/>
          <w:szCs w:val="24"/>
        </w:rPr>
      </w:pPr>
    </w:p>
    <w:p w14:paraId="4E7B310A" w14:textId="77777777" w:rsidR="00A90674"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Thematic analysis (Boyatzis, 1998; Braun &amp; Clarke, 2019) was used to identify, analyze, and interpret patterns of meaning, referred to as themes, from the 2,000 posts. Thematic analysis is particularly useful for exploring people’s daily activities and experiences, behaviours, and practices. An inductive approach was used in the coding; in other words, no pre-determined codes were used before the analysis. The posts were analyzed semantically, that is, focus was placed on what people say, rather than any subtext. This analysis provides valuable insight to common goals, activities, activities, and identities of the community members.</w:t>
      </w:r>
    </w:p>
    <w:p w14:paraId="671521F9" w14:textId="77777777" w:rsidR="00A90674" w:rsidRDefault="00A90674">
      <w:pPr>
        <w:spacing w:after="0" w:line="240" w:lineRule="auto"/>
        <w:rPr>
          <w:rFonts w:ascii="Times New Roman" w:eastAsia="Times New Roman" w:hAnsi="Times New Roman" w:cs="Times New Roman"/>
          <w:sz w:val="24"/>
          <w:szCs w:val="24"/>
        </w:rPr>
      </w:pPr>
    </w:p>
    <w:p w14:paraId="30C54964" w14:textId="77777777" w:rsidR="00A90674" w:rsidRDefault="00EC15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w:t>
      </w:r>
    </w:p>
    <w:p w14:paraId="1B9D4571" w14:textId="77777777" w:rsidR="00A90674" w:rsidRDefault="00EC15CF">
      <w:pPr>
        <w:spacing w:after="0" w:line="240" w:lineRule="auto"/>
      </w:pPr>
      <w:r>
        <w:rPr>
          <w:rFonts w:ascii="Times New Roman" w:eastAsia="Times New Roman" w:hAnsi="Times New Roman" w:cs="Times New Roman"/>
          <w:sz w:val="24"/>
          <w:szCs w:val="24"/>
        </w:rPr>
        <w:t xml:space="preserve">Table 1 shows the seven themes </w:t>
      </w:r>
      <w:r w:rsidR="00AA0CFD">
        <w:rPr>
          <w:rFonts w:ascii="Times New Roman" w:eastAsia="Times New Roman" w:hAnsi="Times New Roman" w:cs="Times New Roman"/>
          <w:sz w:val="24"/>
          <w:szCs w:val="24"/>
        </w:rPr>
        <w:t xml:space="preserve">and sub-themes </w:t>
      </w:r>
      <w:r>
        <w:rPr>
          <w:rFonts w:ascii="Times New Roman" w:eastAsia="Times New Roman" w:hAnsi="Times New Roman" w:cs="Times New Roman"/>
          <w:sz w:val="24"/>
          <w:szCs w:val="24"/>
        </w:rPr>
        <w:t>that emerged from the 2,000 posts</w:t>
      </w:r>
      <w:r>
        <w:t xml:space="preserve"> </w:t>
      </w:r>
    </w:p>
    <w:p w14:paraId="7B7DB7CB" w14:textId="77777777" w:rsidR="00A90674" w:rsidRDefault="00A90674">
      <w:pPr>
        <w:spacing w:after="0" w:line="240" w:lineRule="auto"/>
      </w:pPr>
    </w:p>
    <w:tbl>
      <w:tblPr>
        <w:tblStyle w:val="TableGrid"/>
        <w:tblW w:w="0" w:type="auto"/>
        <w:tblLook w:val="04A0" w:firstRow="1" w:lastRow="0" w:firstColumn="1" w:lastColumn="0" w:noHBand="0" w:noVBand="1"/>
      </w:tblPr>
      <w:tblGrid>
        <w:gridCol w:w="4616"/>
        <w:gridCol w:w="4615"/>
      </w:tblGrid>
      <w:tr w:rsidR="00EC2BFD" w:rsidRPr="00EC2BFD" w14:paraId="7C28F0A9" w14:textId="77777777" w:rsidTr="00EC2BFD">
        <w:tc>
          <w:tcPr>
            <w:tcW w:w="4616" w:type="dxa"/>
          </w:tcPr>
          <w:p w14:paraId="2100EC58" w14:textId="77777777" w:rsidR="00EC2BFD" w:rsidRPr="00EC2BFD" w:rsidRDefault="00EC2BFD" w:rsidP="00EC2BFD">
            <w:pPr>
              <w:jc w:val="center"/>
              <w:rPr>
                <w:rFonts w:ascii="Times New Roman" w:hAnsi="Times New Roman" w:cs="Times New Roman"/>
                <w:b/>
                <w:bCs/>
                <w:sz w:val="20"/>
                <w:szCs w:val="20"/>
              </w:rPr>
            </w:pPr>
            <w:r w:rsidRPr="00EC2BFD">
              <w:rPr>
                <w:rFonts w:ascii="Times New Roman" w:hAnsi="Times New Roman" w:cs="Times New Roman"/>
                <w:b/>
                <w:bCs/>
                <w:sz w:val="20"/>
                <w:szCs w:val="20"/>
              </w:rPr>
              <w:t>Theme</w:t>
            </w:r>
          </w:p>
        </w:tc>
        <w:tc>
          <w:tcPr>
            <w:tcW w:w="4615" w:type="dxa"/>
          </w:tcPr>
          <w:p w14:paraId="3B77C0B7" w14:textId="77777777" w:rsidR="00EC2BFD" w:rsidRPr="00EC2BFD" w:rsidRDefault="00EC2BFD" w:rsidP="00EC2BFD">
            <w:pPr>
              <w:jc w:val="center"/>
              <w:rPr>
                <w:rFonts w:ascii="Times New Roman" w:hAnsi="Times New Roman" w:cs="Times New Roman"/>
                <w:b/>
                <w:bCs/>
                <w:sz w:val="20"/>
                <w:szCs w:val="20"/>
              </w:rPr>
            </w:pPr>
            <w:r w:rsidRPr="00EC2BFD">
              <w:rPr>
                <w:rFonts w:ascii="Times New Roman" w:hAnsi="Times New Roman" w:cs="Times New Roman"/>
                <w:b/>
                <w:bCs/>
                <w:sz w:val="20"/>
                <w:szCs w:val="20"/>
              </w:rPr>
              <w:t>Sub-themes</w:t>
            </w:r>
          </w:p>
        </w:tc>
      </w:tr>
      <w:tr w:rsidR="00EC2BFD" w:rsidRPr="00EC2BFD" w14:paraId="245CC07A" w14:textId="77777777" w:rsidTr="00EC2BFD">
        <w:tc>
          <w:tcPr>
            <w:tcW w:w="4616" w:type="dxa"/>
          </w:tcPr>
          <w:p w14:paraId="49A58ED6"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Avoiding environmental hazards </w:t>
            </w:r>
          </w:p>
        </w:tc>
        <w:tc>
          <w:tcPr>
            <w:tcW w:w="4615" w:type="dxa"/>
          </w:tcPr>
          <w:p w14:paraId="6F6582ED"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Eco-anxiety; Environmental effects; Packaging; Plastic; Trash; Travel</w:t>
            </w:r>
          </w:p>
        </w:tc>
      </w:tr>
      <w:tr w:rsidR="00EC2BFD" w:rsidRPr="00EC2BFD" w14:paraId="55C530FC" w14:textId="77777777" w:rsidTr="00EC2BFD">
        <w:tc>
          <w:tcPr>
            <w:tcW w:w="4616" w:type="dxa"/>
          </w:tcPr>
          <w:p w14:paraId="1550BDE6"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Buying behaviour </w:t>
            </w:r>
          </w:p>
        </w:tc>
        <w:tc>
          <w:tcPr>
            <w:tcW w:w="4615" w:type="dxa"/>
          </w:tcPr>
          <w:p w14:paraId="5591CF29"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Fast fashion; Local goods; Marketing; Savings; Sustainable goods; Thrifting; Waiting; ZW consumerism</w:t>
            </w:r>
          </w:p>
        </w:tc>
      </w:tr>
      <w:tr w:rsidR="00EC2BFD" w:rsidRPr="00EC2BFD" w14:paraId="3EDAF23F" w14:textId="77777777" w:rsidTr="00EC2BFD">
        <w:tc>
          <w:tcPr>
            <w:tcW w:w="4616" w:type="dxa"/>
          </w:tcPr>
          <w:p w14:paraId="08F50C44"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Dealing with social context </w:t>
            </w:r>
          </w:p>
        </w:tc>
        <w:tc>
          <w:tcPr>
            <w:tcW w:w="4615" w:type="dxa"/>
          </w:tcPr>
          <w:p w14:paraId="3BE44294"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Diversity; Donating; Family &amp; friends; Motivating others; Societal expectations</w:t>
            </w:r>
          </w:p>
        </w:tc>
      </w:tr>
      <w:tr w:rsidR="00EC2BFD" w:rsidRPr="00EC2BFD" w14:paraId="1C5A2210" w14:textId="77777777" w:rsidTr="00EC2BFD">
        <w:tc>
          <w:tcPr>
            <w:tcW w:w="4616" w:type="dxa"/>
          </w:tcPr>
          <w:p w14:paraId="708C237D"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Dealing with ZW misconceptions </w:t>
            </w:r>
          </w:p>
        </w:tc>
        <w:tc>
          <w:tcPr>
            <w:tcW w:w="4615" w:type="dxa"/>
          </w:tcPr>
          <w:p w14:paraId="4B3A72FD"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Greenwashing; Recycling fallacy</w:t>
            </w:r>
          </w:p>
        </w:tc>
      </w:tr>
      <w:tr w:rsidR="00EC2BFD" w:rsidRPr="00EC2BFD" w14:paraId="0A6D40B9" w14:textId="77777777" w:rsidTr="00EC2BFD">
        <w:tc>
          <w:tcPr>
            <w:tcW w:w="4616" w:type="dxa"/>
          </w:tcPr>
          <w:p w14:paraId="48D98499"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Household &amp; personal care </w:t>
            </w:r>
          </w:p>
        </w:tc>
        <w:tc>
          <w:tcPr>
            <w:tcW w:w="4615" w:type="dxa"/>
          </w:tcPr>
          <w:p w14:paraId="5BC0B1AE"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Bulk shopping; Cleaning; Farmers’ markets; Food preparation; Food waste; Health; Personal hygiene; Pets</w:t>
            </w:r>
          </w:p>
        </w:tc>
      </w:tr>
      <w:tr w:rsidR="00EC2BFD" w:rsidRPr="00EC2BFD" w14:paraId="79E867E6" w14:textId="77777777" w:rsidTr="00EC2BFD">
        <w:tc>
          <w:tcPr>
            <w:tcW w:w="4616" w:type="dxa"/>
          </w:tcPr>
          <w:p w14:paraId="1C58AAE3"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Waste hierarchy </w:t>
            </w:r>
          </w:p>
        </w:tc>
        <w:tc>
          <w:tcPr>
            <w:tcW w:w="4615" w:type="dxa"/>
          </w:tcPr>
          <w:p w14:paraId="10A08A5A"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Compost; Recycle; Reduce; Refuse; Repair; Repurpose; Reuse</w:t>
            </w:r>
          </w:p>
        </w:tc>
      </w:tr>
      <w:tr w:rsidR="00EC2BFD" w:rsidRPr="00EC2BFD" w14:paraId="3EA01143" w14:textId="77777777" w:rsidTr="00EC2BFD">
        <w:tc>
          <w:tcPr>
            <w:tcW w:w="4616" w:type="dxa"/>
          </w:tcPr>
          <w:p w14:paraId="63E6CE26"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 xml:space="preserve">Zero waste swaps </w:t>
            </w:r>
          </w:p>
        </w:tc>
        <w:tc>
          <w:tcPr>
            <w:tcW w:w="4615" w:type="dxa"/>
          </w:tcPr>
          <w:p w14:paraId="287F81B7" w14:textId="77777777" w:rsidR="00EC2BFD" w:rsidRPr="00EC2BFD" w:rsidRDefault="00EC2BFD" w:rsidP="00EC2BFD">
            <w:pPr>
              <w:rPr>
                <w:rFonts w:ascii="Times New Roman" w:hAnsi="Times New Roman" w:cs="Times New Roman"/>
                <w:sz w:val="20"/>
                <w:szCs w:val="20"/>
              </w:rPr>
            </w:pPr>
            <w:r w:rsidRPr="00EC2BFD">
              <w:rPr>
                <w:rFonts w:ascii="Times New Roman" w:hAnsi="Times New Roman" w:cs="Times New Roman"/>
                <w:sz w:val="20"/>
                <w:szCs w:val="20"/>
              </w:rPr>
              <w:t>Reusable cutlery; Reusable food containers; Reusable shopping bags</w:t>
            </w:r>
          </w:p>
        </w:tc>
      </w:tr>
    </w:tbl>
    <w:p w14:paraId="1DC311A1" w14:textId="77777777" w:rsidR="00EC2BFD" w:rsidRPr="00EC2BFD" w:rsidRDefault="00EC2BFD" w:rsidP="00EC2BFD">
      <w:pPr>
        <w:spacing w:after="0"/>
        <w:jc w:val="center"/>
        <w:rPr>
          <w:rFonts w:ascii="Times New Roman" w:eastAsia="Arial" w:hAnsi="Times New Roman" w:cs="Times New Roman"/>
          <w:b/>
          <w:bCs/>
          <w:i/>
          <w:iCs/>
          <w:sz w:val="24"/>
          <w:szCs w:val="24"/>
          <w:lang w:val="en-GB"/>
        </w:rPr>
      </w:pPr>
      <w:r w:rsidRPr="00EC2BFD">
        <w:rPr>
          <w:rFonts w:ascii="Times New Roman" w:eastAsia="Arial" w:hAnsi="Times New Roman" w:cs="Times New Roman"/>
          <w:b/>
          <w:bCs/>
          <w:i/>
          <w:iCs/>
          <w:sz w:val="24"/>
          <w:szCs w:val="24"/>
          <w:lang w:val="en-GB"/>
        </w:rPr>
        <w:t xml:space="preserve">Table </w:t>
      </w:r>
      <w:r>
        <w:rPr>
          <w:rFonts w:ascii="Times New Roman" w:eastAsia="Arial" w:hAnsi="Times New Roman" w:cs="Times New Roman"/>
          <w:b/>
          <w:bCs/>
          <w:i/>
          <w:iCs/>
          <w:sz w:val="24"/>
          <w:szCs w:val="24"/>
          <w:lang w:val="en-GB"/>
        </w:rPr>
        <w:t>1</w:t>
      </w:r>
      <w:r w:rsidRPr="00EC2BFD">
        <w:rPr>
          <w:rFonts w:ascii="Times New Roman" w:eastAsia="Arial" w:hAnsi="Times New Roman" w:cs="Times New Roman"/>
          <w:b/>
          <w:bCs/>
          <w:i/>
          <w:iCs/>
          <w:sz w:val="24"/>
          <w:szCs w:val="24"/>
          <w:lang w:val="en-GB"/>
        </w:rPr>
        <w:t>: Extracted ZW themes and sub-themes</w:t>
      </w:r>
    </w:p>
    <w:p w14:paraId="5F88229B" w14:textId="77777777" w:rsidR="00A90674" w:rsidRPr="00EC2BFD" w:rsidRDefault="00A90674">
      <w:pPr>
        <w:spacing w:after="0" w:line="240" w:lineRule="auto"/>
        <w:rPr>
          <w:rFonts w:ascii="Times New Roman" w:eastAsia="Times New Roman" w:hAnsi="Times New Roman" w:cs="Times New Roman"/>
          <w:bCs/>
          <w:iCs/>
          <w:color w:val="000000"/>
          <w:sz w:val="24"/>
          <w:szCs w:val="24"/>
          <w:lang w:val="en-GB"/>
        </w:rPr>
      </w:pPr>
    </w:p>
    <w:p w14:paraId="04A47B57" w14:textId="77777777" w:rsidR="00A90674" w:rsidRDefault="00EC2BFD" w:rsidP="00AA0CFD">
      <w:pPr>
        <w:spacing w:after="0" w:line="240" w:lineRule="auto"/>
        <w:jc w:val="both"/>
        <w:rPr>
          <w:rFonts w:ascii="Times New Roman" w:hAnsi="Times New Roman" w:cs="Times New Roman"/>
          <w:sz w:val="24"/>
          <w:szCs w:val="24"/>
        </w:rPr>
      </w:pPr>
      <w:r w:rsidRPr="003037DF">
        <w:rPr>
          <w:rFonts w:ascii="Times New Roman" w:hAnsi="Times New Roman" w:cs="Times New Roman"/>
          <w:sz w:val="24"/>
          <w:szCs w:val="24"/>
        </w:rPr>
        <w:t xml:space="preserve">The themes and sub-themes suggest that ZW activities permeate a wide spectrum of </w:t>
      </w:r>
      <w:r>
        <w:rPr>
          <w:rFonts w:ascii="Times New Roman" w:hAnsi="Times New Roman" w:cs="Times New Roman"/>
          <w:sz w:val="24"/>
          <w:szCs w:val="24"/>
        </w:rPr>
        <w:t>members</w:t>
      </w:r>
      <w:r w:rsidRPr="003037DF">
        <w:rPr>
          <w:rFonts w:ascii="Times New Roman" w:hAnsi="Times New Roman" w:cs="Times New Roman"/>
          <w:sz w:val="24"/>
          <w:szCs w:val="24"/>
        </w:rPr>
        <w:t xml:space="preserve">’ lives. The </w:t>
      </w:r>
      <w:r>
        <w:rPr>
          <w:rFonts w:ascii="Times New Roman" w:hAnsi="Times New Roman" w:cs="Times New Roman"/>
          <w:sz w:val="24"/>
          <w:szCs w:val="24"/>
        </w:rPr>
        <w:t>comments</w:t>
      </w:r>
      <w:r w:rsidRPr="003037DF">
        <w:rPr>
          <w:rFonts w:ascii="Times New Roman" w:hAnsi="Times New Roman" w:cs="Times New Roman"/>
          <w:sz w:val="24"/>
          <w:szCs w:val="24"/>
        </w:rPr>
        <w:t xml:space="preserve"> indicate that the members understand that a ZW lifestyle does not hinge on any one single activity</w:t>
      </w:r>
      <w:r>
        <w:rPr>
          <w:rFonts w:ascii="Times New Roman" w:hAnsi="Times New Roman" w:cs="Times New Roman"/>
          <w:sz w:val="24"/>
          <w:szCs w:val="24"/>
        </w:rPr>
        <w:t>: it is</w:t>
      </w:r>
      <w:r w:rsidRPr="003037DF">
        <w:rPr>
          <w:rFonts w:ascii="Times New Roman" w:hAnsi="Times New Roman" w:cs="Times New Roman"/>
          <w:sz w:val="24"/>
          <w:szCs w:val="24"/>
        </w:rPr>
        <w:t xml:space="preserve"> not enough to say you follow a ZW lifestyle if you do only one thing, e.g., use a stainless steel straw, </w:t>
      </w:r>
      <w:r>
        <w:rPr>
          <w:rFonts w:ascii="Times New Roman" w:hAnsi="Times New Roman" w:cs="Times New Roman"/>
          <w:sz w:val="24"/>
          <w:szCs w:val="24"/>
        </w:rPr>
        <w:t xml:space="preserve">but </w:t>
      </w:r>
      <w:r w:rsidRPr="003037DF">
        <w:rPr>
          <w:rFonts w:ascii="Times New Roman" w:hAnsi="Times New Roman" w:cs="Times New Roman"/>
          <w:sz w:val="24"/>
          <w:szCs w:val="24"/>
        </w:rPr>
        <w:t>pay little attention to the waste you generate in other aspects of your life. The fact that so many of the members discuss</w:t>
      </w:r>
      <w:r>
        <w:rPr>
          <w:rFonts w:ascii="Times New Roman" w:hAnsi="Times New Roman" w:cs="Times New Roman"/>
          <w:sz w:val="24"/>
          <w:szCs w:val="24"/>
        </w:rPr>
        <w:t>ed</w:t>
      </w:r>
      <w:r w:rsidRPr="003037DF">
        <w:rPr>
          <w:rFonts w:ascii="Times New Roman" w:hAnsi="Times New Roman" w:cs="Times New Roman"/>
          <w:sz w:val="24"/>
          <w:szCs w:val="24"/>
        </w:rPr>
        <w:t xml:space="preserve"> the </w:t>
      </w:r>
      <w:r>
        <w:rPr>
          <w:rFonts w:ascii="Times New Roman" w:hAnsi="Times New Roman" w:cs="Times New Roman"/>
          <w:sz w:val="24"/>
          <w:szCs w:val="24"/>
        </w:rPr>
        <w:t xml:space="preserve">various </w:t>
      </w:r>
      <w:r w:rsidRPr="003037DF">
        <w:rPr>
          <w:rFonts w:ascii="Times New Roman" w:hAnsi="Times New Roman" w:cs="Times New Roman"/>
          <w:sz w:val="24"/>
          <w:szCs w:val="24"/>
        </w:rPr>
        <w:t xml:space="preserve">ways in which they engage in ZW activities speaks to a level of commitment that far exceeds any trends or fads (e.g., the </w:t>
      </w:r>
      <w:r>
        <w:rPr>
          <w:rFonts w:ascii="Times New Roman" w:hAnsi="Times New Roman" w:cs="Times New Roman"/>
          <w:sz w:val="24"/>
          <w:szCs w:val="24"/>
        </w:rPr>
        <w:t xml:space="preserve">use of a </w:t>
      </w:r>
      <w:r w:rsidRPr="003037DF">
        <w:rPr>
          <w:rFonts w:ascii="Times New Roman" w:hAnsi="Times New Roman" w:cs="Times New Roman"/>
          <w:sz w:val="24"/>
          <w:szCs w:val="24"/>
        </w:rPr>
        <w:t>stainless-steel straw</w:t>
      </w:r>
      <w:r>
        <w:rPr>
          <w:rFonts w:ascii="Times New Roman" w:hAnsi="Times New Roman" w:cs="Times New Roman"/>
          <w:sz w:val="24"/>
          <w:szCs w:val="24"/>
        </w:rPr>
        <w:t>).</w:t>
      </w:r>
      <w:r w:rsidRPr="008E2C83">
        <w:t xml:space="preserve"> </w:t>
      </w:r>
      <w:r>
        <w:rPr>
          <w:rFonts w:ascii="Times New Roman" w:hAnsi="Times New Roman" w:cs="Times New Roman"/>
          <w:sz w:val="24"/>
          <w:szCs w:val="24"/>
        </w:rPr>
        <w:t xml:space="preserve">The comments from the 5 ZW Instagram communities suggest that the ZW lifestyle </w:t>
      </w:r>
      <w:r w:rsidRPr="008E2C83">
        <w:rPr>
          <w:rFonts w:ascii="Times New Roman" w:hAnsi="Times New Roman" w:cs="Times New Roman"/>
          <w:sz w:val="24"/>
          <w:szCs w:val="24"/>
        </w:rPr>
        <w:t>encompass</w:t>
      </w:r>
      <w:r>
        <w:rPr>
          <w:rFonts w:ascii="Times New Roman" w:hAnsi="Times New Roman" w:cs="Times New Roman"/>
          <w:sz w:val="24"/>
          <w:szCs w:val="24"/>
        </w:rPr>
        <w:t>es</w:t>
      </w:r>
      <w:r w:rsidRPr="008E2C83">
        <w:rPr>
          <w:rFonts w:ascii="Times New Roman" w:hAnsi="Times New Roman" w:cs="Times New Roman"/>
          <w:sz w:val="24"/>
          <w:szCs w:val="24"/>
        </w:rPr>
        <w:t xml:space="preserve"> people’s everyday practices</w:t>
      </w:r>
      <w:r>
        <w:rPr>
          <w:rFonts w:ascii="Times New Roman" w:hAnsi="Times New Roman" w:cs="Times New Roman"/>
          <w:sz w:val="24"/>
          <w:szCs w:val="24"/>
        </w:rPr>
        <w:t xml:space="preserve"> and </w:t>
      </w:r>
      <w:r w:rsidRPr="008E2C83">
        <w:rPr>
          <w:rFonts w:ascii="Times New Roman" w:hAnsi="Times New Roman" w:cs="Times New Roman"/>
          <w:sz w:val="24"/>
          <w:szCs w:val="24"/>
        </w:rPr>
        <w:t>consumption</w:t>
      </w:r>
      <w:r>
        <w:rPr>
          <w:rFonts w:ascii="Times New Roman" w:hAnsi="Times New Roman" w:cs="Times New Roman"/>
          <w:sz w:val="24"/>
          <w:szCs w:val="24"/>
        </w:rPr>
        <w:t xml:space="preserve">, which are </w:t>
      </w:r>
      <w:r>
        <w:rPr>
          <w:rFonts w:ascii="Times New Roman" w:hAnsi="Times New Roman" w:cs="Times New Roman"/>
          <w:sz w:val="24"/>
          <w:szCs w:val="24"/>
        </w:rPr>
        <w:lastRenderedPageBreak/>
        <w:t xml:space="preserve">important aspects of a lifestyle movement </w:t>
      </w:r>
      <w:r w:rsidRPr="008E2C83">
        <w:rPr>
          <w:rFonts w:ascii="Times New Roman" w:hAnsi="Times New Roman" w:cs="Times New Roman"/>
          <w:sz w:val="24"/>
          <w:szCs w:val="24"/>
        </w:rPr>
        <w:t>(Featherstone 1987)</w:t>
      </w:r>
      <w:r>
        <w:rPr>
          <w:rFonts w:ascii="Times New Roman" w:hAnsi="Times New Roman" w:cs="Times New Roman"/>
          <w:sz w:val="24"/>
          <w:szCs w:val="24"/>
        </w:rPr>
        <w:t>, and that members</w:t>
      </w:r>
      <w:r w:rsidRPr="00447676">
        <w:rPr>
          <w:rFonts w:ascii="Times New Roman" w:hAnsi="Times New Roman" w:cs="Times New Roman"/>
          <w:sz w:val="24"/>
          <w:szCs w:val="24"/>
        </w:rPr>
        <w:t xml:space="preserve"> engage in private and ongoing actions that interweave</w:t>
      </w:r>
      <w:r w:rsidRPr="00EC2BFD">
        <w:rPr>
          <w:rFonts w:ascii="Times New Roman" w:hAnsi="Times New Roman" w:cs="Times New Roman"/>
          <w:sz w:val="24"/>
          <w:szCs w:val="24"/>
        </w:rPr>
        <w:t xml:space="preserve"> </w:t>
      </w:r>
      <w:r w:rsidRPr="00447676">
        <w:rPr>
          <w:rFonts w:ascii="Times New Roman" w:hAnsi="Times New Roman" w:cs="Times New Roman"/>
          <w:sz w:val="24"/>
          <w:szCs w:val="24"/>
        </w:rPr>
        <w:t xml:space="preserve">into </w:t>
      </w:r>
      <w:r>
        <w:rPr>
          <w:rFonts w:ascii="Times New Roman" w:hAnsi="Times New Roman" w:cs="Times New Roman"/>
          <w:sz w:val="24"/>
          <w:szCs w:val="24"/>
        </w:rPr>
        <w:t xml:space="preserve">their </w:t>
      </w:r>
      <w:r w:rsidRPr="00447676">
        <w:rPr>
          <w:rFonts w:ascii="Times New Roman" w:hAnsi="Times New Roman" w:cs="Times New Roman"/>
          <w:sz w:val="24"/>
          <w:szCs w:val="24"/>
        </w:rPr>
        <w:t xml:space="preserve">daily </w:t>
      </w:r>
      <w:r>
        <w:rPr>
          <w:rFonts w:ascii="Times New Roman" w:hAnsi="Times New Roman" w:cs="Times New Roman"/>
          <w:sz w:val="24"/>
          <w:szCs w:val="24"/>
        </w:rPr>
        <w:t xml:space="preserve">lives, in keeping with Haenfler, Johnson, and Jones (2012). </w:t>
      </w:r>
    </w:p>
    <w:p w14:paraId="351C62B7" w14:textId="77777777" w:rsidR="00EC2BFD" w:rsidRDefault="00EC2BFD">
      <w:pPr>
        <w:spacing w:after="0" w:line="240" w:lineRule="auto"/>
        <w:rPr>
          <w:rFonts w:ascii="Times New Roman" w:hAnsi="Times New Roman" w:cs="Times New Roman"/>
          <w:sz w:val="24"/>
          <w:szCs w:val="24"/>
        </w:rPr>
      </w:pPr>
    </w:p>
    <w:p w14:paraId="1D03E378" w14:textId="77777777" w:rsidR="00A90674" w:rsidRDefault="00EC15CF">
      <w:pPr>
        <w:spacing w:after="0"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5.  Conclusion</w:t>
      </w:r>
    </w:p>
    <w:p w14:paraId="393A3608" w14:textId="77777777" w:rsidR="00AA0CFD" w:rsidRDefault="00EC15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presents the first step in examining the role of grassroots, ZW communities in the fight against climate change. </w:t>
      </w:r>
      <w:r w:rsidR="00AA0CFD" w:rsidRPr="00AA0CFD">
        <w:rPr>
          <w:rFonts w:ascii="Times New Roman" w:eastAsia="Times New Roman" w:hAnsi="Times New Roman" w:cs="Times New Roman"/>
          <w:sz w:val="24"/>
          <w:szCs w:val="24"/>
        </w:rPr>
        <w:t>The analysis of 2000 comments from 5 ZW Instagram communities revealed a taxonomy of activities, consisting of seven themes, or broad categories, of ZW activities, as well as a total of thirty-nine sub-themes, or more specific types of activities that members incorporate into their daily lives.</w:t>
      </w:r>
      <w:r w:rsidR="00AA0CFD" w:rsidRPr="00AA0CFD">
        <w:t xml:space="preserve"> </w:t>
      </w:r>
      <w:r w:rsidR="00AA0CFD" w:rsidRPr="00AA0CFD">
        <w:rPr>
          <w:rFonts w:ascii="Times New Roman" w:eastAsia="Times New Roman" w:hAnsi="Times New Roman" w:cs="Times New Roman"/>
          <w:sz w:val="24"/>
          <w:szCs w:val="24"/>
        </w:rPr>
        <w:t>Further examination of other components of the Lifestyle Movement Framework, namely, an understanding of how ZW practitioners identify themselves in relation to the ZW lifestyle, and how they perceive their ZW activities as efforts towards social change will be conducted.</w:t>
      </w:r>
    </w:p>
    <w:p w14:paraId="093796AB" w14:textId="77777777" w:rsidR="00A90674" w:rsidRDefault="00A90674">
      <w:pPr>
        <w:spacing w:after="0" w:line="240" w:lineRule="auto"/>
        <w:rPr>
          <w:rFonts w:ascii="Times New Roman" w:eastAsia="Times New Roman" w:hAnsi="Times New Roman" w:cs="Times New Roman"/>
          <w:b/>
          <w:sz w:val="24"/>
          <w:szCs w:val="24"/>
        </w:rPr>
      </w:pPr>
    </w:p>
    <w:p w14:paraId="349BD5B8" w14:textId="77777777" w:rsidR="00A90674" w:rsidRDefault="00EC15CF">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List:</w:t>
      </w:r>
    </w:p>
    <w:p w14:paraId="5962C524" w14:textId="77777777" w:rsidR="00A90674" w:rsidRDefault="00A90674">
      <w:pPr>
        <w:spacing w:after="0" w:line="240" w:lineRule="auto"/>
        <w:rPr>
          <w:rFonts w:ascii="Verdana" w:eastAsia="Verdana" w:hAnsi="Verdana" w:cs="Verdana"/>
          <w:color w:val="222222"/>
          <w:sz w:val="23"/>
          <w:szCs w:val="23"/>
        </w:rPr>
      </w:pPr>
    </w:p>
    <w:p w14:paraId="3D31D2FD"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Bennett, W. L., Segerberg, A. (2012). The logic of connective action: Digital media and the personalization of contentious politics. </w:t>
      </w:r>
      <w:r>
        <w:rPr>
          <w:rFonts w:ascii="Times New Roman" w:eastAsia="Times New Roman" w:hAnsi="Times New Roman" w:cs="Times New Roman"/>
          <w:i/>
          <w:color w:val="000000"/>
          <w:sz w:val="24"/>
          <w:szCs w:val="24"/>
        </w:rPr>
        <w:t>Information, Communication &amp; Society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(2), 739–768.</w:t>
      </w:r>
    </w:p>
    <w:p w14:paraId="3B7816BE" w14:textId="77777777" w:rsidR="00A90674" w:rsidRDefault="00A90674">
      <w:pPr>
        <w:spacing w:after="0" w:line="240" w:lineRule="auto"/>
        <w:rPr>
          <w:rFonts w:ascii="Verdana" w:eastAsia="Verdana" w:hAnsi="Verdana" w:cs="Verdana"/>
          <w:color w:val="000000"/>
          <w:sz w:val="24"/>
          <w:szCs w:val="24"/>
        </w:rPr>
      </w:pPr>
    </w:p>
    <w:p w14:paraId="090D40E8"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Boyatzis, R. (1998). </w:t>
      </w:r>
      <w:r>
        <w:rPr>
          <w:rFonts w:ascii="Times New Roman" w:eastAsia="Times New Roman" w:hAnsi="Times New Roman" w:cs="Times New Roman"/>
          <w:i/>
          <w:color w:val="000000"/>
          <w:sz w:val="24"/>
          <w:szCs w:val="24"/>
        </w:rPr>
        <w:t>Transforming qualitative information: Thematic analysis and code development</w:t>
      </w:r>
      <w:r>
        <w:rPr>
          <w:rFonts w:ascii="Times New Roman" w:eastAsia="Times New Roman" w:hAnsi="Times New Roman" w:cs="Times New Roman"/>
          <w:color w:val="000000"/>
          <w:sz w:val="24"/>
          <w:szCs w:val="24"/>
        </w:rPr>
        <w:t>. Thousand Oaks, CA: Sage.</w:t>
      </w:r>
    </w:p>
    <w:p w14:paraId="5C7FBB81" w14:textId="77777777" w:rsidR="00A90674" w:rsidRDefault="00A90674">
      <w:pPr>
        <w:spacing w:after="0" w:line="240" w:lineRule="auto"/>
        <w:rPr>
          <w:rFonts w:ascii="Times New Roman" w:eastAsia="Times New Roman" w:hAnsi="Times New Roman" w:cs="Times New Roman"/>
          <w:color w:val="000000"/>
          <w:sz w:val="24"/>
          <w:szCs w:val="24"/>
        </w:rPr>
      </w:pPr>
    </w:p>
    <w:p w14:paraId="2B4918AF"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Braun, V., &amp; Clarke, V. (2019). Thematic analysis. In P. Liamputtong (Eds), Handbook of research methods in health social sciences (pp. 843-860). Hoboken, New Jersey: Springer.</w:t>
      </w:r>
    </w:p>
    <w:p w14:paraId="2E44BCBB" w14:textId="77777777" w:rsidR="00A90674" w:rsidRDefault="00A90674">
      <w:pPr>
        <w:spacing w:after="0" w:line="240" w:lineRule="auto"/>
        <w:rPr>
          <w:rFonts w:ascii="Times New Roman" w:eastAsia="Times New Roman" w:hAnsi="Times New Roman" w:cs="Times New Roman"/>
          <w:color w:val="000000"/>
          <w:sz w:val="24"/>
          <w:szCs w:val="24"/>
        </w:rPr>
      </w:pPr>
    </w:p>
    <w:p w14:paraId="1E090C88"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Featherstone, M. (1987). Lifestyle and consumer culture. </w:t>
      </w:r>
      <w:r>
        <w:rPr>
          <w:rFonts w:ascii="Times New Roman" w:eastAsia="Times New Roman" w:hAnsi="Times New Roman" w:cs="Times New Roman"/>
          <w:i/>
          <w:color w:val="000000"/>
          <w:sz w:val="24"/>
          <w:szCs w:val="24"/>
        </w:rPr>
        <w:t>Theory, Culture &amp; Society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w:t>
      </w:r>
      <w:r>
        <w:rPr>
          <w:rFonts w:ascii="Times New Roman" w:eastAsia="Times New Roman" w:hAnsi="Times New Roman" w:cs="Times New Roman"/>
          <w:color w:val="000000"/>
          <w:sz w:val="24"/>
          <w:szCs w:val="24"/>
        </w:rPr>
        <w:t>, 55–70.</w:t>
      </w:r>
    </w:p>
    <w:p w14:paraId="5C327287" w14:textId="77777777" w:rsidR="00A90674" w:rsidRDefault="00A90674">
      <w:pPr>
        <w:spacing w:after="0" w:line="240" w:lineRule="auto"/>
        <w:rPr>
          <w:rFonts w:ascii="Times New Roman" w:eastAsia="Times New Roman" w:hAnsi="Times New Roman" w:cs="Times New Roman"/>
          <w:color w:val="000000"/>
          <w:sz w:val="24"/>
          <w:szCs w:val="24"/>
        </w:rPr>
      </w:pPr>
    </w:p>
    <w:p w14:paraId="16609CEE"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Haenfler, R., Johnson, B., &amp; Jones, E. (2012). Lifestyle movements: Exploring the intersection of lifestyle and social movements. </w:t>
      </w:r>
      <w:r>
        <w:rPr>
          <w:rFonts w:ascii="Times New Roman" w:eastAsia="Times New Roman" w:hAnsi="Times New Roman" w:cs="Times New Roman"/>
          <w:i/>
          <w:color w:val="000000"/>
          <w:sz w:val="24"/>
          <w:szCs w:val="24"/>
        </w:rPr>
        <w:t>Social Movement Studies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(1), 1–20.</w:t>
      </w:r>
    </w:p>
    <w:p w14:paraId="137121EB" w14:textId="77777777" w:rsidR="00A90674" w:rsidRDefault="00A90674">
      <w:pPr>
        <w:spacing w:after="0" w:line="240" w:lineRule="auto"/>
        <w:rPr>
          <w:rFonts w:ascii="Times New Roman" w:eastAsia="Times New Roman" w:hAnsi="Times New Roman" w:cs="Times New Roman"/>
          <w:color w:val="000000"/>
          <w:sz w:val="24"/>
          <w:szCs w:val="24"/>
        </w:rPr>
      </w:pPr>
    </w:p>
    <w:p w14:paraId="762EE479"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McAdam, D., &amp; Snow, D. A. (1997). </w:t>
      </w:r>
      <w:r>
        <w:rPr>
          <w:rFonts w:ascii="Times New Roman" w:eastAsia="Times New Roman" w:hAnsi="Times New Roman" w:cs="Times New Roman"/>
          <w:i/>
          <w:color w:val="000000"/>
          <w:sz w:val="24"/>
          <w:szCs w:val="24"/>
        </w:rPr>
        <w:t>Social movements: Readings on their emergence, mobilization, and dynamics</w:t>
      </w:r>
      <w:r>
        <w:rPr>
          <w:rFonts w:ascii="Times New Roman" w:eastAsia="Times New Roman" w:hAnsi="Times New Roman" w:cs="Times New Roman"/>
          <w:color w:val="000000"/>
          <w:sz w:val="24"/>
          <w:szCs w:val="24"/>
        </w:rPr>
        <w:t>. Los Angeles: Roxbury.</w:t>
      </w:r>
    </w:p>
    <w:p w14:paraId="7FFFE752" w14:textId="77777777" w:rsidR="00A90674" w:rsidRDefault="00A90674">
      <w:pPr>
        <w:spacing w:after="0" w:line="240" w:lineRule="auto"/>
        <w:rPr>
          <w:rFonts w:ascii="Times New Roman" w:eastAsia="Times New Roman" w:hAnsi="Times New Roman" w:cs="Times New Roman"/>
          <w:color w:val="000000"/>
          <w:sz w:val="24"/>
          <w:szCs w:val="24"/>
        </w:rPr>
      </w:pPr>
    </w:p>
    <w:p w14:paraId="175A2E40" w14:textId="77777777" w:rsidR="00A90674" w:rsidRDefault="00EC15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Nekmat, E., Gower, K. K., Gonzenbach, W. J., &amp; Flanagin, A. J. (2015). Source effects in the micro-mobilization of collective action via social media. </w:t>
      </w:r>
      <w:r>
        <w:rPr>
          <w:rFonts w:ascii="Times New Roman" w:eastAsia="Times New Roman" w:hAnsi="Times New Roman" w:cs="Times New Roman"/>
          <w:i/>
          <w:color w:val="000000"/>
          <w:sz w:val="24"/>
          <w:szCs w:val="24"/>
        </w:rPr>
        <w:t>Information, Communication &amp; Society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(9), 1076–1091</w:t>
      </w:r>
    </w:p>
    <w:p w14:paraId="79AD11A8" w14:textId="77777777" w:rsidR="00A90674" w:rsidRDefault="00A90674">
      <w:pPr>
        <w:spacing w:after="0" w:line="240" w:lineRule="auto"/>
        <w:rPr>
          <w:rFonts w:ascii="Times New Roman" w:eastAsia="Times New Roman" w:hAnsi="Times New Roman" w:cs="Times New Roman"/>
          <w:color w:val="000000"/>
          <w:sz w:val="24"/>
          <w:szCs w:val="24"/>
        </w:rPr>
      </w:pPr>
    </w:p>
    <w:p w14:paraId="7F8B5403" w14:textId="77777777" w:rsidR="00A90674" w:rsidRDefault="00EC15CF">
      <w:pPr>
        <w:spacing w:after="0" w:line="240" w:lineRule="auto"/>
        <w:rPr>
          <w:rFonts w:ascii="Times New Roman" w:eastAsia="Times New Roman" w:hAnsi="Times New Roman" w:cs="Times New Roman"/>
          <w:color w:val="222222"/>
          <w:sz w:val="23"/>
          <w:szCs w:val="23"/>
        </w:rPr>
      </w:pPr>
      <w:r>
        <w:rPr>
          <w:rFonts w:ascii="Times New Roman" w:eastAsia="Times New Roman" w:hAnsi="Times New Roman" w:cs="Times New Roman"/>
          <w:color w:val="000000"/>
          <w:sz w:val="24"/>
          <w:szCs w:val="24"/>
        </w:rPr>
        <w:t xml:space="preserve">Snow, D. A. (2004). Social movements as challenges to authority: Resistance to an emerging conceptual hegemony. In D. J. Myers &amp; D. M. Cress (Eds.), </w:t>
      </w:r>
      <w:r>
        <w:rPr>
          <w:rFonts w:ascii="Times New Roman" w:eastAsia="Times New Roman" w:hAnsi="Times New Roman" w:cs="Times New Roman"/>
          <w:i/>
          <w:color w:val="000000"/>
          <w:sz w:val="24"/>
          <w:szCs w:val="24"/>
        </w:rPr>
        <w:t>Authority in contention. Research in social movements, conflicts and change.</w:t>
      </w:r>
      <w:r>
        <w:rPr>
          <w:rFonts w:ascii="Times New Roman" w:eastAsia="Times New Roman" w:hAnsi="Times New Roman" w:cs="Times New Roman"/>
          <w:color w:val="000000"/>
          <w:sz w:val="24"/>
          <w:szCs w:val="24"/>
        </w:rPr>
        <w:t xml:space="preserve"> (pp. 3–25). Emerald G</w:t>
      </w:r>
      <w:r>
        <w:rPr>
          <w:rFonts w:ascii="Times New Roman" w:eastAsia="Times New Roman" w:hAnsi="Times New Roman" w:cs="Times New Roman"/>
          <w:color w:val="222222"/>
          <w:sz w:val="24"/>
          <w:szCs w:val="24"/>
        </w:rPr>
        <w:t xml:space="preserve">roup Publishing </w:t>
      </w:r>
      <w:r>
        <w:rPr>
          <w:rFonts w:ascii="Times New Roman" w:eastAsia="Times New Roman" w:hAnsi="Times New Roman" w:cs="Times New Roman"/>
          <w:color w:val="222222"/>
          <w:sz w:val="23"/>
          <w:szCs w:val="23"/>
        </w:rPr>
        <w:t>Limited.</w:t>
      </w:r>
    </w:p>
    <w:p w14:paraId="1F22EC35" w14:textId="77777777" w:rsidR="00A90674" w:rsidRDefault="00A90674">
      <w:pPr>
        <w:spacing w:after="0" w:line="240" w:lineRule="auto"/>
        <w:rPr>
          <w:rFonts w:ascii="Times New Roman" w:eastAsia="Times New Roman" w:hAnsi="Times New Roman" w:cs="Times New Roman"/>
          <w:color w:val="222222"/>
          <w:sz w:val="23"/>
          <w:szCs w:val="23"/>
        </w:rPr>
      </w:pPr>
    </w:p>
    <w:p w14:paraId="19CC5D23" w14:textId="77777777" w:rsidR="00A90674" w:rsidRDefault="00EC15CF">
      <w:pP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World Bank. (2018). What a waste 2.0: A global snapshot of solid waste management to 2050. Retrieved from </w:t>
      </w:r>
      <w:hyperlink r:id="rId7">
        <w:r>
          <w:rPr>
            <w:rFonts w:ascii="Times New Roman" w:eastAsia="Times New Roman" w:hAnsi="Times New Roman" w:cs="Times New Roman"/>
            <w:color w:val="000000"/>
            <w:sz w:val="24"/>
            <w:szCs w:val="24"/>
            <w:u w:val="single"/>
          </w:rPr>
          <w:t>https://openknowledge.worldbank.org/handle/10986/30317</w:t>
        </w:r>
      </w:hyperlink>
    </w:p>
    <w:p w14:paraId="501DBDD0" w14:textId="77777777" w:rsidR="00A90674" w:rsidRDefault="00EC15CF">
      <w:r>
        <w:rPr>
          <w:rFonts w:ascii="Times New Roman" w:eastAsia="Times New Roman" w:hAnsi="Times New Roman" w:cs="Times New Roman"/>
          <w:sz w:val="24"/>
          <w:szCs w:val="24"/>
        </w:rPr>
        <w:t>Zero Waste International Alliance. (n.d.). Zero waste hierarchy of highest and best use 7.0. Retrieved from http://zwia.org/zwh/</w:t>
      </w:r>
    </w:p>
    <w:p w14:paraId="2007B3F3" w14:textId="77777777" w:rsidR="00A90674" w:rsidRDefault="00EC15CF">
      <w:pPr>
        <w:rPr>
          <w:rFonts w:ascii="Times New Roman" w:eastAsia="Times New Roman" w:hAnsi="Times New Roman" w:cs="Times New Roman"/>
          <w:color w:val="000000"/>
        </w:rPr>
      </w:pPr>
      <w:r>
        <w:lastRenderedPageBreak/>
        <w:br/>
      </w:r>
    </w:p>
    <w:p w14:paraId="628F2D85" w14:textId="77777777" w:rsidR="00A90674" w:rsidRDefault="00A90674">
      <w:pPr>
        <w:spacing w:after="0" w:line="240" w:lineRule="auto"/>
        <w:rPr>
          <w:rFonts w:ascii="Times New Roman" w:eastAsia="Times New Roman" w:hAnsi="Times New Roman" w:cs="Times New Roman"/>
          <w:color w:val="000000"/>
          <w:sz w:val="23"/>
          <w:szCs w:val="23"/>
        </w:rPr>
      </w:pPr>
    </w:p>
    <w:sectPr w:rsidR="00A906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55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90A5" w14:textId="77777777" w:rsidR="00435B59" w:rsidRDefault="00435B59">
      <w:pPr>
        <w:spacing w:after="0" w:line="240" w:lineRule="auto"/>
      </w:pPr>
      <w:r>
        <w:separator/>
      </w:r>
    </w:p>
  </w:endnote>
  <w:endnote w:type="continuationSeparator" w:id="0">
    <w:p w14:paraId="22392B7E" w14:textId="77777777" w:rsidR="00435B59" w:rsidRDefault="0043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8AE4F" w14:textId="77777777" w:rsidR="00A90674" w:rsidRDefault="00A9067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F3001" w14:textId="77777777" w:rsidR="00A90674" w:rsidRDefault="00A9067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7495B" w14:textId="77777777" w:rsidR="00A90674" w:rsidRDefault="00A906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74A47" w14:textId="77777777" w:rsidR="00435B59" w:rsidRDefault="00435B59">
      <w:pPr>
        <w:spacing w:after="0" w:line="240" w:lineRule="auto"/>
      </w:pPr>
      <w:r>
        <w:separator/>
      </w:r>
    </w:p>
  </w:footnote>
  <w:footnote w:type="continuationSeparator" w:id="0">
    <w:p w14:paraId="02854159" w14:textId="77777777" w:rsidR="00435B59" w:rsidRDefault="00435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19E9E" w14:textId="77777777" w:rsidR="00A90674" w:rsidRDefault="00A906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7244" w14:textId="77777777" w:rsidR="00A90674" w:rsidRDefault="00A9067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938DA" w14:textId="77777777" w:rsidR="00A90674" w:rsidRDefault="00A906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E1E"/>
    <w:multiLevelType w:val="multilevel"/>
    <w:tmpl w:val="E0C21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474357"/>
    <w:multiLevelType w:val="multilevel"/>
    <w:tmpl w:val="2636649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7827F8"/>
    <w:multiLevelType w:val="multilevel"/>
    <w:tmpl w:val="3E28D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72D47AC"/>
    <w:multiLevelType w:val="multilevel"/>
    <w:tmpl w:val="9BEE6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GwtDCxNDM1MjYxNjNT0lEKTi0uzszPAykwrAUAqbGg+CwAAAA="/>
  </w:docVars>
  <w:rsids>
    <w:rsidRoot w:val="00A90674"/>
    <w:rsid w:val="003048E5"/>
    <w:rsid w:val="00435B59"/>
    <w:rsid w:val="009107ED"/>
    <w:rsid w:val="00960870"/>
    <w:rsid w:val="009B10B8"/>
    <w:rsid w:val="00A90674"/>
    <w:rsid w:val="00AA0CFD"/>
    <w:rsid w:val="00EC15CF"/>
    <w:rsid w:val="00EC2B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41FA"/>
  <w15:docId w15:val="{DC98F0F5-9916-475B-AC88-D82E1A12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EC2BFD"/>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penknowledge.worldbank.org/handle/10986/3031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Spiteri</dc:creator>
  <cp:lastModifiedBy>Philippe Mongeon</cp:lastModifiedBy>
  <cp:revision>4</cp:revision>
  <dcterms:created xsi:type="dcterms:W3CDTF">2020-07-28T10:07:00Z</dcterms:created>
  <dcterms:modified xsi:type="dcterms:W3CDTF">2020-09-18T10:32:00Z</dcterms:modified>
</cp:coreProperties>
</file>