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b/>
          <w:color w:val="1A3A5C"/>
          <w:sz w:val="84"/>
        </w:rPr>
        <w:t>WOUFFY</w:t>
      </w:r>
    </w:p>
    <w:p>
      <w:pPr>
        <w:jc w:val="center"/>
      </w:pPr>
      <w:r>
        <w:rPr>
          <w:rFonts w:ascii="Arial" w:hAnsi="Arial"/>
          <w:color w:val="2E86AB"/>
          <w:sz w:val="32"/>
        </w:rPr>
        <w:t>Análisis Estratégico de Mercado e Inversión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Pre-Seed Edition  ·  Abril 2026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i/>
          <w:color w:val="555555"/>
          <w:sz w:val="24"/>
        </w:rPr>
        <w:t>"La infraestructura digital para el cuidado de mascotas en LATAM"</w:t>
      </w:r>
    </w:p>
    <w:p>
      <w:r>
        <w:br w:type="page"/>
      </w:r>
    </w:p>
    <w:p>
      <w:pPr>
        <w:spacing w:before="480" w:after="160"/>
        <w:pBdr>
          <w:bottom w:val="single" w:sz="12" w:space="6" w:color="2E86AB"/>
        </w:pBdr>
      </w:pPr>
      <w:r>
        <w:rPr>
          <w:rFonts w:ascii="Arial" w:hAnsi="Arial"/>
          <w:b/>
          <w:color w:val="1A3A5C"/>
          <w:sz w:val="40"/>
        </w:rPr>
        <w:t>1. Análisis de Mercado y Tamaño</w:t>
      </w: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Mercado global de cuidado de mascotas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El mercado global de pet care superó los USD 280.000 millones en 2024 y proyecta un CAGR del 5–7% anual hacia 2030. La tendencia de "humanización" de las mascotas —tratar al perro o gato como un miembro más de la familia— es la fuerza estructural detrás de este crecimiento: mayor gasto en salud, bienestar y servicios, no sólo en alimento.</w:t>
      </w: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LATAM: el mercado más dinámico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América Latina es la región de mayor crecimiento relativo dentro del sector. El mercado regional alcanzó USD 11.380 millones en 2024 y se proyecta en USD 18.880 millones hacia 2033, con un CAGR del 5,79%.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835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2835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Fuente / Año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Mercado pet care LATAM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11.380M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IMARC Group, 2024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Proyección LATAM 2033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18.880M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IMARC Group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CAGR LATAM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5,79% anual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2024–2033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Mercado pet care Argentina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~500M (2025 est.)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Vyansa Intelligence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CAGR Argentina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14,1% anual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2025–2030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Proyección Argentina 2030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1.310M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Vyansa Intelligence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Mercado dog walking apps (global)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600M–1.200M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Verified Market Reports, 2024</w:t>
            </w:r>
          </w:p>
        </w:tc>
      </w:tr>
      <w:tr>
        <w:tc>
          <w:tcPr>
            <w:tcW w:type="dxa" w:w="3685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Proyección dog walking apps 2033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1.200M–3.000M</w:t>
            </w:r>
          </w:p>
        </w:tc>
        <w:tc>
          <w:tcPr>
            <w:tcW w:type="dxa" w:w="283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55555"/>
                <w:sz w:val="19"/>
              </w:rPr>
              <w:t>CAGR 8,2–10,5%</w:t>
            </w:r>
          </w:p>
        </w:tc>
      </w:tr>
    </w:tbl>
    <w:p>
      <w:pPr>
        <w:spacing w:before="40" w:after="40"/>
      </w:pP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Argentina: el punto de partida lógico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Argentina concentra condiciones únicas para un lanzamiento inicial: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El 80% de los hogares urbanos tiene al menos una mascota (perros lideran con el 74%).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El gasto en servicios —paseos, guardería, veterinaria, grooming— crece al doble que el gasto en alimento.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El mercado de servicios está casi completamente informalizado: grupos de WhatsApp, recomendaciones de boca en boca, cobro en efectivo sin registro.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Buenos Aires concentra la mayor densidad de mascotas y el mayor poder adquisitivo del país. Palermo, Recoleta, Belgrano y Caballito son los núcleos naturales de arranque.</w:t>
      </w:r>
    </w:p>
    <w:p>
      <w:pPr>
        <w:spacing w:before="40" w:after="40"/>
      </w:pPr>
    </w:p>
    <w:p>
      <w:pPr>
        <w:spacing w:before="80" w:after="120"/>
        <w:ind w:left="454"/>
      </w:pPr>
      <w:r>
        <w:rPr>
          <w:rFonts w:ascii="Arial" w:hAnsi="Arial"/>
          <w:b/>
          <w:color w:val="2E86AB"/>
          <w:sz w:val="20"/>
        </w:rPr>
        <w:t xml:space="preserve">→  </w:t>
      </w:r>
      <w:r>
        <w:rPr>
          <w:rFonts w:ascii="Arial" w:hAnsi="Arial"/>
          <w:i/>
          <w:color w:val="555555"/>
          <w:sz w:val="20"/>
        </w:rPr>
        <w:t>Wouffy no entra a competir en un mercado maduro. Entra a formalizar uno que todavía no tiene dueño digital.</w:t>
      </w:r>
    </w:p>
    <w:p>
      <w:r>
        <w:br w:type="page"/>
      </w:r>
    </w:p>
    <w:p>
      <w:pPr>
        <w:spacing w:before="480" w:after="160"/>
        <w:pBdr>
          <w:bottom w:val="single" w:sz="12" w:space="6" w:color="2E86AB"/>
        </w:pBdr>
      </w:pPr>
      <w:r>
        <w:rPr>
          <w:rFonts w:ascii="Arial" w:hAnsi="Arial"/>
          <w:b/>
          <w:color w:val="1A3A5C"/>
          <w:sz w:val="40"/>
        </w:rPr>
        <w:t>2. Escalabilidad y Monetización</w:t>
      </w: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Modelo de ingresos actual (Fase 1)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La fuente primaria de revenue es la comisión por paseo completado: entre el 15% y el 25% del valor de la transacción. A un precio promedio estimado de USD 5–8 por paseo en Argentina, el ticket neto para la plataforma ronda los USD 1–2 por operación.</w:t>
      </w:r>
    </w:p>
    <w:p>
      <w:pPr>
        <w:spacing w:before="80" w:after="120"/>
        <w:ind w:left="454"/>
      </w:pPr>
      <w:r>
        <w:rPr>
          <w:rFonts w:ascii="Arial" w:hAnsi="Arial"/>
          <w:b/>
          <w:color w:val="2E86AB"/>
          <w:sz w:val="20"/>
        </w:rPr>
        <w:t xml:space="preserve">→  </w:t>
      </w:r>
      <w:r>
        <w:rPr>
          <w:rFonts w:ascii="Arial" w:hAnsi="Arial"/>
          <w:i/>
          <w:color w:val="555555"/>
          <w:sz w:val="20"/>
        </w:rPr>
        <w:t>El riesgo de desintermediación —dueño y paseador arreglando por fuera de la app— es el riesgo existencial #1 del modelo. La solución no es técnica: es construir suficiente valor dentro de la plataforma para que irse cueste más que quedarse.</w:t>
      </w:r>
    </w:p>
    <w:p>
      <w:pPr>
        <w:spacing w:before="40" w:after="40"/>
      </w:pP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Revenue streams adicionales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Stream</w:t>
            </w:r>
          </w:p>
        </w:tc>
        <w:tc>
          <w:tcPr>
            <w:tcW w:type="dxa" w:w="3685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Mecánica</w:t>
            </w:r>
          </w:p>
        </w:tc>
        <w:tc>
          <w:tcPr>
            <w:tcW w:type="dxa" w:w="3402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qué retiene al usuario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Comisión (core)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15–25% por paseo completado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Facilidad de pago &gt; bypass por WhatsApp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Perfil de salud de la mascota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Historial de vacunas, alergias, notas clínicas centralizadas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El dueño no abandona si ahí vive la info de su perro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Suscripción walker (SaaS)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Herramientas de agenda, facturación, visibilidad destacada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El walker construye reputación que no puede exportar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Micro-seguro por paseo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USD 0,50–1 por paseo; riesgo transferido a aseguradora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Resuelve el miedo del dueño; margen limpio a escala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Lead gen veterinarias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Alerta "le toca la vacuna" → turno directo desde la app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Captura el gasto de salud, no sólo el de paseo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Care Pass (suscripción dueño)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Paseos incluidos + descuentos + tele-vet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Elimina incentivo de bypass: ya pagó la membresía</w:t>
            </w:r>
          </w:p>
        </w:tc>
      </w:tr>
      <w:tr>
        <w:tc>
          <w:tcPr>
            <w:tcW w:type="dxa" w:w="2268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Publicidad hiper-local</w:t>
            </w:r>
          </w:p>
        </w:tc>
        <w:tc>
          <w:tcPr>
            <w:tcW w:type="dxa" w:w="3685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Cupones geolocalizados durante el paseo (pet shops, vets)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Monetiza la data de movimiento sin friccionar al usuario</w:t>
            </w:r>
          </w:p>
        </w:tc>
      </w:tr>
    </w:tbl>
    <w:p>
      <w:pPr>
        <w:spacing w:before="40" w:after="40"/>
      </w:pP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Estrategia de escala: el modelo de mancha de aceite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Wouffy no escala abriendo países. Escala primero ganando densidad barrio a barrio dentro de una ciudad, y recién después expandiendo. Sin densidad, el matching falla y el producto se percibe como poco confiable.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68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Mercado</w:t>
            </w:r>
          </w:p>
        </w:tc>
        <w:tc>
          <w:tcPr>
            <w:tcW w:type="dxa" w:w="5669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1417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Fase 1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Buenos Aires (2–3 barrios)</w:t>
            </w:r>
          </w:p>
        </w:tc>
        <w:tc>
          <w:tcPr>
            <w:tcW w:type="dxa" w:w="5669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Validar unit economics: CAC &lt; LTV en 3 meses. Primeras 200 transacciones reales pagadas.</w:t>
            </w:r>
          </w:p>
        </w:tc>
      </w:tr>
      <w:tr>
        <w:tc>
          <w:tcPr>
            <w:tcW w:type="dxa" w:w="1417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Fase 2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CABA + GBA</w:t>
            </w:r>
          </w:p>
        </w:tc>
        <w:tc>
          <w:tcPr>
            <w:tcW w:type="dxa" w:w="5669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Expansión de servicios: guardería, grooming, traslados. Seed del perfil de salud de mascotas.</w:t>
            </w:r>
          </w:p>
        </w:tc>
      </w:tr>
      <w:tr>
        <w:tc>
          <w:tcPr>
            <w:tcW w:type="dxa" w:w="1417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Fase 3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CDMX / Santiago / Bogotá</w:t>
            </w:r>
          </w:p>
        </w:tc>
        <w:tc>
          <w:tcPr>
            <w:tcW w:type="dxa" w:w="5669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Prueba de replicabilidad fuera de Argentina. Primer input para inversores regionales.</w:t>
            </w:r>
          </w:p>
        </w:tc>
      </w:tr>
      <w:tr>
        <w:tc>
          <w:tcPr>
            <w:tcW w:type="dxa" w:w="1417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Fase 4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España / Miami / LATAM</w:t>
            </w:r>
          </w:p>
        </w:tc>
        <w:tc>
          <w:tcPr>
            <w:tcW w:type="dxa" w:w="5669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Escala global apoyada en brand y ecosistema de data. Conversación de exit o Series A.</w:t>
            </w:r>
          </w:p>
        </w:tc>
      </w:tr>
    </w:tbl>
    <w:p>
      <w:pPr>
        <w:spacing w:before="40" w:after="40"/>
      </w:pPr>
    </w:p>
    <w:p>
      <w:pPr>
        <w:spacing w:before="80" w:after="120"/>
        <w:ind w:left="454"/>
      </w:pPr>
      <w:r>
        <w:rPr>
          <w:rFonts w:ascii="Arial" w:hAnsi="Arial"/>
          <w:b/>
          <w:color w:val="2E86AB"/>
          <w:sz w:val="20"/>
        </w:rPr>
        <w:t xml:space="preserve">→  </w:t>
      </w:r>
      <w:r>
        <w:rPr>
          <w:rFonts w:ascii="Arial" w:hAnsi="Arial"/>
          <w:i/>
          <w:color w:val="555555"/>
          <w:sz w:val="20"/>
        </w:rPr>
        <w:t>El diferencial técnico de Wouffy —GPS con resumen de ruta, historial de paseos— crea el activo de datos que, a escala, vale más que la comisión. El paseo es la puerta de entrada; la data es el negocio.</w:t>
      </w:r>
    </w:p>
    <w:p>
      <w:r>
        <w:br w:type="page"/>
      </w:r>
    </w:p>
    <w:p>
      <w:pPr>
        <w:spacing w:before="480" w:after="160"/>
        <w:pBdr>
          <w:bottom w:val="single" w:sz="12" w:space="6" w:color="2E86AB"/>
        </w:pBdr>
      </w:pPr>
      <w:r>
        <w:rPr>
          <w:rFonts w:ascii="Arial" w:hAnsi="Arial"/>
          <w:b/>
          <w:color w:val="1A3A5C"/>
          <w:sz w:val="40"/>
        </w:rPr>
        <w:t>3. Pros y Contras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77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✅  PROS</w:t>
            </w:r>
          </w:p>
        </w:tc>
        <w:tc>
          <w:tcPr>
            <w:tcW w:type="dxa" w:w="4677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⚠️  CONTRAS / RIESGOS</w:t>
            </w:r>
          </w:p>
        </w:tc>
      </w:tr>
      <w:tr>
        <w:tc>
          <w:tcPr>
            <w:tcW w:type="dxa" w:w="4677"/>
            <w:shd w:val="clear" w:color="auto" w:fill="D5F5E3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Alta recurrencia natural</w:t>
            </w:r>
          </w:p>
          <w:p>
            <w:r>
              <w:rPr>
                <w:rFonts w:ascii="Arial" w:hAnsi="Arial"/>
                <w:color w:val="555555"/>
                <w:sz w:val="19"/>
              </w:rPr>
              <w:t>Un perro se pasea todos los días. La frecuencia de uso es estructuralmente alta sin necesidad de paid acquisition constante.</w:t>
            </w:r>
          </w:p>
        </w:tc>
        <w:tc>
          <w:tcPr>
            <w:tcW w:type="dxa" w:w="4677"/>
            <w:shd w:val="clear" w:color="auto" w:fill="FADBD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Desintermediación (riesgo #1)</w:t>
            </w:r>
          </w:p>
          <w:p>
            <w:r>
              <w:rPr>
                <w:rFonts w:ascii="Arial" w:hAnsi="Arial"/>
                <w:color w:val="555555"/>
                <w:sz w:val="19"/>
              </w:rPr>
              <w:t>Una vez que el dueño confía en el paseador, ambos tienen incentivo para arreglar por fuera. Sin valor adicional en la app, el modelo muere.</w:t>
            </w:r>
          </w:p>
        </w:tc>
      </w:tr>
      <w:tr>
        <w:tc>
          <w:tcPr>
            <w:tcW w:type="dxa" w:w="4677"/>
            <w:shd w:val="clear" w:color="auto" w:fill="D5F5E3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Mercado informalizado = oportunidad</w:t>
            </w:r>
          </w:p>
          <w:p>
            <w:r>
              <w:rPr>
                <w:rFonts w:ascii="Arial" w:hAnsi="Arial"/>
                <w:color w:val="555555"/>
                <w:sz w:val="19"/>
              </w:rPr>
              <w:t>No hay un player dominante en LATAM. Quien formaliza primero y construye confianza captura el mercado.</w:t>
            </w:r>
          </w:p>
        </w:tc>
        <w:tc>
          <w:tcPr>
            <w:tcW w:type="dxa" w:w="4677"/>
            <w:shd w:val="clear" w:color="auto" w:fill="FADBD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Responsabilidad legal y operacional</w:t>
            </w:r>
          </w:p>
          <w:p>
            <w:r>
              <w:rPr>
                <w:rFonts w:ascii="Arial" w:hAnsi="Arial"/>
                <w:color w:val="555555"/>
                <w:sz w:val="19"/>
              </w:rPr>
              <w:t>Un perro lastimado, perdido o mordido puede derivar en un juicio. Sin esquema legal claro y cobertura de seguro, ningún inversor serio pone capital.</w:t>
            </w:r>
          </w:p>
        </w:tc>
      </w:tr>
      <w:tr>
        <w:tc>
          <w:tcPr>
            <w:tcW w:type="dxa" w:w="4677"/>
            <w:shd w:val="clear" w:color="auto" w:fill="D5F5E3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MVP funcional ya construido</w:t>
            </w:r>
          </w:p>
          <w:p>
            <w:r>
              <w:rPr>
                <w:rFonts w:ascii="Arial" w:hAnsi="Arial"/>
                <w:color w:val="555555"/>
                <w:sz w:val="19"/>
              </w:rPr>
              <w:t>Flujo de paseos, GPS con resumen de ruta, perfiles y ratings. Ventaja de meses sobre cualquier competidor que arranque hoy.</w:t>
            </w:r>
          </w:p>
        </w:tc>
        <w:tc>
          <w:tcPr>
            <w:tcW w:type="dxa" w:w="4677"/>
            <w:shd w:val="clear" w:color="auto" w:fill="FADBD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Churn de paseadores</w:t>
            </w:r>
          </w:p>
          <w:p>
            <w:r>
              <w:rPr>
                <w:rFonts w:ascii="Arial" w:hAnsi="Arial"/>
                <w:color w:val="555555"/>
                <w:sz w:val="19"/>
              </w:rPr>
              <w:t>Los walkers son volátiles. Si no tienen suficiente demanda o si otra plataforma paga más, se van. El supply-side es tan crítico como la demanda.</w:t>
            </w:r>
          </w:p>
        </w:tc>
      </w:tr>
      <w:tr>
        <w:tc>
          <w:tcPr>
            <w:tcW w:type="dxa" w:w="4677"/>
            <w:shd w:val="clear" w:color="auto" w:fill="D5F5E3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Cross-selling natural</w:t>
            </w:r>
          </w:p>
          <w:p>
            <w:r>
              <w:rPr>
                <w:rFonts w:ascii="Arial" w:hAnsi="Arial"/>
                <w:color w:val="555555"/>
                <w:sz w:val="19"/>
              </w:rPr>
              <w:t>Del paseo a la vacuna, del grooming al alimento. Cada touchpoint es una oportunidad con contexto: la app sabe qué perro es y qué necesita.</w:t>
            </w:r>
          </w:p>
        </w:tc>
        <w:tc>
          <w:tcPr>
            <w:tcW w:type="dxa" w:w="4677"/>
            <w:shd w:val="clear" w:color="auto" w:fill="FADBD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C1C1E"/>
                <w:sz w:val="21"/>
              </w:rPr>
              <w:t>Contexto Argentina (para inv. extranjeros)</w:t>
            </w:r>
          </w:p>
          <w:p>
            <w:r>
              <w:rPr>
                <w:rFonts w:ascii="Arial" w:hAnsi="Arial"/>
                <w:color w:val="555555"/>
                <w:sz w:val="19"/>
              </w:rPr>
              <w:t>Brecha cambiaria, complejidad fiscal y volatilidad macro complican la presentación de unit economics en USD.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spacing w:before="480" w:after="160"/>
        <w:pBdr>
          <w:bottom w:val="single" w:sz="12" w:space="6" w:color="2E86AB"/>
        </w:pBdr>
      </w:pPr>
      <w:r>
        <w:rPr>
          <w:rFonts w:ascii="Arial" w:hAnsi="Arial"/>
          <w:b/>
          <w:color w:val="1A3A5C"/>
          <w:sz w:val="40"/>
        </w:rPr>
        <w:t>4. Competencia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El mercado de pet walking apps todavía no tiene un ganador regional en LATAM. Eso es la oportunidad. Estos son los actores que Wouffy necesita tener en el radar: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Competidor</w:t>
            </w:r>
          </w:p>
        </w:tc>
        <w:tc>
          <w:tcPr>
            <w:tcW w:type="dxa" w:w="1701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Mercado</w:t>
            </w:r>
          </w:p>
        </w:tc>
        <w:tc>
          <w:tcPr>
            <w:tcW w:type="dxa" w:w="1587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4252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Relevancia para Wouffy</w:t>
            </w:r>
          </w:p>
        </w:tc>
      </w:tr>
      <w:tr>
        <w:tc>
          <w:tcPr>
            <w:tcW w:type="dxa" w:w="1814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Rover</w:t>
            </w:r>
          </w:p>
        </w:tc>
        <w:tc>
          <w:tcPr>
            <w:tcW w:type="dxa" w:w="1701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EEUU / Europa</w:t>
            </w:r>
          </w:p>
        </w:tc>
        <w:tc>
          <w:tcPr>
            <w:tcW w:type="dxa" w:w="1587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Líder global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Adquirido por Blackstone en 2024 por ~USD 1.350M. No opera en LATAM. Es el blueprint del modelo y la prueba de que existe exit.</w:t>
            </w:r>
          </w:p>
        </w:tc>
      </w:tr>
      <w:tr>
        <w:tc>
          <w:tcPr>
            <w:tcW w:type="dxa" w:w="1814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Wag!</w:t>
            </w:r>
          </w:p>
        </w:tc>
        <w:tc>
          <w:tcPr>
            <w:tcW w:type="dxa" w:w="1701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EEUU</w:t>
            </w:r>
          </w:p>
        </w:tc>
        <w:tc>
          <w:tcPr>
            <w:tcW w:type="dxa" w:w="1587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En declive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Salida a bolsa vía SPAC con resultados pobres. Prueba de que escala rápida sin unit economics sólidos destruye valor.</w:t>
            </w:r>
          </w:p>
        </w:tc>
      </w:tr>
      <w:tr>
        <w:tc>
          <w:tcPr>
            <w:tcW w:type="dxa" w:w="1814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PetLove</w:t>
            </w:r>
          </w:p>
        </w:tc>
        <w:tc>
          <w:tcPr>
            <w:tcW w:type="dxa" w:w="1701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Brasil</w:t>
            </w:r>
          </w:p>
        </w:tc>
        <w:tc>
          <w:tcPr>
            <w:tcW w:type="dxa" w:w="1587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Dominante en BR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Levantó USD 237M (SoftBank + Riverwood). Adquirió Provet en 2024. Adquiriente más lógico para Wouffy en un exit.</w:t>
            </w:r>
          </w:p>
        </w:tc>
      </w:tr>
      <w:tr>
        <w:tc>
          <w:tcPr>
            <w:tcW w:type="dxa" w:w="1814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Mascotia</w:t>
            </w:r>
          </w:p>
        </w:tc>
        <w:tc>
          <w:tcPr>
            <w:tcW w:type="dxa" w:w="1701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Argentina</w:t>
            </w:r>
          </w:p>
        </w:tc>
        <w:tc>
          <w:tcPr>
            <w:tcW w:type="dxa" w:w="1587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Emergente local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Marketplace de servicios en Argentina, operación básica. Competidor directo de corto plazo pero sin funding ni producto comparable.</w:t>
            </w:r>
          </w:p>
        </w:tc>
      </w:tr>
      <w:tr>
        <w:tc>
          <w:tcPr>
            <w:tcW w:type="dxa" w:w="1814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Puppis</w:t>
            </w:r>
          </w:p>
        </w:tc>
        <w:tc>
          <w:tcPr>
            <w:tcW w:type="dxa" w:w="1701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Argentina</w:t>
            </w:r>
          </w:p>
        </w:tc>
        <w:tc>
          <w:tcPr>
            <w:tcW w:type="dxa" w:w="1587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555555"/>
                <w:sz w:val="20"/>
              </w:rPr>
              <w:t>Retail dominante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Cadena física con alta confianza de marca. Están digitalizando servicios. Potencial adquiriente estratégico local.</w:t>
            </w:r>
          </w:p>
        </w:tc>
      </w:tr>
      <w:tr>
        <w:tc>
          <w:tcPr>
            <w:tcW w:type="dxa" w:w="1814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WhatsApp / Informal</w:t>
            </w:r>
          </w:p>
        </w:tc>
        <w:tc>
          <w:tcPr>
            <w:tcW w:type="dxa" w:w="1701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LATAM</w:t>
            </w:r>
          </w:p>
        </w:tc>
        <w:tc>
          <w:tcPr>
            <w:tcW w:type="dxa" w:w="1587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⚠️ El real rival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El paseador de barrio coordinado por WhatsApp y cobro en efectivo es el player con más usuarios hoy. No se gana con más features: se gana con más confianza y más conveniencia.</w:t>
            </w:r>
          </w:p>
        </w:tc>
      </w:tr>
    </w:tbl>
    <w:p>
      <w:pPr>
        <w:spacing w:before="40" w:after="40"/>
      </w:pPr>
    </w:p>
    <w:p>
      <w:pPr>
        <w:spacing w:before="80" w:after="120"/>
        <w:ind w:left="454"/>
      </w:pPr>
      <w:r>
        <w:rPr>
          <w:rFonts w:ascii="Arial" w:hAnsi="Arial"/>
          <w:b/>
          <w:color w:val="2E86AB"/>
          <w:sz w:val="20"/>
        </w:rPr>
        <w:t xml:space="preserve">→  </w:t>
      </w:r>
      <w:r>
        <w:rPr>
          <w:rFonts w:ascii="Arial" w:hAnsi="Arial"/>
          <w:i/>
          <w:color w:val="555555"/>
          <w:sz w:val="20"/>
        </w:rPr>
        <w:t>Que Rover haya sido adquirido por Blackstone en 2024 por USD 1.350M valida el modelo de negocio a nivel global. Que nadie haya ganado LATAM todavía es la oportunidad de Wouffy.</w:t>
      </w:r>
    </w:p>
    <w:p>
      <w:r>
        <w:br w:type="page"/>
      </w:r>
    </w:p>
    <w:p>
      <w:pPr>
        <w:spacing w:before="480" w:after="160"/>
        <w:pBdr>
          <w:bottom w:val="single" w:sz="12" w:space="6" w:color="2E86AB"/>
        </w:pBdr>
      </w:pPr>
      <w:r>
        <w:rPr>
          <w:rFonts w:ascii="Arial" w:hAnsi="Arial"/>
          <w:b/>
          <w:color w:val="1A3A5C"/>
          <w:sz w:val="40"/>
        </w:rPr>
        <w:t>5. Etapa del producto y camino a la ronda</w:t>
      </w: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¿En qué etapa está Wouffy hoy?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Con un MVP funcional deployado —flujo de paseos completo, GPS en tiempo real con resumen de ruta y perfiles de walkers con ratings— Wouffy está en la transición entre concepto validado e inicio de tracción. Es el momento correcto para una ronda F&amp;F orientada a conseguir las primeras transacciones reales pagadas.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2268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Ticket estimado (USD)</w:t>
            </w:r>
          </w:p>
        </w:tc>
        <w:tc>
          <w:tcPr>
            <w:tcW w:type="dxa" w:w="5386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Qué necesitan ver</w:t>
            </w:r>
          </w:p>
        </w:tc>
      </w:tr>
      <w:tr>
        <w:tc>
          <w:tcPr>
            <w:tcW w:type="dxa" w:w="1701"/>
            <w:shd w:val="clear" w:color="auto" w:fill="2E86AB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F&amp;F  ← Wouffy hoy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C1C1E"/>
                <w:sz w:val="20"/>
              </w:rPr>
              <w:t>USD 15.000 – 30.000</w:t>
            </w:r>
          </w:p>
        </w:tc>
        <w:tc>
          <w:tcPr>
            <w:tcW w:type="dxa" w:w="5386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MVP que funciona + equipo comprometido. Ya tienen esto. El objetivo es financiar las primeras transacciones reales y el dominio propio.</w:t>
            </w:r>
          </w:p>
        </w:tc>
      </w:tr>
      <w:tr>
        <w:tc>
          <w:tcPr>
            <w:tcW w:type="dxa" w:w="1701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Pre-Seed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C1C1E"/>
                <w:sz w:val="20"/>
              </w:rPr>
              <w:t>USD 50.000 – 150.000</w:t>
            </w:r>
          </w:p>
        </w:tc>
        <w:tc>
          <w:tcPr>
            <w:tcW w:type="dxa" w:w="5386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200+ transacciones reales. Retention rate &gt; 40% al mes. CAC menor al LTV en 90 días. Respuesta clara al riesgo de desintermediación.</w:t>
            </w:r>
          </w:p>
        </w:tc>
      </w:tr>
      <w:tr>
        <w:tc>
          <w:tcPr>
            <w:tcW w:type="dxa" w:w="1701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Seed</w:t>
            </w:r>
          </w:p>
        </w:tc>
        <w:tc>
          <w:tcPr>
            <w:tcW w:type="dxa" w:w="226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C1C1E"/>
                <w:sz w:val="20"/>
              </w:rPr>
              <w:t>USD 300.000 – 600.000</w:t>
            </w:r>
          </w:p>
        </w:tc>
        <w:tc>
          <w:tcPr>
            <w:tcW w:type="dxa" w:w="5386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Modelo probado en Buenos Aires, inicio en segunda ciudad. MRR creciendo &gt;15% mensual. Esquema legal y de seguros sólido.</w:t>
            </w:r>
          </w:p>
        </w:tc>
      </w:tr>
    </w:tbl>
    <w:p>
      <w:pPr>
        <w:spacing w:before="40" w:after="40"/>
      </w:pP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Inversores reales por etapa</w:t>
      </w:r>
    </w:p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Ronda</w:t>
            </w:r>
          </w:p>
        </w:tc>
        <w:tc>
          <w:tcPr>
            <w:tcW w:type="dxa" w:w="3402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Perfil / Nombres</w:t>
            </w:r>
          </w:p>
        </w:tc>
        <w:tc>
          <w:tcPr>
            <w:tcW w:type="dxa" w:w="4252"/>
            <w:shd w:val="clear" w:color="auto" w:fill="1A3A5C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Cómo llegar</w:t>
            </w:r>
          </w:p>
        </w:tc>
      </w:tr>
      <w:tr>
        <w:tc>
          <w:tcPr>
            <w:tcW w:type="dxa" w:w="1701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F&amp;F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Familia, ex-colegas, emprendedores del entorno con ticket chico. Pet lovers con capital ocioso.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Relación directa. No necesitan deck, necesitan ver el producto funcionando y confiar en el equipo.</w:t>
            </w:r>
          </w:p>
        </w:tc>
      </w:tr>
      <w:tr>
        <w:tc>
          <w:tcPr>
            <w:tcW w:type="dxa" w:w="1701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Ángeles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ARCAP (red de ángeles Argentina). Sindicatos de Angel.co. Alumni de IAE/UTDT con historial de inversión.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Introducción a través de red. El pitch es la tracción, no el deck. Una buena intro vale más que el mejor PDF.</w:t>
            </w:r>
          </w:p>
        </w:tc>
      </w:tr>
      <w:tr>
        <w:tc>
          <w:tcPr>
            <w:tcW w:type="dxa" w:w="1701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Pre-Seed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Newtopia VC, Alaya Capital, Embarca Accelerator. Fondos con ticket USD 50k–150k y foco regional temprano.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Aplicar con métricas reales. Newtopia tiene proceso online. Embarca/Incubate GCBA tienen convocatorias periódicas.</w:t>
            </w:r>
          </w:p>
        </w:tc>
      </w:tr>
      <w:tr>
        <w:tc>
          <w:tcPr>
            <w:tcW w:type="dxa" w:w="1701"/>
            <w:shd w:val="clear" w:color="auto" w:fill="D6EAF8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A3A5C"/>
                <w:sz w:val="20"/>
              </w:rPr>
              <w:t>Estratégico</w:t>
            </w:r>
          </w:p>
        </w:tc>
        <w:tc>
          <w:tcPr>
            <w:tcW w:type="dxa" w:w="340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PetLove (Brasil) como smart money. Puppis como ángel corporativo local.</w:t>
            </w:r>
          </w:p>
        </w:tc>
        <w:tc>
          <w:tcPr>
            <w:tcW w:type="dxa" w:w="4252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C1C1E"/>
                <w:sz w:val="20"/>
              </w:rPr>
              <w:t>No entran en etapa temprana. El objetivo es estar en su radar desde ya para que la conversación de Seed no empiece de cero.</w:t>
            </w:r>
          </w:p>
        </w:tc>
      </w:tr>
    </w:tbl>
    <w:p>
      <w:pPr>
        <w:spacing w:before="40" w:after="40"/>
      </w:pP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Exit posible en 3–4 años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El exit más probable no es una IPO. Es una adquisición estratégica. Los escenarios más concretos, en orden de probabilidad: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PetLove (Brasil): el adquiriente más lógico. Tiene el modelo de ecosistema completo, capital de SoftBank, y necesita presencia en Argentina y el resto de LATAM sin construir desde cero.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Puppis: adquisición local que digitaliza su base de clientes físicos con la tecnología y data de Wouffy.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Rappi / PedidosYa: si Wouffy demuestra escala en servicios, puede interesarles como vertical de mascotas dentro de su súper-app.</w:t>
      </w:r>
    </w:p>
    <w:p>
      <w:pPr>
        <w:pStyle w:val="ListBullet"/>
        <w:spacing w:before="40" w:after="40"/>
      </w:pPr>
      <w:r>
        <w:rPr>
          <w:rFonts w:ascii="Arial" w:hAnsi="Arial"/>
          <w:color w:val="1C1C1E"/>
          <w:sz w:val="21"/>
        </w:rPr>
        <w:t>Player internacional buscando entrada a LATAM: cualquier fondo con tesis de pet care podría usar a Wouffy como vehículo de entrada regional.</w:t>
      </w:r>
    </w:p>
    <w:p>
      <w:pPr>
        <w:spacing w:before="40" w:after="40"/>
      </w:pPr>
    </w:p>
    <w:p>
      <w:pPr>
        <w:spacing w:before="80" w:after="120"/>
        <w:ind w:left="454"/>
      </w:pPr>
      <w:r>
        <w:rPr>
          <w:rFonts w:ascii="Arial" w:hAnsi="Arial"/>
          <w:b/>
          <w:color w:val="2E86AB"/>
          <w:sz w:val="20"/>
        </w:rPr>
        <w:t xml:space="preserve">→  </w:t>
      </w:r>
      <w:r>
        <w:rPr>
          <w:rFonts w:ascii="Arial" w:hAnsi="Arial"/>
          <w:i/>
          <w:color w:val="555555"/>
          <w:sz w:val="20"/>
        </w:rPr>
        <w:t>Valuación de exit realista con 50k–100k usuarios activos: USD 5M–15M. Para el inversor de Pre-Seed que entró a USD 100k por un 12%, eso representa un retorno de 6x–18x en 3 años. Eso es lo que hay que mostrar en el pitch.</w:t>
      </w:r>
    </w:p>
    <w:p>
      <w:pPr>
        <w:spacing w:before="40" w:after="40"/>
      </w:pPr>
    </w:p>
    <w:p>
      <w:pPr>
        <w:spacing w:before="320" w:after="120"/>
      </w:pPr>
      <w:r>
        <w:rPr>
          <w:rFonts w:ascii="Arial" w:hAnsi="Arial"/>
          <w:b/>
          <w:color w:val="2E86AB"/>
          <w:sz w:val="28"/>
        </w:rPr>
        <w:t>El número que falta hoy</w:t>
      </w:r>
    </w:p>
    <w:p>
      <w:pPr>
        <w:spacing w:before="60" w:after="100"/>
      </w:pPr>
      <w:r>
        <w:rPr>
          <w:rFonts w:ascii="Arial" w:hAnsi="Arial"/>
          <w:i w:val="0"/>
          <w:color w:val="1C1C1E"/>
          <w:sz w:val="21"/>
        </w:rPr>
        <w:t>Wouffy tiene producto. Lo que no tiene todavía es transacciones reales. Esa es la única métrica que separa una conversación de F&amp;F de una conversación de Pre-Seed. El objetivo inmediato es conseguir las primeras 50–100 transacciones pagadas en un radio acotado de Buenos Aires, medir cuántos dueños vuelven al mes siguiente, y llevar ese número a la primera reunión con un ángel.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