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EB Garamond" w:cs="EB Garamond" w:eastAsia="EB Garamond" w:hAnsi="EB Garamond"/>
          <w:sz w:val="38"/>
          <w:szCs w:val="38"/>
        </w:rPr>
      </w:pPr>
      <w:bookmarkStart w:colFirst="0" w:colLast="0" w:name="_xr3sdfgd3npu" w:id="0"/>
      <w:bookmarkEnd w:id="0"/>
      <w:r w:rsidDel="00000000" w:rsidR="00000000" w:rsidRPr="00000000">
        <w:rPr>
          <w:rFonts w:ascii="EB Garamond" w:cs="EB Garamond" w:eastAsia="EB Garamond" w:hAnsi="EB Garamond"/>
          <w:sz w:val="38"/>
          <w:szCs w:val="38"/>
          <w:rtl w:val="0"/>
        </w:rPr>
        <w:t xml:space="preserve">Final Project: Business Insights Summary</w:t>
      </w:r>
    </w:p>
    <w:p w:rsidR="00000000" w:rsidDel="00000000" w:rsidP="00000000" w:rsidRDefault="00000000" w:rsidRPr="00000000" w14:paraId="00000002">
      <w:pPr>
        <w:spacing w:line="24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analysis examines factors influencing student academic performance across 6,378 students. Eight visualizations are used to reveal critical patterns that can inform users about the factors that contribute most to students achieving a higher exam score. These patterns can inform educational policy, resource allocation, and intervention strategies for teachers and parents to maximize student success. </w:t>
      </w:r>
    </w:p>
    <w:p w:rsidR="00000000" w:rsidDel="00000000" w:rsidP="00000000" w:rsidRDefault="00000000" w:rsidRPr="00000000" w14:paraId="00000003">
      <w:pPr>
        <w:pStyle w:val="Subtitle"/>
        <w:spacing w:line="240" w:lineRule="auto"/>
        <w:rPr>
          <w:sz w:val="24"/>
          <w:szCs w:val="24"/>
        </w:rPr>
      </w:pPr>
      <w:bookmarkStart w:colFirst="0" w:colLast="0" w:name="_2s1sifn3eqbe" w:id="1"/>
      <w:bookmarkEnd w:id="1"/>
      <w:r w:rsidDel="00000000" w:rsidR="00000000" w:rsidRPr="00000000">
        <w:rPr>
          <w:sz w:val="24"/>
          <w:szCs w:val="24"/>
          <w:rtl w:val="0"/>
        </w:rPr>
        <w:t xml:space="preserve">1. Exam Results Show a Positive Relationship with Attendance Percentage </w:t>
      </w:r>
    </w:p>
    <w:p w:rsidR="00000000" w:rsidDel="00000000" w:rsidP="00000000" w:rsidRDefault="00000000" w:rsidRPr="00000000" w14:paraId="00000004">
      <w:pPr>
        <w:spacing w:line="240" w:lineRule="auto"/>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scatter plot in part two of the project reveals a strong positive correlation between attendance percentage and exam performance. Students who achieve an attendance rate of over 90% typically have exam scores that range between 65 and 78. The color coding by tutoring sessions shows that the number of tutoring sessions alone does not guarantee a high exam score, as there are students with zero tutoring sessions scoring above 80, as well as students with at least two or three tutoring sessions scoring in the lower range of exam scores. The visualization demonstrates that class attendance remains the stronger predictor of exam score out of the two attributes. </w:t>
      </w:r>
    </w:p>
    <w:p w:rsidR="00000000" w:rsidDel="00000000" w:rsidP="00000000" w:rsidRDefault="00000000" w:rsidRPr="00000000" w14:paraId="00000005">
      <w:pPr>
        <w:pStyle w:val="Subtitle"/>
        <w:spacing w:line="240" w:lineRule="auto"/>
        <w:rPr>
          <w:sz w:val="24"/>
          <w:szCs w:val="24"/>
        </w:rPr>
      </w:pPr>
      <w:bookmarkStart w:colFirst="0" w:colLast="0" w:name="_6suaih7fx078" w:id="2"/>
      <w:bookmarkEnd w:id="2"/>
      <w:r w:rsidDel="00000000" w:rsidR="00000000" w:rsidRPr="00000000">
        <w:rPr>
          <w:sz w:val="24"/>
          <w:szCs w:val="24"/>
          <w:rtl w:val="0"/>
        </w:rPr>
        <w:t xml:space="preserve">2. Impact of Parental Involvement </w:t>
      </w:r>
    </w:p>
    <w:p w:rsidR="00000000" w:rsidDel="00000000" w:rsidP="00000000" w:rsidRDefault="00000000" w:rsidRPr="00000000" w14:paraId="00000006">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box plot illustrates the distribution of exam scores based on the level of parental involvement.  It shows that students with high parental involvement achieve median scores slightly higher than those with lower involvement, with reduced score variance. There are also many outliers, indicating that parental involvement alone is not a strong predictor of exam scores. These results can prompt educational institutions to invest in programs that focus on parent engagement, such as the PTA. </w:t>
      </w:r>
    </w:p>
    <w:p w:rsidR="00000000" w:rsidDel="00000000" w:rsidP="00000000" w:rsidRDefault="00000000" w:rsidRPr="00000000" w14:paraId="00000007">
      <w:pPr>
        <w:pStyle w:val="Subtitle"/>
        <w:spacing w:line="240" w:lineRule="auto"/>
        <w:rPr>
          <w:sz w:val="24"/>
          <w:szCs w:val="24"/>
        </w:rPr>
      </w:pPr>
      <w:bookmarkStart w:colFirst="0" w:colLast="0" w:name="_s3mmyrby7blj" w:id="3"/>
      <w:bookmarkEnd w:id="3"/>
      <w:r w:rsidDel="00000000" w:rsidR="00000000" w:rsidRPr="00000000">
        <w:rPr>
          <w:sz w:val="24"/>
          <w:szCs w:val="24"/>
          <w:rtl w:val="0"/>
        </w:rPr>
        <w:t xml:space="preserve">3. Exam Score Distribution</w:t>
      </w:r>
    </w:p>
    <w:p w:rsidR="00000000" w:rsidDel="00000000" w:rsidP="00000000" w:rsidRDefault="00000000" w:rsidRPr="00000000" w14:paraId="00000008">
      <w:pPr>
        <w:spacing w:line="240" w:lineRule="auto"/>
        <w:rPr>
          <w:sz w:val="24"/>
          <w:szCs w:val="24"/>
        </w:rPr>
      </w:pPr>
      <w:r w:rsidDel="00000000" w:rsidR="00000000" w:rsidRPr="00000000">
        <w:rPr>
          <w:rFonts w:ascii="EB Garamond" w:cs="EB Garamond" w:eastAsia="EB Garamond" w:hAnsi="EB Garamond"/>
          <w:sz w:val="24"/>
          <w:szCs w:val="24"/>
          <w:rtl w:val="0"/>
        </w:rPr>
        <w:t xml:space="preserve">The exam score histogram shows a normal distribution centered around 65-68%, with very few students scoring above 80%. This can indicate a performance cap, which can affect even high-scoring students. Current curriculum or teaching methods may not challenge top performers accordingly. Schools should develop advanced tracks and differentiated instruction to cater to students clustering at the upper-middle range who could achieve excellence with appropriately challenging material. </w:t>
      </w:r>
      <w:r w:rsidDel="00000000" w:rsidR="00000000" w:rsidRPr="00000000">
        <w:rPr>
          <w:rtl w:val="0"/>
        </w:rPr>
      </w:r>
    </w:p>
    <w:p w:rsidR="00000000" w:rsidDel="00000000" w:rsidP="00000000" w:rsidRDefault="00000000" w:rsidRPr="00000000" w14:paraId="00000009">
      <w:pPr>
        <w:pStyle w:val="Subtitle"/>
        <w:spacing w:line="240" w:lineRule="auto"/>
        <w:rPr>
          <w:sz w:val="24"/>
          <w:szCs w:val="24"/>
        </w:rPr>
      </w:pPr>
      <w:bookmarkStart w:colFirst="0" w:colLast="0" w:name="_ib9ghg4p0hb9" w:id="4"/>
      <w:bookmarkEnd w:id="4"/>
      <w:r w:rsidDel="00000000" w:rsidR="00000000" w:rsidRPr="00000000">
        <w:rPr>
          <w:sz w:val="24"/>
          <w:szCs w:val="24"/>
          <w:rtl w:val="0"/>
        </w:rPr>
        <w:t xml:space="preserve">4. Exam Score Distribution</w:t>
      </w:r>
    </w:p>
    <w:p w:rsidR="00000000" w:rsidDel="00000000" w:rsidP="00000000" w:rsidRDefault="00000000" w:rsidRPr="00000000" w14:paraId="0000000A">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facet plot shows that sleep hours moderate the relationship between study time and exam performance across motivation levels. Students who achieve adequate sleep generally attain higher exam scores for the same number of study hours compared to those with less sleep. Even among high-performing students, insufficient sleep appears to reduce the effectiveness of increased study time. This pattern suggests that academic performance is influenced not only by effort and motivation, but also by rest, highlighting the importance of balanced study and sleep habits when designing student success strategies.</w:t>
      </w:r>
    </w:p>
    <w:p w:rsidR="00000000" w:rsidDel="00000000" w:rsidP="00000000" w:rsidRDefault="00000000" w:rsidRPr="00000000" w14:paraId="0000000B">
      <w:pPr>
        <w:pStyle w:val="Subtitle"/>
        <w:keepNext w:val="0"/>
        <w:keepLines w:val="0"/>
        <w:spacing w:line="240" w:lineRule="auto"/>
        <w:rPr>
          <w:sz w:val="24"/>
          <w:szCs w:val="24"/>
        </w:rPr>
      </w:pPr>
      <w:bookmarkStart w:colFirst="0" w:colLast="0" w:name="_8ftas09a0ztz" w:id="5"/>
      <w:bookmarkEnd w:id="5"/>
      <w:r w:rsidDel="00000000" w:rsidR="00000000" w:rsidRPr="00000000">
        <w:rPr>
          <w:sz w:val="24"/>
          <w:szCs w:val="24"/>
          <w:rtl w:val="0"/>
        </w:rPr>
        <w:t xml:space="preserve">5</w:t>
      </w:r>
      <w:r w:rsidDel="00000000" w:rsidR="00000000" w:rsidRPr="00000000">
        <w:rPr>
          <w:sz w:val="24"/>
          <w:szCs w:val="24"/>
          <w:rtl w:val="0"/>
        </w:rPr>
        <w:t xml:space="preserve">. Teacher Quality and Exam Performance (Bar Chart)</w:t>
      </w:r>
    </w:p>
    <w:p w:rsidR="00000000" w:rsidDel="00000000" w:rsidP="00000000" w:rsidRDefault="00000000" w:rsidRPr="00000000" w14:paraId="0000000C">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bar chart demonstrates a slight upward trend in average exam scores as teacher quality improves. This underscores the critical role educators play in student success. Investing in teacher training, performance evaluations, and professional development can result in improvements in academic outcomes.</w:t>
      </w:r>
    </w:p>
    <w:p w:rsidR="00000000" w:rsidDel="00000000" w:rsidP="00000000" w:rsidRDefault="00000000" w:rsidRPr="00000000" w14:paraId="0000000D">
      <w:pPr>
        <w:pStyle w:val="Subtitle"/>
        <w:keepNext w:val="0"/>
        <w:keepLines w:val="0"/>
        <w:spacing w:line="240" w:lineRule="auto"/>
        <w:rPr>
          <w:sz w:val="24"/>
          <w:szCs w:val="24"/>
        </w:rPr>
      </w:pPr>
      <w:bookmarkStart w:colFirst="0" w:colLast="0" w:name="_27e3zicl7vj5" w:id="6"/>
      <w:bookmarkEnd w:id="6"/>
      <w:r w:rsidDel="00000000" w:rsidR="00000000" w:rsidRPr="00000000">
        <w:rPr>
          <w:sz w:val="24"/>
          <w:szCs w:val="24"/>
          <w:rtl w:val="0"/>
        </w:rPr>
        <w:t xml:space="preserve">6. Correlation Between Numerical Performance Factors</w:t>
      </w:r>
    </w:p>
    <w:p w:rsidR="00000000" w:rsidDel="00000000" w:rsidP="00000000" w:rsidRDefault="00000000" w:rsidRPr="00000000" w14:paraId="0000000E">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correlation heatmap shows strong positive relationships between exam scores, attendance percentage, and hours studied. Many other factors, such as previous scores and tutoring sessions, have a weaker positive correlation. This confirms that academic performance is dependent on multiple factors.  Past performance and consistent engagement serve as predictors of future success. These insights can inform predictive analytics models used to identify students who are at risk early.</w:t>
      </w:r>
    </w:p>
    <w:p w:rsidR="00000000" w:rsidDel="00000000" w:rsidP="00000000" w:rsidRDefault="00000000" w:rsidRPr="00000000" w14:paraId="0000000F">
      <w:pPr>
        <w:pStyle w:val="Subtitle"/>
        <w:keepNext w:val="0"/>
        <w:keepLines w:val="0"/>
        <w:spacing w:line="240" w:lineRule="auto"/>
        <w:rPr>
          <w:sz w:val="24"/>
          <w:szCs w:val="24"/>
        </w:rPr>
      </w:pPr>
      <w:bookmarkStart w:colFirst="0" w:colLast="0" w:name="_mib5mj3iz3vd" w:id="7"/>
      <w:bookmarkEnd w:id="7"/>
      <w:r w:rsidDel="00000000" w:rsidR="00000000" w:rsidRPr="00000000">
        <w:rPr>
          <w:sz w:val="24"/>
          <w:szCs w:val="24"/>
          <w:rtl w:val="0"/>
        </w:rPr>
        <w:t xml:space="preserve">7. Relationship Between Attendance, Study Hours, and Exam Scores </w:t>
      </w:r>
    </w:p>
    <w:p w:rsidR="00000000" w:rsidDel="00000000" w:rsidP="00000000" w:rsidRDefault="00000000" w:rsidRPr="00000000" w14:paraId="00000010">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scatter plot reveals a positive relationship between hours studied per week and exam scores, with students who attend classes more consistently achieving higher scores overall. Higher attendance percentages emphasize the benefits of increased study time, suggesting that engagement both inside and outside the classroom plays a critical role in academic success. From a policy-making perspective, this insight supports initiatives that promote consistent attendance, such as attendance incentives or warning systems for students with many absences.</w:t>
      </w:r>
    </w:p>
    <w:p w:rsidR="00000000" w:rsidDel="00000000" w:rsidP="00000000" w:rsidRDefault="00000000" w:rsidRPr="00000000" w14:paraId="00000011">
      <w:pPr>
        <w:pStyle w:val="Subtitle"/>
        <w:keepNext w:val="0"/>
        <w:keepLines w:val="0"/>
        <w:spacing w:line="240" w:lineRule="auto"/>
        <w:rPr>
          <w:sz w:val="24"/>
          <w:szCs w:val="24"/>
        </w:rPr>
      </w:pPr>
      <w:bookmarkStart w:colFirst="0" w:colLast="0" w:name="_lyxqshhmxn0c" w:id="8"/>
      <w:bookmarkEnd w:id="8"/>
      <w:r w:rsidDel="00000000" w:rsidR="00000000" w:rsidRPr="00000000">
        <w:rPr>
          <w:sz w:val="24"/>
          <w:szCs w:val="24"/>
          <w:rtl w:val="0"/>
        </w:rPr>
        <w:t xml:space="preserve">7. Relationship Between Attendance, Study Hours, and Exam Scores </w:t>
      </w:r>
    </w:p>
    <w:p w:rsidR="00000000" w:rsidDel="00000000" w:rsidP="00000000" w:rsidRDefault="00000000" w:rsidRPr="00000000" w14:paraId="00000012">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bar chart comparing mean exam scores by gender shows minimal differences between male and female students. This suggests that gender is not a significant determinant of exam performance within this dataset. For educators, this implies that performance differences are more likely due to behavioral or environmental factors rather than gender.  Reinforcing the importance of inclusive academic policies that focus on access to resources rather than demographic assumptions is essential.</w:t>
      </w:r>
    </w:p>
    <w:p w:rsidR="00000000" w:rsidDel="00000000" w:rsidP="00000000" w:rsidRDefault="00000000" w:rsidRPr="00000000" w14:paraId="00000013">
      <w:pPr>
        <w:pStyle w:val="Subtitle"/>
        <w:rPr>
          <w:sz w:val="24"/>
          <w:szCs w:val="24"/>
        </w:rPr>
      </w:pPr>
      <w:bookmarkStart w:colFirst="0" w:colLast="0" w:name="_uvybts420329" w:id="9"/>
      <w:bookmarkEnd w:id="9"/>
      <w:r w:rsidDel="00000000" w:rsidR="00000000" w:rsidRPr="00000000">
        <w:rPr>
          <w:sz w:val="24"/>
          <w:szCs w:val="24"/>
          <w:rtl w:val="0"/>
        </w:rPr>
        <w:t xml:space="preserve">Conclusion</w:t>
      </w:r>
    </w:p>
    <w:p w:rsidR="00000000" w:rsidDel="00000000" w:rsidP="00000000" w:rsidRDefault="00000000" w:rsidRPr="00000000" w14:paraId="00000014">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visualizations collectively highlight that student performance is most strongly influenced by attendance, study habits, and parental involvement. The findings emphasize that targeted interventions, rather than demographic factors, are more likely to result in meaningful improvements in academic outcomes. These insights can guide data-driven decision-making in educational institutions seeking to increase student success.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