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Análise de Utilizadores e Tarefas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Para a análise de tarefas realizámos um questionário que nos permitiu ter informação representativa dos utilizadores alvo do sistema, a sua situação atual e perceber algumas das suas preferências em relação às possibilidades do BarISTa. O questionário foi disponibilizado publicamente online e foram recolhidas 143 respostas. Dos inquiridos apenas 22 não frequentam bares.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1. Quem vai utilizar o sistema?</w:t>
      </w:r>
    </w:p>
    <w:p w:rsidR="00000000" w:rsidDel="00000000" w:rsidP="00000000" w:rsidRDefault="00000000" w:rsidRPr="00000000">
      <w:pPr>
        <w:spacing w:after="0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  <w:t xml:space="preserve">Os potenciais utilizadores do sistema estão na faixa etária dos 18 aos 25 anos (94,4%), sendo 54,5% do sexo masculino e 41,3% do sexo feminino. A maioria dos utilizadores frequenta bares com 4 a 5 amigos (46,3%).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708"/>
        <w:contextualSpacing w:val="0"/>
        <w:jc w:val="both"/>
      </w:pPr>
      <w:r w:rsidDel="00000000" w:rsidR="00000000" w:rsidRPr="00000000">
        <w:rPr>
          <w:rtl w:val="0"/>
        </w:rPr>
        <w:t xml:space="preserve">Dos inquiridos, 20,7% vai a bares para conhecer pessoas e 95,9% utiliza regularmente a tecnologia touch. 66,1% dos inquiridos fuma em bares (30,6%) ou não fica incomodado em bares para fumadores (35,5%). Os meios de transporte mais utilizados depois da saída do bar são o Metro (47,9%) e veículos de outrem (46,3%) e também se verificou um número de utilizadores significativo que se desloca a pé (49,6%) ou utiliza um serviço de transporte privado (43%).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left="0" w:right="0" w:firstLine="709"/>
        <w:contextualSpacing w:val="0"/>
        <w:jc w:val="both"/>
      </w:pPr>
      <w:r w:rsidDel="00000000" w:rsidR="00000000" w:rsidRPr="00000000">
        <w:rPr>
          <w:rtl w:val="0"/>
        </w:rPr>
        <w:t xml:space="preserve">Em termos de consumo médio, os inquiridos gastam entre 3€ e 5€ (37,2%) ou então entre 5€ e 8€ (30,6%) e consomem bebidas alcoólicas (52,9%) ou todos os tipos de bebida (41,3%). Bebem maioritariamente cerveja (74,3%).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00"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Com quem frequenta bares?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790825" cy="150304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5670" r="5006" t="436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03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 Que tarefas executam atualmente?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Grande parte dos utilizadores utiliza Wi-Fi quando frequenta um bar (66,9%). Podemos ainda verificar que 81% não costuma comer (81%) nos bares que frequenta, bem como não pede o menu do bar em questão (62%).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Dos 19% dos utilizadores, que comem em bares, preferem snacks nomeadamente amendoins, batatas fritas ou sandes/tostas. 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Em relação ao método de pagamento, 94,2% utiliza dinheiro e uma percentagem considerável utiliza cartão multibanco (36,4%).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As atividades de entretenimento mais realizadas são jogos de setas (52,4%), snooker e matraquilhos (47,6% cada), bem como ver programas de televisão (32,4%).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3. Que tarefas são desejáveis?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De acordo com as sugestões dos inquiridos, as tarefas mais desejáveis são a integração de jogos na mesa, bem como estar disponível o menu do bar e fazer pedidos a partir da mesa. Outras sugestões de tarefas integradas na mesa passam pela medição do nível de álcool no sangue, escolha de músicas para a playlist do bar, consulta da conta a pagar e de informação relativa a transportes públicos, navegar na Internet, pagamento através de multibanco, personalização do pedido desejado. Um registo que contenha a opinião dos utilizadores sobre as melhores bebidas/snacks também foi sugerido.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4. Como se aprendem as tarefas?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De acordo com os resultados do questionário, os utilizadores estão divididos igualmente entre aprender a utilizar o BarISTa através de um breve tutorial em vídeo e uma explicação feita pelo empregado de mesa.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399730" cy="1955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5. Onde são desempenhadas as tarefas?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As tarefas são desempenhados no ambiente dum bar e 52,1% dos inquiridos prefere permanecer no bar sentado nos sofás e 39,7% ficar sentado à mesa.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6. Qual a relação entre o utilizador e a informação?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Neste cenário conseguimos concluir que o utilizador leva consigo o smartphone (96,7%), dispositivo onde se encontra grande parte da informação pessoal que o cliente pode escolher, ou não, partilhar. As suas informações de pagamento encontram-se no cartão multibanco, caso este seja utilizado.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7. Que outros instrumentos tem o utilizador?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96,7% dos utilizadores possui smartphone e leva-o consigo para o bar. Para além disso, fazem-se acompanhar de cartões multibanco e cartões de identificação.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8. Como comunicam os utilizadores entre si?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Dentro do bar os utilizadores preferem falar entre si como meio de comunicação (96,7%), no entanto 21,5% também utiliza diferentes tipos de tecnologia (SMS, chamadas, Internet).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9. Qual a frequência de desempenho das tarefas?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Segundo as respostas dos utilizadores, 66,1% frequenta bares 1 a 2 vezes por mês e a seguinte amostra significativa é de 25,6% de pessoas que o fazem 1 a 2 vezes por semana.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10.Quais as restrições de tempo impostas?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Dos dados recolhidos, 54,5% dos utilizadores estão dispostos a esperar entre 3 a 5 minutos, sendo apenas 20,7% a percentagem de clientes dispostos a esperar menos de 3 minutos.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11.Que acontece se algo correr mal?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No caso em que algo corra mal o procedimento mais comum é falar com o empregado ou pedir o livro de reclamações.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Jogos 11111111111111111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Menu 111111111111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Musica 1111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Conta 11111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Fazer pedidos 111111111111111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Reviews 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Medidor de alcool 11111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Chamar empregado 11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Internet 111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Transportes publicos 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Proprio cocktail 111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Pagamento com multibanco 1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