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pPr>
    </w:p>
    <w:p>
      <w:pPr>
        <w:spacing w:before="0" w:after="0" w:line="276" w:lineRule="auto"/>
      </w:pPr>
    </w:p>
    <w:p>
      <w:pPr>
        <w:spacing w:before="0" w:after="0" w:line="276" w:lineRule="auto"/>
      </w:pPr>
    </w:p>
    <w:p>
      <w:pPr>
        <w:spacing w:before="160" w:after="160" w:line="276" w:lineRule="auto"/>
        <w:jc w:val="center"/>
      </w:pPr>
      <w:r>
        <w:rPr>
          <w:rFonts w:ascii="Calibri" w:hAnsi="Calibri"/>
          <w:b/>
          <w:i w:val="0"/>
          <w:color w:val="E8434F"/>
          <w:sz w:val="22"/>
        </w:rPr>
        <w:t>CTO REPORT  |  PROMPT SECURITY</w:t>
      </w:r>
    </w:p>
    <w:p>
      <w:pPr>
        <w:spacing w:before="80" w:after="80" w:line="276" w:lineRule="auto"/>
        <w:jc w:val="center"/>
      </w:pPr>
      <w:r>
        <w:rPr>
          <w:rFonts w:ascii="Calibri" w:hAnsi="Calibri"/>
          <w:b/>
          <w:i w:val="0"/>
          <w:color w:val="0B1F3A"/>
          <w:sz w:val="64"/>
        </w:rPr>
        <w:t>7d of activity under policy</w:t>
      </w:r>
    </w:p>
    <w:p>
      <w:pPr>
        <w:spacing w:before="0" w:after="480" w:line="276" w:lineRule="auto"/>
        <w:jc w:val="center"/>
      </w:pPr>
      <w:r>
        <w:rPr>
          <w:rFonts w:ascii="Calibri" w:hAnsi="Calibri"/>
          <w:b w:val="0"/>
          <w:i/>
          <w:color w:val="555F70"/>
          <w:sz w:val="26"/>
        </w:rPr>
        <w:t>What Prompt Security observed, what we intervened on, and where to take the insight next.</w:t>
      </w:r>
    </w:p>
    <w:p>
      <w:pPr>
        <w:spacing w:before="80" w:after="80" w:line="276" w:lineRule="auto"/>
        <w:jc w:val="center"/>
      </w:pPr>
      <w:r>
        <w:rPr>
          <w:rFonts w:ascii="Calibri" w:hAnsi="Calibri"/>
          <w:b w:val="0"/>
          <w:i w:val="0"/>
          <w:color w:val="555F70"/>
          <w:sz w:val="22"/>
        </w:rPr>
        <w:t xml:space="preserve">Window  </w:t>
      </w:r>
      <w:r>
        <w:rPr>
          <w:rFonts w:ascii="Calibri" w:hAnsi="Calibri"/>
          <w:b/>
          <w:i w:val="0"/>
          <w:color w:val="0B1F3A"/>
          <w:sz w:val="22"/>
        </w:rPr>
        <w:t>2026-04-15  to  2026-04-22  (UTC)</w:t>
      </w:r>
    </w:p>
    <w:p>
      <w:pPr>
        <w:spacing w:before="0" w:after="120" w:line="276" w:lineRule="auto"/>
        <w:jc w:val="center"/>
      </w:pPr>
      <w:r>
        <w:rPr>
          <w:rFonts w:ascii="Calibri" w:hAnsi="Calibri"/>
          <w:b w:val="0"/>
          <w:i w:val="0"/>
          <w:color w:val="555F70"/>
          <w:sz w:val="22"/>
        </w:rPr>
        <w:t xml:space="preserve">Data source  </w:t>
      </w:r>
      <w:r>
        <w:rPr>
          <w:rFonts w:ascii="Consolas" w:hAnsi="Consolas"/>
          <w:b/>
          <w:i w:val="0"/>
          <w:color w:val="0B1F3A"/>
          <w:sz w:val="22"/>
        </w:rPr>
        <w:t>dataSource.name = 'Prompt Security'</w:t>
      </w:r>
    </w:p>
    <w:p/>
    <w:p/>
    <w:p/>
    <w:p>
      <w:pPr>
        <w:spacing w:before="0" w:after="0" w:line="276" w:lineRule="auto"/>
        <w:jc w:val="center"/>
      </w:pPr>
      <w:r>
        <w:rPr>
          <w:rFonts w:ascii="Calibri" w:hAnsi="Calibri"/>
          <w:b w:val="0"/>
          <w:i/>
          <w:color w:val="555F70"/>
          <w:sz w:val="18"/>
        </w:rPr>
        <w:t>Telemetry pulled live via the SentinelOne Singularity Data Lake (PowerQuery over the Management Console API).</w:t>
      </w:r>
    </w:p>
    <w:p>
      <w:pPr>
        <w:spacing w:before="0" w:after="0" w:line="276" w:lineRule="auto"/>
      </w:pPr>
      <w:r>
        <w:br w:type="page"/>
      </w:r>
    </w:p>
    <w:p>
      <w:pPr>
        <w:spacing w:before="360" w:after="120" w:line="276" w:lineRule="auto"/>
        <w:pBdr>
          <w:bottom w:val="single" w:sz="8" w:color="0B1F3A" w:space="4"/>
        </w:pBdr>
      </w:pPr>
      <w:r>
        <w:rPr>
          <w:rFonts w:ascii="Calibri" w:hAnsi="Calibri"/>
          <w:b/>
          <w:i w:val="0"/>
          <w:color w:val="0B1F3A"/>
          <w:sz w:val="40"/>
        </w:rPr>
        <w:t>Executive summary</w:t>
      </w:r>
    </w:p>
    <w:p>
      <w:pPr>
        <w:spacing w:before="40" w:after="120" w:line="300" w:lineRule="auto"/>
      </w:pPr>
      <w:r>
        <w:rPr>
          <w:rFonts w:ascii="Calibri" w:hAnsi="Calibri"/>
          <w:b w:val="0"/>
          <w:i w:val="0"/>
          <w:color w:val="1A1F2E"/>
          <w:sz w:val="22"/>
        </w:rPr>
        <w:t>Over the 7d window ending 2026-04-22 UTC, dataSource.name='Prompt Security' produced 37,094 events across 41 distinct users. The intervention rate is high. Either the policy is tuned aggressively or the traffic contains a lot of behaviour the business cares about; both are worth understanding before promoting or relaxing policies.</w:t>
      </w:r>
    </w:p>
    <w:tbl>
      <w:tblPr>
        <w:tblW w:type="auto" w:w="0"/>
        <w:tblLayout w:type="fixed"/>
        <w:tblLook w:firstColumn="1" w:firstRow="1" w:lastColumn="0" w:lastRow="0" w:noHBand="0" w:noVBand="1" w:val="04A0"/>
      </w:tblPr>
      <w:tblGrid>
        <w:gridCol w:w="2304"/>
        <w:gridCol w:w="2304"/>
        <w:gridCol w:w="2304"/>
        <w:gridCol w:w="2304"/>
      </w:tblGrid>
      <w:tr>
        <w:tc>
          <w:tcPr>
            <w:tcW w:type="dxa" w:w="2304"/>
            <w:shd w:val="clear" w:color="auto" w:fill="F5F1E8"/>
            <w:tcBorders>
              <w:top w:val="single" w:sz="4" w:color="CCCCCC"/>
              <w:bottom w:val="single" w:sz="4" w:color="CCCCCC"/>
              <w:right w:val="single" w:sz="4" w:color="CCCCCC"/>
              <w:left w:val="single" w:sz="24" w:color="0B1F3A"/>
            </w:tcBorders>
          </w:tcPr>
          <w:p>
            <w:pPr>
              <w:spacing w:before="120" w:after="0" w:line="276" w:lineRule="auto"/>
            </w:pPr>
            <w:r/>
            <w:r>
              <w:rPr>
                <w:rFonts w:ascii="Calibri" w:hAnsi="Calibri"/>
                <w:b/>
                <w:i w:val="0"/>
                <w:color w:val="0B1F3A"/>
                <w:sz w:val="52"/>
              </w:rPr>
              <w:t>37,094</w:t>
            </w:r>
          </w:p>
          <w:p>
            <w:pPr>
              <w:spacing w:before="0" w:after="120" w:line="276" w:lineRule="auto"/>
            </w:pPr>
            <w:r>
              <w:rPr>
                <w:rFonts w:ascii="Calibri" w:hAnsi="Calibri"/>
                <w:b w:val="0"/>
                <w:i w:val="0"/>
                <w:color w:val="555F70"/>
                <w:sz w:val="20"/>
              </w:rPr>
              <w:t>Total events (7d)</w:t>
            </w:r>
          </w:p>
        </w:tc>
        <w:tc>
          <w:tcPr>
            <w:tcW w:type="dxa" w:w="2304"/>
            <w:shd w:val="clear" w:color="auto" w:fill="F5F1E8"/>
            <w:tcBorders>
              <w:top w:val="single" w:sz="4" w:color="CCCCCC"/>
              <w:bottom w:val="single" w:sz="4" w:color="CCCCCC"/>
              <w:right w:val="single" w:sz="4" w:color="CCCCCC"/>
              <w:left w:val="single" w:sz="24" w:color="E8434F"/>
            </w:tcBorders>
          </w:tcPr>
          <w:p>
            <w:pPr>
              <w:spacing w:before="120" w:after="0" w:line="276" w:lineRule="auto"/>
            </w:pPr>
            <w:r/>
            <w:r>
              <w:rPr>
                <w:rFonts w:ascii="Calibri" w:hAnsi="Calibri"/>
                <w:b/>
                <w:i w:val="0"/>
                <w:color w:val="0B1F3A"/>
                <w:sz w:val="52"/>
              </w:rPr>
              <w:t>15,922</w:t>
            </w:r>
          </w:p>
          <w:p>
            <w:pPr>
              <w:spacing w:before="0" w:after="120" w:line="276" w:lineRule="auto"/>
            </w:pPr>
            <w:r>
              <w:rPr>
                <w:rFonts w:ascii="Calibri" w:hAnsi="Calibri"/>
                <w:b w:val="0"/>
                <w:i w:val="0"/>
                <w:color w:val="555F70"/>
                <w:sz w:val="20"/>
              </w:rPr>
              <w:t>Blocked events</w:t>
            </w:r>
          </w:p>
        </w:tc>
        <w:tc>
          <w:tcPr>
            <w:tcW w:type="dxa" w:w="2304"/>
            <w:shd w:val="clear" w:color="auto" w:fill="F5F1E8"/>
            <w:tcBorders>
              <w:top w:val="single" w:sz="4" w:color="CCCCCC"/>
              <w:bottom w:val="single" w:sz="4" w:color="CCCCCC"/>
              <w:right w:val="single" w:sz="4" w:color="CCCCCC"/>
              <w:left w:val="single" w:sz="24" w:color="F2A950"/>
            </w:tcBorders>
          </w:tcPr>
          <w:p>
            <w:pPr>
              <w:spacing w:before="120" w:after="0" w:line="276" w:lineRule="auto"/>
            </w:pPr>
            <w:r/>
            <w:r>
              <w:rPr>
                <w:rFonts w:ascii="Calibri" w:hAnsi="Calibri"/>
                <w:b/>
                <w:i w:val="0"/>
                <w:color w:val="0B1F3A"/>
                <w:sz w:val="52"/>
              </w:rPr>
              <w:t>47.5</w:t>
            </w:r>
            <w:r>
              <w:rPr>
                <w:rFonts w:ascii="Calibri" w:hAnsi="Calibri"/>
                <w:b w:val="0"/>
                <w:i w:val="0"/>
                <w:color w:val="555F70"/>
                <w:sz w:val="24"/>
              </w:rPr>
              <w:t xml:space="preserve"> %</w:t>
            </w:r>
          </w:p>
          <w:p>
            <w:pPr>
              <w:spacing w:before="0" w:after="120" w:line="276" w:lineRule="auto"/>
            </w:pPr>
            <w:r>
              <w:rPr>
                <w:rFonts w:ascii="Calibri" w:hAnsi="Calibri"/>
                <w:b w:val="0"/>
                <w:i w:val="0"/>
                <w:color w:val="555F70"/>
                <w:sz w:val="20"/>
              </w:rPr>
              <w:t>Intervention rate</w:t>
            </w:r>
          </w:p>
        </w:tc>
        <w:tc>
          <w:tcPr>
            <w:tcW w:type="dxa" w:w="2304"/>
            <w:shd w:val="clear" w:color="auto" w:fill="F5F1E8"/>
            <w:tcBorders>
              <w:top w:val="single" w:sz="4" w:color="CCCCCC"/>
              <w:bottom w:val="single" w:sz="4" w:color="CCCCCC"/>
              <w:right w:val="single" w:sz="4" w:color="CCCCCC"/>
              <w:left w:val="single" w:sz="24" w:color="4FB89E"/>
            </w:tcBorders>
          </w:tcPr>
          <w:p>
            <w:pPr>
              <w:spacing w:before="120" w:after="0" w:line="276" w:lineRule="auto"/>
            </w:pPr>
            <w:r/>
            <w:r>
              <w:rPr>
                <w:rFonts w:ascii="Calibri" w:hAnsi="Calibri"/>
                <w:b/>
                <w:i w:val="0"/>
                <w:color w:val="0B1F3A"/>
                <w:sz w:val="52"/>
              </w:rPr>
              <w:t>41</w:t>
            </w:r>
          </w:p>
          <w:p>
            <w:pPr>
              <w:spacing w:before="0" w:after="120" w:line="276" w:lineRule="auto"/>
            </w:pPr>
            <w:r>
              <w:rPr>
                <w:rFonts w:ascii="Calibri" w:hAnsi="Calibri"/>
                <w:b w:val="0"/>
                <w:i w:val="0"/>
                <w:color w:val="555F70"/>
                <w:sz w:val="20"/>
              </w:rPr>
              <w:t>Distinct users</w:t>
            </w:r>
          </w:p>
        </w:tc>
      </w:tr>
    </w:tbl>
    <w:p>
      <w:pPr>
        <w:spacing w:before="160" w:after="40" w:line="276" w:lineRule="auto"/>
      </w:pPr>
      <w:r>
        <w:rPr>
          <w:rFonts w:ascii="Calibri" w:hAnsi="Calibri"/>
          <w:b/>
          <w:i w:val="0"/>
          <w:color w:val="1A1F2E"/>
          <w:sz w:val="24"/>
        </w:rPr>
        <w:t>What the CTO should take away</w:t>
      </w:r>
    </w:p>
    <w:p>
      <w:pPr>
        <w:spacing w:before="40" w:after="40" w:line="300" w:lineRule="auto"/>
      </w:pPr>
      <w:r>
        <w:rPr>
          <w:rFonts w:ascii="Calibri" w:hAnsi="Calibri"/>
          <w:b/>
          <w:i w:val="0"/>
          <w:color w:val="0B1F3A"/>
          <w:sz w:val="20"/>
        </w:rPr>
        <w:t xml:space="preserve">■ </w:t>
      </w:r>
      <w:r>
        <w:rPr>
          <w:rFonts w:ascii="Calibri" w:hAnsi="Calibri"/>
          <w:b w:val="0"/>
          <w:i w:val="0"/>
          <w:color w:val="1A1F2E"/>
          <w:sz w:val="22"/>
        </w:rPr>
        <w:t>Block rate of 42.9% (15,922 of 37,094). These are events the policy refused outright.</w:t>
      </w:r>
    </w:p>
    <w:p>
      <w:pPr>
        <w:spacing w:before="40" w:after="40" w:line="300" w:lineRule="auto"/>
      </w:pPr>
      <w:r>
        <w:rPr>
          <w:rFonts w:ascii="Calibri" w:hAnsi="Calibri"/>
          <w:b/>
          <w:i w:val="0"/>
          <w:color w:val="0B1F3A"/>
          <w:sz w:val="20"/>
        </w:rPr>
        <w:t xml:space="preserve">■ </w:t>
      </w:r>
      <w:r>
        <w:rPr>
          <w:rFonts w:ascii="Calibri" w:hAnsi="Calibri"/>
          <w:b w:val="0"/>
          <w:i w:val="0"/>
          <w:color w:val="1A1F2E"/>
          <w:sz w:val="22"/>
        </w:rPr>
        <w:t>Modify action ran 1,706 times (4.60%). The system transformed the payload in place instead of refusing, letting the user continue.</w:t>
      </w:r>
    </w:p>
    <w:p>
      <w:pPr>
        <w:spacing w:before="40" w:after="40" w:line="300" w:lineRule="auto"/>
      </w:pPr>
      <w:r>
        <w:rPr>
          <w:rFonts w:ascii="Calibri" w:hAnsi="Calibri"/>
          <w:b/>
          <w:i w:val="0"/>
          <w:color w:val="0B1F3A"/>
          <w:sz w:val="20"/>
        </w:rPr>
        <w:t xml:space="preserve">■ </w:t>
      </w:r>
      <w:r>
        <w:rPr>
          <w:rFonts w:ascii="Calibri" w:hAnsi="Calibri"/>
          <w:b w:val="0"/>
          <w:i w:val="0"/>
          <w:color w:val="1A1F2E"/>
          <w:sz w:val="22"/>
        </w:rPr>
        <w:t>Bypass activity sits at 0.135% (50 events). Bypass events are near-zero. Users are accepting policy decisions, which is the strongest signal that the policy is trusted.</w:t>
      </w:r>
    </w:p>
    <w:p>
      <w:pPr>
        <w:spacing w:before="40" w:after="40" w:line="300" w:lineRule="auto"/>
      </w:pPr>
      <w:r>
        <w:rPr>
          <w:rFonts w:ascii="Calibri" w:hAnsi="Calibri"/>
          <w:b/>
          <w:i w:val="0"/>
          <w:color w:val="0B1F3A"/>
          <w:sz w:val="20"/>
        </w:rPr>
        <w:t xml:space="preserve">■ </w:t>
      </w:r>
      <w:r>
        <w:rPr>
          <w:rFonts w:ascii="Calibri" w:hAnsi="Calibri"/>
          <w:b w:val="0"/>
          <w:i w:val="0"/>
          <w:color w:val="1A1F2E"/>
          <w:sz w:val="22"/>
        </w:rPr>
        <w:t>Activity is extremely concentrated: a single principal drove the overwhelming majority of events, which distorts any baseline calculation until that account is understood. The top principal (drjones@flybynight.ru) drove 35,729 events (96.3% of volume).</w:t>
      </w:r>
    </w:p>
    <w:p>
      <w:pPr>
        <w:spacing w:before="160" w:after="40" w:line="276" w:lineRule="auto"/>
      </w:pPr>
      <w:r>
        <w:rPr>
          <w:rFonts w:ascii="Calibri" w:hAnsi="Calibri"/>
          <w:b/>
          <w:i w:val="0"/>
          <w:color w:val="1A1F2E"/>
          <w:sz w:val="24"/>
        </w:rPr>
        <w:t>What we recommend next</w:t>
      </w:r>
    </w:p>
    <w:p>
      <w:pPr>
        <w:spacing w:before="40" w:after="40" w:line="300" w:lineRule="auto"/>
      </w:pPr>
      <w:r>
        <w:rPr>
          <w:rFonts w:ascii="Calibri" w:hAnsi="Calibri"/>
          <w:b/>
          <w:i w:val="0"/>
          <w:color w:val="0B1F3A"/>
          <w:sz w:val="20"/>
        </w:rPr>
        <w:t xml:space="preserve">■ </w:t>
      </w:r>
      <w:r>
        <w:rPr>
          <w:rFonts w:ascii="Calibri" w:hAnsi="Calibri"/>
          <w:b w:val="0"/>
          <w:i w:val="0"/>
          <w:color w:val="1A1F2E"/>
          <w:sz w:val="22"/>
        </w:rPr>
        <w:t>Resolve the top principal: drjones@flybynight.ru. A single principal drove 96.3% of the window's volume. Pivot into SentinelOne EDR / identity from this principal's session to establish whether this is a scripted harness, a shared account, a misconfigured integration, or hostile activity. A short investigation closes the largest single-source risk in this report.</w:t>
      </w:r>
    </w:p>
    <w:p>
      <w:pPr>
        <w:spacing w:before="40" w:after="40" w:line="300" w:lineRule="auto"/>
      </w:pPr>
      <w:r>
        <w:rPr>
          <w:rFonts w:ascii="Calibri" w:hAnsi="Calibri"/>
          <w:b/>
          <w:i w:val="0"/>
          <w:color w:val="0B1F3A"/>
          <w:sz w:val="20"/>
        </w:rPr>
        <w:t xml:space="preserve">■ </w:t>
      </w:r>
      <w:r>
        <w:rPr>
          <w:rFonts w:ascii="Calibri" w:hAnsi="Calibri"/>
          <w:b w:val="0"/>
          <w:i w:val="0"/>
          <w:color w:val="1A1F2E"/>
          <w:sz w:val="22"/>
        </w:rPr>
        <w:t>Promote log-only policies to enforce. Block rate is 42.9% and bypass is 0.135%. That combination is as strong a signal as we ever get that principals accept policy decisions. Walk each currently-log-only policy and promote the ones with zero false positives.</w:t>
      </w:r>
    </w:p>
    <w:p>
      <w:pPr>
        <w:spacing w:before="40" w:after="40" w:line="300" w:lineRule="auto"/>
      </w:pPr>
      <w:r>
        <w:rPr>
          <w:rFonts w:ascii="Calibri" w:hAnsi="Calibri"/>
          <w:b/>
          <w:i w:val="0"/>
          <w:color w:val="0B1F3A"/>
          <w:sz w:val="20"/>
        </w:rPr>
        <w:t xml:space="preserve">■ </w:t>
      </w:r>
      <w:r>
        <w:rPr>
          <w:rFonts w:ascii="Calibri" w:hAnsi="Calibri"/>
          <w:b w:val="0"/>
          <w:i w:val="0"/>
          <w:color w:val="1A1F2E"/>
          <w:sz w:val="22"/>
        </w:rPr>
        <w:t>Correlate bypass with endpoint posture. Build a Custom Detection Rule that chains a Prompt Security bypass event to a SentinelOne alert of medium-or-higher severity on the same principal within 60 minutes. One rule, two data sources, one unified alert.</w:t>
      </w:r>
    </w:p>
    <w:p>
      <w:pPr>
        <w:spacing w:before="40" w:after="40" w:line="300" w:lineRule="auto"/>
      </w:pPr>
      <w:r>
        <w:rPr>
          <w:rFonts w:ascii="Calibri" w:hAnsi="Calibri"/>
          <w:b/>
          <w:i w:val="0"/>
          <w:color w:val="0B1F3A"/>
          <w:sz w:val="20"/>
        </w:rPr>
        <w:t xml:space="preserve">■ </w:t>
      </w:r>
      <w:r>
        <w:rPr>
          <w:rFonts w:ascii="Calibri" w:hAnsi="Calibri"/>
          <w:b w:val="0"/>
          <w:i w:val="0"/>
          <w:color w:val="1A1F2E"/>
          <w:sz w:val="22"/>
        </w:rPr>
        <w:t>Enrich ingestion where it is shallow. Today, Prompt Security events land with a subset of fields populated. Check whether prompt / payload / content is null; adding even one content field unlocks content-based detection and Purple AI hunts against the same data lake.</w:t>
      </w:r>
    </w:p>
    <w:p>
      <w:pPr>
        <w:spacing w:before="0" w:after="0" w:line="276" w:lineRule="auto"/>
      </w:pPr>
      <w:r>
        <w:br w:type="page"/>
      </w:r>
    </w:p>
    <w:p>
      <w:pPr>
        <w:spacing w:before="360" w:after="120" w:line="276" w:lineRule="auto"/>
        <w:pBdr>
          <w:bottom w:val="single" w:sz="8" w:color="0B1F3A" w:space="4"/>
        </w:pBdr>
      </w:pPr>
      <w:r>
        <w:rPr>
          <w:rFonts w:ascii="Calibri" w:hAnsi="Calibri"/>
          <w:b/>
          <w:i w:val="0"/>
          <w:color w:val="0B1F3A"/>
          <w:sz w:val="40"/>
        </w:rPr>
        <w:t>Volume and timing</w:t>
      </w:r>
    </w:p>
    <w:p>
      <w:pPr>
        <w:spacing w:before="40" w:after="120" w:line="300" w:lineRule="auto"/>
      </w:pPr>
      <w:r>
        <w:rPr>
          <w:rFonts w:ascii="Calibri" w:hAnsi="Calibri"/>
          <w:b w:val="0"/>
          <w:i w:val="0"/>
          <w:color w:val="1A1F2E"/>
          <w:sz w:val="22"/>
        </w:rPr>
        <w:t>Daily event count for Prompt Security, stacked by policy action where available. The timeline lets you see whether volume is steady, bursty, or driven by a handful of incidents during the window.</w:t>
      </w:r>
    </w:p>
    <w:p>
      <w:pPr>
        <w:spacing w:before="120" w:after="80" w:line="276" w:lineRule="auto"/>
        <w:jc w:val="center"/>
      </w:pPr>
      <w:r>
        <w:drawing>
          <wp:inline xmlns:a="http://schemas.openxmlformats.org/drawingml/2006/main" xmlns:pic="http://schemas.openxmlformats.org/drawingml/2006/picture">
            <wp:extent cx="6035040" cy="3199449"/>
            <wp:docPr id="1" name="Picture 1"/>
            <wp:cNvGraphicFramePr>
              <a:graphicFrameLocks noChangeAspect="1"/>
            </wp:cNvGraphicFramePr>
            <a:graphic>
              <a:graphicData uri="http://schemas.openxmlformats.org/drawingml/2006/picture">
                <pic:pic>
                  <pic:nvPicPr>
                    <pic:cNvPr id="0" name="02_daily_timeline.png"/>
                    <pic:cNvPicPr/>
                  </pic:nvPicPr>
                  <pic:blipFill>
                    <a:blip r:embed="rId11"/>
                    <a:stretch>
                      <a:fillRect/>
                    </a:stretch>
                  </pic:blipFill>
                  <pic:spPr>
                    <a:xfrm>
                      <a:off x="0" y="0"/>
                      <a:ext cx="6035040" cy="3199449"/>
                    </a:xfrm>
                    <a:prstGeom prst="rect"/>
                  </pic:spPr>
                </pic:pic>
              </a:graphicData>
            </a:graphic>
          </wp:inline>
        </w:drawing>
      </w:r>
    </w:p>
    <w:p>
      <w:pPr>
        <w:spacing w:before="0" w:after="160" w:line="276" w:lineRule="auto"/>
        <w:jc w:val="center"/>
      </w:pPr>
      <w:r>
        <w:rPr>
          <w:rFonts w:ascii="Calibri" w:hAnsi="Calibri"/>
          <w:b w:val="0"/>
          <w:i/>
          <w:color w:val="555F70"/>
          <w:sz w:val="18"/>
        </w:rPr>
        <w:t>Timeline of Prompt Security events across the window.</w:t>
      </w:r>
    </w:p>
    <w:p>
      <w:pPr>
        <w:spacing w:before="280" w:after="80" w:line="276" w:lineRule="auto"/>
      </w:pPr>
      <w:r>
        <w:rPr>
          <w:rFonts w:ascii="Calibri" w:hAnsi="Calibri"/>
          <w:b/>
          <w:i w:val="0"/>
          <w:color w:val="0B1F3A"/>
          <w:sz w:val="28"/>
        </w:rPr>
        <w:t>What the shape tells us</w:t>
      </w:r>
    </w:p>
    <w:p>
      <w:pPr>
        <w:spacing w:before="40" w:after="40" w:line="300" w:lineRule="auto"/>
      </w:pPr>
      <w:r>
        <w:rPr>
          <w:rFonts w:ascii="Calibri" w:hAnsi="Calibri"/>
          <w:b/>
          <w:i w:val="0"/>
          <w:color w:val="0B1F3A"/>
          <w:sz w:val="20"/>
        </w:rPr>
        <w:t xml:space="preserve">■ </w:t>
      </w:r>
      <w:r>
        <w:rPr>
          <w:rFonts w:ascii="Calibri" w:hAnsi="Calibri"/>
          <w:b w:val="0"/>
          <w:i w:val="0"/>
          <w:color w:val="1A1F2E"/>
          <w:sz w:val="22"/>
        </w:rPr>
        <w:t>Uneven but not pathological: the busiest slice (2026-04-15, 17,971 events) carried 48.0% of the window. A normal mix of bursty and quiet periods.</w:t>
      </w:r>
    </w:p>
    <w:p>
      <w:pPr>
        <w:spacing w:before="40" w:after="40" w:line="300" w:lineRule="auto"/>
      </w:pPr>
      <w:r>
        <w:rPr>
          <w:rFonts w:ascii="Calibri" w:hAnsi="Calibri"/>
          <w:b/>
          <w:i w:val="0"/>
          <w:color w:val="0B1F3A"/>
          <w:sz w:val="20"/>
        </w:rPr>
        <w:t xml:space="preserve">■ </w:t>
      </w:r>
      <w:r>
        <w:rPr>
          <w:rFonts w:ascii="Calibri" w:hAnsi="Calibri"/>
          <w:b w:val="0"/>
          <w:i w:val="0"/>
          <w:color w:val="1A1F2E"/>
          <w:sz w:val="22"/>
        </w:rPr>
        <w:t>Dominant action across the window: 'log'. Check whether the ratio of 'log' to the next action stays stable across slices; drift is a useful early signal for policy change.</w:t>
      </w:r>
    </w:p>
    <w:p>
      <w:pPr>
        <w:spacing w:before="360" w:after="120" w:line="276" w:lineRule="auto"/>
        <w:pBdr>
          <w:bottom w:val="single" w:sz="8" w:color="0B1F3A" w:space="4"/>
        </w:pBdr>
      </w:pPr>
      <w:r>
        <w:rPr>
          <w:rFonts w:ascii="Calibri" w:hAnsi="Calibri"/>
          <w:b/>
          <w:i w:val="0"/>
          <w:color w:val="0B1F3A"/>
          <w:sz w:val="40"/>
        </w:rPr>
        <w:t>Policy action mix</w:t>
      </w:r>
    </w:p>
    <w:p>
      <w:pPr>
        <w:spacing w:before="40" w:after="120" w:line="300" w:lineRule="auto"/>
      </w:pPr>
      <w:r>
        <w:rPr>
          <w:rFonts w:ascii="Calibri" w:hAnsi="Calibri"/>
          <w:b w:val="0"/>
          <w:i w:val="0"/>
          <w:color w:val="1A1F2E"/>
          <w:sz w:val="22"/>
        </w:rPr>
        <w:t>Every Prompt Security event terminates in one of a small set of outcomes. The mix is the most compact answer to 'what is this policy doing for us'.</w:t>
      </w:r>
    </w:p>
    <w:p>
      <w:pPr>
        <w:spacing w:before="120" w:after="80" w:line="276" w:lineRule="auto"/>
        <w:jc w:val="center"/>
      </w:pPr>
      <w:r>
        <w:drawing>
          <wp:inline xmlns:a="http://schemas.openxmlformats.org/drawingml/2006/main" xmlns:pic="http://schemas.openxmlformats.org/drawingml/2006/picture">
            <wp:extent cx="5486400" cy="3155304"/>
            <wp:docPr id="2" name="Picture 2"/>
            <wp:cNvGraphicFramePr>
              <a:graphicFrameLocks noChangeAspect="1"/>
            </wp:cNvGraphicFramePr>
            <a:graphic>
              <a:graphicData uri="http://schemas.openxmlformats.org/drawingml/2006/picture">
                <pic:pic>
                  <pic:nvPicPr>
                    <pic:cNvPr id="0" name="01_action_mix.png"/>
                    <pic:cNvPicPr/>
                  </pic:nvPicPr>
                  <pic:blipFill>
                    <a:blip r:embed="rId12"/>
                    <a:stretch>
                      <a:fillRect/>
                    </a:stretch>
                  </pic:blipFill>
                  <pic:spPr>
                    <a:xfrm>
                      <a:off x="0" y="0"/>
                      <a:ext cx="5486400" cy="3155304"/>
                    </a:xfrm>
                    <a:prstGeom prst="rect"/>
                  </pic:spPr>
                </pic:pic>
              </a:graphicData>
            </a:graphic>
          </wp:inline>
        </w:drawing>
      </w:r>
    </w:p>
    <w:p>
      <w:pPr>
        <w:spacing w:before="0" w:after="160" w:line="276" w:lineRule="auto"/>
        <w:jc w:val="center"/>
      </w:pPr>
      <w:r>
        <w:rPr>
          <w:rFonts w:ascii="Calibri" w:hAnsi="Calibri"/>
          <w:b w:val="0"/>
          <w:i/>
          <w:color w:val="555F70"/>
          <w:sz w:val="18"/>
        </w:rPr>
        <w:t>7d distribution of action outcomes across 37,094 events.</w:t>
      </w:r>
    </w:p>
    <w:p>
      <w:pPr>
        <w:spacing w:before="160" w:after="40" w:line="276" w:lineRule="auto"/>
      </w:pPr>
      <w:r>
        <w:rPr>
          <w:rFonts w:ascii="Calibri" w:hAnsi="Calibri"/>
          <w:b/>
          <w:i w:val="0"/>
          <w:color w:val="1A1F2E"/>
          <w:sz w:val="24"/>
        </w:rPr>
        <w:t>What each action means</w:t>
      </w:r>
    </w:p>
    <w:tbl>
      <w:tblPr>
        <w:tblW w:type="auto" w:w="0"/>
        <w:tblLayout w:type="fixed"/>
        <w:tblLook w:firstColumn="1" w:firstRow="1" w:lastColumn="0" w:lastRow="0" w:noHBand="0" w:noVBand="1" w:val="04A0"/>
      </w:tblPr>
      <w:tblGrid>
        <w:gridCol w:w="1296"/>
        <w:gridCol w:w="1728"/>
        <w:gridCol w:w="1440"/>
        <w:gridCol w:w="4752"/>
      </w:tblGrid>
      <w:tr>
        <w:tc>
          <w:tcPr>
            <w:tcW w:type="dxa" w:w="1296"/>
            <w:shd w:val="clear" w:color="auto" w:fill="0B1F3A"/>
            <w:tcBorders>
              <w:top w:val="single" w:sz="4" w:color="0B1F3A"/>
              <w:left w:val="single" w:sz="4" w:color="0B1F3A"/>
              <w:bottom w:val="single" w:sz="4" w:color="0B1F3A"/>
              <w:right w:val="single" w:sz="4" w:color="0B1F3A"/>
            </w:tcBorders>
          </w:tcPr>
          <w:p>
            <w:pPr>
              <w:spacing w:before="60" w:after="60" w:line="276" w:lineRule="auto"/>
            </w:pPr>
            <w:r/>
            <w:r>
              <w:rPr>
                <w:rFonts w:ascii="Calibri" w:hAnsi="Calibri"/>
                <w:b/>
                <w:i w:val="0"/>
                <w:color w:val="FFFFFF"/>
                <w:sz w:val="21"/>
              </w:rPr>
              <w:t>Action</w:t>
            </w:r>
          </w:p>
        </w:tc>
        <w:tc>
          <w:tcPr>
            <w:tcW w:type="dxa" w:w="1728"/>
            <w:shd w:val="clear" w:color="auto" w:fill="0B1F3A"/>
            <w:tcBorders>
              <w:top w:val="single" w:sz="4" w:color="0B1F3A"/>
              <w:left w:val="single" w:sz="4" w:color="0B1F3A"/>
              <w:bottom w:val="single" w:sz="4" w:color="0B1F3A"/>
              <w:right w:val="single" w:sz="4" w:color="0B1F3A"/>
            </w:tcBorders>
          </w:tcPr>
          <w:p>
            <w:pPr>
              <w:spacing w:before="60" w:after="60" w:line="276" w:lineRule="auto"/>
            </w:pPr>
            <w:r/>
            <w:r>
              <w:rPr>
                <w:rFonts w:ascii="Calibri" w:hAnsi="Calibri"/>
                <w:b/>
                <w:i w:val="0"/>
                <w:color w:val="FFFFFF"/>
                <w:sz w:val="21"/>
              </w:rPr>
              <w:t>Count</w:t>
            </w:r>
          </w:p>
        </w:tc>
        <w:tc>
          <w:tcPr>
            <w:tcW w:type="dxa" w:w="1440"/>
            <w:shd w:val="clear" w:color="auto" w:fill="0B1F3A"/>
            <w:tcBorders>
              <w:top w:val="single" w:sz="4" w:color="0B1F3A"/>
              <w:left w:val="single" w:sz="4" w:color="0B1F3A"/>
              <w:bottom w:val="single" w:sz="4" w:color="0B1F3A"/>
              <w:right w:val="single" w:sz="4" w:color="0B1F3A"/>
            </w:tcBorders>
          </w:tcPr>
          <w:p>
            <w:pPr>
              <w:spacing w:before="60" w:after="60" w:line="276" w:lineRule="auto"/>
            </w:pPr>
            <w:r/>
            <w:r>
              <w:rPr>
                <w:rFonts w:ascii="Calibri" w:hAnsi="Calibri"/>
                <w:b/>
                <w:i w:val="0"/>
                <w:color w:val="FFFFFF"/>
                <w:sz w:val="21"/>
              </w:rPr>
              <w:t>% of total</w:t>
            </w:r>
          </w:p>
        </w:tc>
        <w:tc>
          <w:tcPr>
            <w:tcW w:type="dxa" w:w="4752"/>
            <w:shd w:val="clear" w:color="auto" w:fill="0B1F3A"/>
            <w:tcBorders>
              <w:top w:val="single" w:sz="4" w:color="0B1F3A"/>
              <w:left w:val="single" w:sz="4" w:color="0B1F3A"/>
              <w:bottom w:val="single" w:sz="4" w:color="0B1F3A"/>
              <w:right w:val="single" w:sz="4" w:color="0B1F3A"/>
            </w:tcBorders>
          </w:tcPr>
          <w:p>
            <w:pPr>
              <w:spacing w:before="60" w:after="60" w:line="276" w:lineRule="auto"/>
            </w:pPr>
            <w:r/>
            <w:r>
              <w:rPr>
                <w:rFonts w:ascii="Calibri" w:hAnsi="Calibri"/>
                <w:b/>
                <w:i w:val="0"/>
                <w:color w:val="FFFFFF"/>
                <w:sz w:val="21"/>
              </w:rPr>
              <w:t>Typical meaning</w:t>
            </w:r>
          </w:p>
        </w:tc>
      </w:tr>
      <w:tr>
        <w:tc>
          <w:tcPr>
            <w:tcW w:type="dxa" w:w="1296"/>
            <w:shd w:val="clear" w:color="auto" w:fill="EEF1F3"/>
            <w:tcBorders>
              <w:top w:val="single" w:sz="4" w:color="CCCCCC"/>
              <w:left w:val="single" w:sz="4" w:color="CCCCCC"/>
              <w:bottom w:val="single" w:sz="4" w:color="CCCCCC"/>
              <w:right w:val="single" w:sz="4" w:color="CCCCCC"/>
            </w:tcBorders>
          </w:tcPr>
          <w:p>
            <w:pPr>
              <w:spacing w:before="60" w:after="60" w:line="276" w:lineRule="auto"/>
            </w:pPr>
            <w:r/>
            <w:r>
              <w:rPr>
                <w:rFonts w:ascii="Calibri" w:hAnsi="Calibri"/>
                <w:b/>
                <w:i w:val="0"/>
                <w:color w:val="1A1F2E"/>
                <w:sz w:val="21"/>
              </w:rPr>
              <w:t>LOG</w:t>
            </w:r>
          </w:p>
        </w:tc>
        <w:tc>
          <w:tcPr>
            <w:tcW w:type="dxa" w:w="1728"/>
            <w:shd w:val="clear" w:color="auto" w:fill="EEF1F3"/>
            <w:tcBorders>
              <w:top w:val="single" w:sz="4" w:color="CCCCCC"/>
              <w:left w:val="single" w:sz="4" w:color="CCCCCC"/>
              <w:bottom w:val="single" w:sz="4" w:color="CCCCCC"/>
              <w:right w:val="single" w:sz="4" w:color="CCCCCC"/>
            </w:tcBorders>
          </w:tcPr>
          <w:p>
            <w:pPr>
              <w:spacing w:before="60" w:after="60" w:line="276" w:lineRule="auto"/>
            </w:pPr>
            <w:r/>
            <w:r>
              <w:rPr>
                <w:rFonts w:ascii="Calibri" w:hAnsi="Calibri"/>
                <w:b w:val="0"/>
                <w:i w:val="0"/>
                <w:color w:val="1A1F2E"/>
                <w:sz w:val="21"/>
              </w:rPr>
              <w:t>19,213</w:t>
            </w:r>
          </w:p>
        </w:tc>
        <w:tc>
          <w:tcPr>
            <w:tcW w:type="dxa" w:w="1440"/>
            <w:shd w:val="clear" w:color="auto" w:fill="EEF1F3"/>
            <w:tcBorders>
              <w:top w:val="single" w:sz="4" w:color="CCCCCC"/>
              <w:left w:val="single" w:sz="4" w:color="CCCCCC"/>
              <w:bottom w:val="single" w:sz="4" w:color="CCCCCC"/>
              <w:right w:val="single" w:sz="4" w:color="CCCCCC"/>
            </w:tcBorders>
          </w:tcPr>
          <w:p>
            <w:pPr>
              <w:spacing w:before="60" w:after="60" w:line="276" w:lineRule="auto"/>
            </w:pPr>
            <w:r/>
            <w:r>
              <w:rPr>
                <w:rFonts w:ascii="Calibri" w:hAnsi="Calibri"/>
                <w:b w:val="0"/>
                <w:i w:val="0"/>
                <w:color w:val="1A1F2E"/>
                <w:sz w:val="21"/>
              </w:rPr>
              <w:t>51.8%</w:t>
            </w:r>
          </w:p>
        </w:tc>
        <w:tc>
          <w:tcPr>
            <w:tcW w:type="dxa" w:w="4752"/>
            <w:shd w:val="clear" w:color="auto" w:fill="EEF1F3"/>
            <w:tcBorders>
              <w:top w:val="single" w:sz="4" w:color="CCCCCC"/>
              <w:left w:val="single" w:sz="4" w:color="CCCCCC"/>
              <w:bottom w:val="single" w:sz="4" w:color="CCCCCC"/>
              <w:right w:val="single" w:sz="4" w:color="CCCCCC"/>
            </w:tcBorders>
          </w:tcPr>
          <w:p>
            <w:pPr>
              <w:spacing w:before="60" w:after="60" w:line="276" w:lineRule="auto"/>
            </w:pPr>
            <w:r/>
            <w:r>
              <w:rPr>
                <w:rFonts w:ascii="Calibri" w:hAnsi="Calibri"/>
                <w:b w:val="0"/>
                <w:i w:val="0"/>
                <w:color w:val="1A1F2E"/>
                <w:sz w:val="21"/>
              </w:rPr>
              <w:t>Event allowed, recorded for audit.</w:t>
            </w:r>
          </w:p>
        </w:tc>
      </w:tr>
      <w:tr>
        <w:tc>
          <w:tcPr>
            <w:tcW w:type="dxa" w:w="1296"/>
            <w:shd w:val="clear" w:color="auto" w:fill="FDECEE"/>
            <w:tcBorders>
              <w:top w:val="single" w:sz="4" w:color="CCCCCC"/>
              <w:left w:val="single" w:sz="4" w:color="CCCCCC"/>
              <w:bottom w:val="single" w:sz="4" w:color="CCCCCC"/>
              <w:right w:val="single" w:sz="4" w:color="CCCCCC"/>
            </w:tcBorders>
          </w:tcPr>
          <w:p>
            <w:pPr>
              <w:spacing w:before="60" w:after="60" w:line="276" w:lineRule="auto"/>
            </w:pPr>
            <w:r/>
            <w:r>
              <w:rPr>
                <w:rFonts w:ascii="Calibri" w:hAnsi="Calibri"/>
                <w:b/>
                <w:i w:val="0"/>
                <w:color w:val="1A1F2E"/>
                <w:sz w:val="21"/>
              </w:rPr>
              <w:t>BLOCK</w:t>
            </w:r>
          </w:p>
        </w:tc>
        <w:tc>
          <w:tcPr>
            <w:tcW w:type="dxa" w:w="1728"/>
            <w:shd w:val="clear" w:color="auto" w:fill="FDECEE"/>
            <w:tcBorders>
              <w:top w:val="single" w:sz="4" w:color="CCCCCC"/>
              <w:left w:val="single" w:sz="4" w:color="CCCCCC"/>
              <w:bottom w:val="single" w:sz="4" w:color="CCCCCC"/>
              <w:right w:val="single" w:sz="4" w:color="CCCCCC"/>
            </w:tcBorders>
          </w:tcPr>
          <w:p>
            <w:pPr>
              <w:spacing w:before="60" w:after="60" w:line="276" w:lineRule="auto"/>
            </w:pPr>
            <w:r/>
            <w:r>
              <w:rPr>
                <w:rFonts w:ascii="Calibri" w:hAnsi="Calibri"/>
                <w:b w:val="0"/>
                <w:i w:val="0"/>
                <w:color w:val="1A1F2E"/>
                <w:sz w:val="21"/>
              </w:rPr>
              <w:t>15,922</w:t>
            </w:r>
          </w:p>
        </w:tc>
        <w:tc>
          <w:tcPr>
            <w:tcW w:type="dxa" w:w="1440"/>
            <w:shd w:val="clear" w:color="auto" w:fill="FDECEE"/>
            <w:tcBorders>
              <w:top w:val="single" w:sz="4" w:color="CCCCCC"/>
              <w:left w:val="single" w:sz="4" w:color="CCCCCC"/>
              <w:bottom w:val="single" w:sz="4" w:color="CCCCCC"/>
              <w:right w:val="single" w:sz="4" w:color="CCCCCC"/>
            </w:tcBorders>
          </w:tcPr>
          <w:p>
            <w:pPr>
              <w:spacing w:before="60" w:after="60" w:line="276" w:lineRule="auto"/>
            </w:pPr>
            <w:r/>
            <w:r>
              <w:rPr>
                <w:rFonts w:ascii="Calibri" w:hAnsi="Calibri"/>
                <w:b w:val="0"/>
                <w:i w:val="0"/>
                <w:color w:val="1A1F2E"/>
                <w:sz w:val="21"/>
              </w:rPr>
              <w:t>42.9%</w:t>
            </w:r>
          </w:p>
        </w:tc>
        <w:tc>
          <w:tcPr>
            <w:tcW w:type="dxa" w:w="4752"/>
            <w:shd w:val="clear" w:color="auto" w:fill="FDECEE"/>
            <w:tcBorders>
              <w:top w:val="single" w:sz="4" w:color="CCCCCC"/>
              <w:left w:val="single" w:sz="4" w:color="CCCCCC"/>
              <w:bottom w:val="single" w:sz="4" w:color="CCCCCC"/>
              <w:right w:val="single" w:sz="4" w:color="CCCCCC"/>
            </w:tcBorders>
          </w:tcPr>
          <w:p>
            <w:pPr>
              <w:spacing w:before="60" w:after="60" w:line="276" w:lineRule="auto"/>
            </w:pPr>
            <w:r/>
            <w:r>
              <w:rPr>
                <w:rFonts w:ascii="Calibri" w:hAnsi="Calibri"/>
                <w:b w:val="0"/>
                <w:i w:val="0"/>
                <w:color w:val="1A1F2E"/>
                <w:sz w:val="21"/>
              </w:rPr>
              <w:t>Event refused by policy; the request was not completed.</w:t>
            </w:r>
          </w:p>
        </w:tc>
      </w:tr>
      <w:tr>
        <w:tc>
          <w:tcPr>
            <w:tcW w:type="dxa" w:w="1296"/>
            <w:shd w:val="clear" w:color="auto" w:fill="FEF4E7"/>
            <w:tcBorders>
              <w:top w:val="single" w:sz="4" w:color="CCCCCC"/>
              <w:left w:val="single" w:sz="4" w:color="CCCCCC"/>
              <w:bottom w:val="single" w:sz="4" w:color="CCCCCC"/>
              <w:right w:val="single" w:sz="4" w:color="CCCCCC"/>
            </w:tcBorders>
          </w:tcPr>
          <w:p>
            <w:pPr>
              <w:spacing w:before="60" w:after="60" w:line="276" w:lineRule="auto"/>
            </w:pPr>
            <w:r/>
            <w:r>
              <w:rPr>
                <w:rFonts w:ascii="Calibri" w:hAnsi="Calibri"/>
                <w:b/>
                <w:i w:val="0"/>
                <w:color w:val="1A1F2E"/>
                <w:sz w:val="21"/>
              </w:rPr>
              <w:t>MODIFY</w:t>
            </w:r>
          </w:p>
        </w:tc>
        <w:tc>
          <w:tcPr>
            <w:tcW w:type="dxa" w:w="1728"/>
            <w:shd w:val="clear" w:color="auto" w:fill="FEF4E7"/>
            <w:tcBorders>
              <w:top w:val="single" w:sz="4" w:color="CCCCCC"/>
              <w:left w:val="single" w:sz="4" w:color="CCCCCC"/>
              <w:bottom w:val="single" w:sz="4" w:color="CCCCCC"/>
              <w:right w:val="single" w:sz="4" w:color="CCCCCC"/>
            </w:tcBorders>
          </w:tcPr>
          <w:p>
            <w:pPr>
              <w:spacing w:before="60" w:after="60" w:line="276" w:lineRule="auto"/>
            </w:pPr>
            <w:r/>
            <w:r>
              <w:rPr>
                <w:rFonts w:ascii="Calibri" w:hAnsi="Calibri"/>
                <w:b w:val="0"/>
                <w:i w:val="0"/>
                <w:color w:val="1A1F2E"/>
                <w:sz w:val="21"/>
              </w:rPr>
              <w:t>1,706</w:t>
            </w:r>
          </w:p>
        </w:tc>
        <w:tc>
          <w:tcPr>
            <w:tcW w:type="dxa" w:w="1440"/>
            <w:shd w:val="clear" w:color="auto" w:fill="FEF4E7"/>
            <w:tcBorders>
              <w:top w:val="single" w:sz="4" w:color="CCCCCC"/>
              <w:left w:val="single" w:sz="4" w:color="CCCCCC"/>
              <w:bottom w:val="single" w:sz="4" w:color="CCCCCC"/>
              <w:right w:val="single" w:sz="4" w:color="CCCCCC"/>
            </w:tcBorders>
          </w:tcPr>
          <w:p>
            <w:pPr>
              <w:spacing w:before="60" w:after="60" w:line="276" w:lineRule="auto"/>
            </w:pPr>
            <w:r/>
            <w:r>
              <w:rPr>
                <w:rFonts w:ascii="Calibri" w:hAnsi="Calibri"/>
                <w:b w:val="0"/>
                <w:i w:val="0"/>
                <w:color w:val="1A1F2E"/>
                <w:sz w:val="21"/>
              </w:rPr>
              <w:t>4.6%</w:t>
            </w:r>
          </w:p>
        </w:tc>
        <w:tc>
          <w:tcPr>
            <w:tcW w:type="dxa" w:w="4752"/>
            <w:shd w:val="clear" w:color="auto" w:fill="FEF4E7"/>
            <w:tcBorders>
              <w:top w:val="single" w:sz="4" w:color="CCCCCC"/>
              <w:left w:val="single" w:sz="4" w:color="CCCCCC"/>
              <w:bottom w:val="single" w:sz="4" w:color="CCCCCC"/>
              <w:right w:val="single" w:sz="4" w:color="CCCCCC"/>
            </w:tcBorders>
          </w:tcPr>
          <w:p>
            <w:pPr>
              <w:spacing w:before="60" w:after="60" w:line="276" w:lineRule="auto"/>
            </w:pPr>
            <w:r/>
            <w:r>
              <w:rPr>
                <w:rFonts w:ascii="Calibri" w:hAnsi="Calibri"/>
                <w:b w:val="0"/>
                <w:i w:val="0"/>
                <w:color w:val="1A1F2E"/>
                <w:sz w:val="21"/>
              </w:rPr>
              <w:t>Payload rewritten in place and forwarded (eg. PII redacted).</w:t>
            </w:r>
          </w:p>
        </w:tc>
      </w:tr>
      <w:tr>
        <w:tc>
          <w:tcPr>
            <w:tcW w:type="dxa" w:w="1296"/>
            <w:shd w:val="clear" w:color="auto" w:fill="F3F4F5"/>
            <w:tcBorders>
              <w:top w:val="single" w:sz="4" w:color="CCCCCC"/>
              <w:left w:val="single" w:sz="4" w:color="CCCCCC"/>
              <w:bottom w:val="single" w:sz="4" w:color="CCCCCC"/>
              <w:right w:val="single" w:sz="4" w:color="CCCCCC"/>
            </w:tcBorders>
          </w:tcPr>
          <w:p>
            <w:pPr>
              <w:spacing w:before="60" w:after="60" w:line="276" w:lineRule="auto"/>
            </w:pPr>
            <w:r/>
            <w:r>
              <w:rPr>
                <w:rFonts w:ascii="Calibri" w:hAnsi="Calibri"/>
                <w:b/>
                <w:i w:val="0"/>
                <w:color w:val="1A1F2E"/>
                <w:sz w:val="21"/>
              </w:rPr>
              <w:t>(no action)</w:t>
            </w:r>
          </w:p>
        </w:tc>
        <w:tc>
          <w:tcPr>
            <w:tcW w:type="dxa" w:w="1728"/>
            <w:shd w:val="clear" w:color="auto" w:fill="F3F4F5"/>
            <w:tcBorders>
              <w:top w:val="single" w:sz="4" w:color="CCCCCC"/>
              <w:left w:val="single" w:sz="4" w:color="CCCCCC"/>
              <w:bottom w:val="single" w:sz="4" w:color="CCCCCC"/>
              <w:right w:val="single" w:sz="4" w:color="CCCCCC"/>
            </w:tcBorders>
          </w:tcPr>
          <w:p>
            <w:pPr>
              <w:spacing w:before="60" w:after="60" w:line="276" w:lineRule="auto"/>
            </w:pPr>
            <w:r/>
            <w:r>
              <w:rPr>
                <w:rFonts w:ascii="Calibri" w:hAnsi="Calibri"/>
                <w:b w:val="0"/>
                <w:i w:val="0"/>
                <w:color w:val="1A1F2E"/>
                <w:sz w:val="21"/>
              </w:rPr>
              <w:t>203</w:t>
            </w:r>
          </w:p>
        </w:tc>
        <w:tc>
          <w:tcPr>
            <w:tcW w:type="dxa" w:w="1440"/>
            <w:shd w:val="clear" w:color="auto" w:fill="F3F4F5"/>
            <w:tcBorders>
              <w:top w:val="single" w:sz="4" w:color="CCCCCC"/>
              <w:left w:val="single" w:sz="4" w:color="CCCCCC"/>
              <w:bottom w:val="single" w:sz="4" w:color="CCCCCC"/>
              <w:right w:val="single" w:sz="4" w:color="CCCCCC"/>
            </w:tcBorders>
          </w:tcPr>
          <w:p>
            <w:pPr>
              <w:spacing w:before="60" w:after="60" w:line="276" w:lineRule="auto"/>
            </w:pPr>
            <w:r/>
            <w:r>
              <w:rPr>
                <w:rFonts w:ascii="Calibri" w:hAnsi="Calibri"/>
                <w:b w:val="0"/>
                <w:i w:val="0"/>
                <w:color w:val="1A1F2E"/>
                <w:sz w:val="21"/>
              </w:rPr>
              <w:t>0.5%</w:t>
            </w:r>
          </w:p>
        </w:tc>
        <w:tc>
          <w:tcPr>
            <w:tcW w:type="dxa" w:w="4752"/>
            <w:shd w:val="clear" w:color="auto" w:fill="F3F4F5"/>
            <w:tcBorders>
              <w:top w:val="single" w:sz="4" w:color="CCCCCC"/>
              <w:left w:val="single" w:sz="4" w:color="CCCCCC"/>
              <w:bottom w:val="single" w:sz="4" w:color="CCCCCC"/>
              <w:right w:val="single" w:sz="4" w:color="CCCCCC"/>
            </w:tcBorders>
          </w:tcPr>
          <w:p>
            <w:pPr>
              <w:spacing w:before="60" w:after="60" w:line="276" w:lineRule="auto"/>
            </w:pPr>
            <w:r/>
            <w:r>
              <w:rPr>
                <w:rFonts w:ascii="Calibri" w:hAnsi="Calibri"/>
                <w:b w:val="0"/>
                <w:i w:val="0"/>
                <w:color w:val="1A1F2E"/>
                <w:sz w:val="21"/>
              </w:rPr>
              <w:t>No action field recorded; typically internal or system traffic.</w:t>
            </w:r>
          </w:p>
        </w:tc>
      </w:tr>
      <w:tr>
        <w:tc>
          <w:tcPr>
            <w:tcW w:type="dxa" w:w="1296"/>
            <w:shd w:val="clear" w:color="auto" w:fill="E7F5F1"/>
            <w:tcBorders>
              <w:top w:val="single" w:sz="4" w:color="CCCCCC"/>
              <w:left w:val="single" w:sz="4" w:color="CCCCCC"/>
              <w:bottom w:val="single" w:sz="4" w:color="CCCCCC"/>
              <w:right w:val="single" w:sz="4" w:color="CCCCCC"/>
            </w:tcBorders>
          </w:tcPr>
          <w:p>
            <w:pPr>
              <w:spacing w:before="60" w:after="60" w:line="276" w:lineRule="auto"/>
            </w:pPr>
            <w:r/>
            <w:r>
              <w:rPr>
                <w:rFonts w:ascii="Calibri" w:hAnsi="Calibri"/>
                <w:b/>
                <w:i w:val="0"/>
                <w:color w:val="1A1F2E"/>
                <w:sz w:val="21"/>
              </w:rPr>
              <w:t>BYPASS</w:t>
            </w:r>
          </w:p>
        </w:tc>
        <w:tc>
          <w:tcPr>
            <w:tcW w:type="dxa" w:w="1728"/>
            <w:shd w:val="clear" w:color="auto" w:fill="E7F5F1"/>
            <w:tcBorders>
              <w:top w:val="single" w:sz="4" w:color="CCCCCC"/>
              <w:left w:val="single" w:sz="4" w:color="CCCCCC"/>
              <w:bottom w:val="single" w:sz="4" w:color="CCCCCC"/>
              <w:right w:val="single" w:sz="4" w:color="CCCCCC"/>
            </w:tcBorders>
          </w:tcPr>
          <w:p>
            <w:pPr>
              <w:spacing w:before="60" w:after="60" w:line="276" w:lineRule="auto"/>
            </w:pPr>
            <w:r/>
            <w:r>
              <w:rPr>
                <w:rFonts w:ascii="Calibri" w:hAnsi="Calibri"/>
                <w:b w:val="0"/>
                <w:i w:val="0"/>
                <w:color w:val="1A1F2E"/>
                <w:sz w:val="21"/>
              </w:rPr>
              <w:t>50</w:t>
            </w:r>
          </w:p>
        </w:tc>
        <w:tc>
          <w:tcPr>
            <w:tcW w:type="dxa" w:w="1440"/>
            <w:shd w:val="clear" w:color="auto" w:fill="E7F5F1"/>
            <w:tcBorders>
              <w:top w:val="single" w:sz="4" w:color="CCCCCC"/>
              <w:left w:val="single" w:sz="4" w:color="CCCCCC"/>
              <w:bottom w:val="single" w:sz="4" w:color="CCCCCC"/>
              <w:right w:val="single" w:sz="4" w:color="CCCCCC"/>
            </w:tcBorders>
          </w:tcPr>
          <w:p>
            <w:pPr>
              <w:spacing w:before="60" w:after="60" w:line="276" w:lineRule="auto"/>
            </w:pPr>
            <w:r/>
            <w:r>
              <w:rPr>
                <w:rFonts w:ascii="Calibri" w:hAnsi="Calibri"/>
                <w:b w:val="0"/>
                <w:i w:val="0"/>
                <w:color w:val="1A1F2E"/>
                <w:sz w:val="21"/>
              </w:rPr>
              <w:t>0.1%</w:t>
            </w:r>
          </w:p>
        </w:tc>
        <w:tc>
          <w:tcPr>
            <w:tcW w:type="dxa" w:w="4752"/>
            <w:shd w:val="clear" w:color="auto" w:fill="E7F5F1"/>
            <w:tcBorders>
              <w:top w:val="single" w:sz="4" w:color="CCCCCC"/>
              <w:left w:val="single" w:sz="4" w:color="CCCCCC"/>
              <w:bottom w:val="single" w:sz="4" w:color="CCCCCC"/>
              <w:right w:val="single" w:sz="4" w:color="CCCCCC"/>
            </w:tcBorders>
          </w:tcPr>
          <w:p>
            <w:pPr>
              <w:spacing w:before="60" w:after="60" w:line="276" w:lineRule="auto"/>
            </w:pPr>
            <w:r/>
            <w:r>
              <w:rPr>
                <w:rFonts w:ascii="Calibri" w:hAnsi="Calibri"/>
                <w:b w:val="0"/>
                <w:i w:val="0"/>
                <w:color w:val="1A1F2E"/>
                <w:sz w:val="21"/>
              </w:rPr>
              <w:t>A principal explicitly overrode a policy decision.</w:t>
            </w:r>
          </w:p>
        </w:tc>
      </w:tr>
    </w:tbl>
    <w:p>
      <w:pPr>
        <w:spacing w:before="0" w:after="0" w:line="276" w:lineRule="auto"/>
      </w:pPr>
      <w:r>
        <w:br w:type="page"/>
      </w:r>
    </w:p>
    <w:p>
      <w:pPr>
        <w:spacing w:before="360" w:after="120" w:line="276" w:lineRule="auto"/>
        <w:pBdr>
          <w:bottom w:val="single" w:sz="8" w:color="0B1F3A" w:space="4"/>
        </w:pBdr>
      </w:pPr>
      <w:r>
        <w:rPr>
          <w:rFonts w:ascii="Calibri" w:hAnsi="Calibri"/>
          <w:b/>
          <w:i w:val="0"/>
          <w:color w:val="0B1F3A"/>
          <w:sz w:val="40"/>
        </w:rPr>
        <w:t>Who is driving the traffic</w:t>
      </w:r>
    </w:p>
    <w:p>
      <w:pPr>
        <w:spacing w:before="40" w:after="120" w:line="300" w:lineRule="auto"/>
      </w:pPr>
      <w:r>
        <w:rPr>
          <w:rFonts w:ascii="Calibri" w:hAnsi="Calibri"/>
          <w:b w:val="0"/>
          <w:i w:val="0"/>
          <w:color w:val="1A1F2E"/>
          <w:sz w:val="22"/>
        </w:rPr>
        <w:t>Ranking users by volume is how we identify the accounts that shape the baseline and the accounts that warrant individual review. The chart uses a log scale so a dominant principal does not flatten the long tail.</w:t>
      </w:r>
    </w:p>
    <w:p>
      <w:pPr>
        <w:spacing w:before="120" w:after="80" w:line="276" w:lineRule="auto"/>
        <w:jc w:val="center"/>
      </w:pPr>
      <w:r>
        <w:drawing>
          <wp:inline xmlns:a="http://schemas.openxmlformats.org/drawingml/2006/main" xmlns:pic="http://schemas.openxmlformats.org/drawingml/2006/picture">
            <wp:extent cx="6035040" cy="3110952"/>
            <wp:docPr id="3" name="Picture 3"/>
            <wp:cNvGraphicFramePr>
              <a:graphicFrameLocks noChangeAspect="1"/>
            </wp:cNvGraphicFramePr>
            <a:graphic>
              <a:graphicData uri="http://schemas.openxmlformats.org/drawingml/2006/picture">
                <pic:pic>
                  <pic:nvPicPr>
                    <pic:cNvPr id="0" name="03_top_users_log.png"/>
                    <pic:cNvPicPr/>
                  </pic:nvPicPr>
                  <pic:blipFill>
                    <a:blip r:embed="rId13"/>
                    <a:stretch>
                      <a:fillRect/>
                    </a:stretch>
                  </pic:blipFill>
                  <pic:spPr>
                    <a:xfrm>
                      <a:off x="0" y="0"/>
                      <a:ext cx="6035040" cy="3110952"/>
                    </a:xfrm>
                    <a:prstGeom prst="rect"/>
                  </pic:spPr>
                </pic:pic>
              </a:graphicData>
            </a:graphic>
          </wp:inline>
        </w:drawing>
      </w:r>
    </w:p>
    <w:p>
      <w:pPr>
        <w:spacing w:before="0" w:after="160" w:line="276" w:lineRule="auto"/>
        <w:jc w:val="center"/>
      </w:pPr>
      <w:r>
        <w:rPr>
          <w:rFonts w:ascii="Calibri" w:hAnsi="Calibri"/>
          <w:b w:val="0"/>
          <w:i/>
          <w:color w:val="555F70"/>
          <w:sz w:val="18"/>
        </w:rPr>
        <w:t>Top users by 7d event volume (logarithmic x-axis).</w:t>
      </w:r>
    </w:p>
    <w:p>
      <w:pPr>
        <w:spacing w:before="280" w:after="80" w:line="276" w:lineRule="auto"/>
      </w:pPr>
      <w:r>
        <w:rPr>
          <w:rFonts w:ascii="Calibri" w:hAnsi="Calibri"/>
          <w:b/>
          <w:i w:val="0"/>
          <w:color w:val="0B1F3A"/>
          <w:sz w:val="28"/>
        </w:rPr>
        <w:t>The concentration story</w:t>
      </w:r>
    </w:p>
    <w:p>
      <w:pPr>
        <w:spacing w:before="40" w:after="120" w:line="300" w:lineRule="auto"/>
      </w:pPr>
      <w:r>
        <w:rPr>
          <w:rFonts w:ascii="Calibri" w:hAnsi="Calibri"/>
          <w:b w:val="0"/>
          <w:i w:val="0"/>
          <w:color w:val="1A1F2E"/>
          <w:sz w:val="22"/>
        </w:rPr>
        <w:t>drjones@flybynight.ru drove 35,729 events (96.3% of the window). Activity is extremely concentrated: a single principal drove the overwhelming majority of events, which distorts any baseline calculation until that account is understood.</w:t>
      </w:r>
    </w:p>
    <w:p>
      <w:pPr>
        <w:spacing w:before="20" w:after="20" w:line="300" w:lineRule="auto"/>
        <w:ind w:left="504"/>
      </w:pPr>
      <w:r>
        <w:rPr>
          <w:rFonts w:ascii="Calibri" w:hAnsi="Calibri"/>
          <w:b/>
          <w:i w:val="0"/>
          <w:color w:val="555F70"/>
          <w:sz w:val="20"/>
        </w:rPr>
        <w:t xml:space="preserve">• </w:t>
      </w:r>
      <w:r>
        <w:rPr>
          <w:rFonts w:ascii="Calibri" w:hAnsi="Calibri"/>
          <w:b w:val="0"/>
          <w:i w:val="0"/>
          <w:color w:val="1A1F2E"/>
          <w:sz w:val="21"/>
        </w:rPr>
        <w:t>If this was a demo, a test harness, or a scripted load: tag it out of baseline calculations before moving any policy into enforce.</w:t>
      </w:r>
    </w:p>
    <w:p>
      <w:pPr>
        <w:spacing w:before="20" w:after="20" w:line="300" w:lineRule="auto"/>
        <w:ind w:left="504"/>
      </w:pPr>
      <w:r>
        <w:rPr>
          <w:rFonts w:ascii="Calibri" w:hAnsi="Calibri"/>
          <w:b/>
          <w:i w:val="0"/>
          <w:color w:val="555F70"/>
          <w:sz w:val="20"/>
        </w:rPr>
        <w:t xml:space="preserve">• </w:t>
      </w:r>
      <w:r>
        <w:rPr>
          <w:rFonts w:ascii="Calibri" w:hAnsi="Calibri"/>
          <w:b w:val="0"/>
          <w:i w:val="0"/>
          <w:color w:val="1A1F2E"/>
          <w:sz w:val="21"/>
        </w:rPr>
        <w:t>If this was a real principal: pivot into SentinelOne EDR/identity for the session history and posture of the underlying endpoint.</w:t>
      </w:r>
    </w:p>
    <w:p>
      <w:pPr>
        <w:spacing w:before="20" w:after="20" w:line="300" w:lineRule="auto"/>
        <w:ind w:left="504"/>
      </w:pPr>
      <w:r>
        <w:rPr>
          <w:rFonts w:ascii="Calibri" w:hAnsi="Calibri"/>
          <w:b/>
          <w:i w:val="0"/>
          <w:color w:val="555F70"/>
          <w:sz w:val="20"/>
        </w:rPr>
        <w:t xml:space="preserve">• </w:t>
      </w:r>
      <w:r>
        <w:rPr>
          <w:rFonts w:ascii="Calibri" w:hAnsi="Calibri"/>
          <w:b w:val="0"/>
          <w:i w:val="0"/>
          <w:color w:val="1A1F2E"/>
          <w:sz w:val="21"/>
        </w:rPr>
        <w:t>If this cannot be attributed: the anonymous or shared-account pattern is itself worth tracking; a tag pass here will pay off for every future report.</w:t>
      </w:r>
    </w:p>
    <w:p>
      <w:pPr>
        <w:spacing w:before="360" w:after="120" w:line="276" w:lineRule="auto"/>
        <w:pBdr>
          <w:bottom w:val="single" w:sz="8" w:color="0B1F3A" w:space="4"/>
        </w:pBdr>
      </w:pPr>
      <w:r>
        <w:rPr>
          <w:rFonts w:ascii="Calibri" w:hAnsi="Calibri"/>
          <w:b/>
          <w:i w:val="0"/>
          <w:color w:val="0B1F3A"/>
          <w:sz w:val="40"/>
        </w:rPr>
        <w:t>Risk signals: interventions and overrides</w:t>
      </w:r>
    </w:p>
    <w:p>
      <w:pPr>
        <w:spacing w:before="40" w:after="120" w:line="300" w:lineRule="auto"/>
      </w:pPr>
      <w:r>
        <w:rPr>
          <w:rFonts w:ascii="Calibri" w:hAnsi="Calibri"/>
          <w:b w:val="0"/>
          <w:i w:val="0"/>
          <w:color w:val="1A1F2E"/>
          <w:sz w:val="22"/>
        </w:rPr>
        <w:t>Two lenses matter more than the headline numbers: who the system is intervening on, and who is overriding it. Intervention tells us where the policy is doing the most work. Override tells us where principals disagree.</w:t>
      </w:r>
    </w:p>
    <w:p>
      <w:pPr>
        <w:spacing w:before="280" w:after="80" w:line="276" w:lineRule="auto"/>
      </w:pPr>
      <w:r>
        <w:rPr>
          <w:rFonts w:ascii="Calibri" w:hAnsi="Calibri"/>
          <w:b/>
          <w:i w:val="0"/>
          <w:color w:val="0B1F3A"/>
          <w:sz w:val="28"/>
        </w:rPr>
        <w:t>Top users by BLOCK</w:t>
      </w:r>
    </w:p>
    <w:p>
      <w:pPr>
        <w:spacing w:before="120" w:after="80" w:line="276" w:lineRule="auto"/>
        <w:jc w:val="center"/>
      </w:pPr>
      <w:r>
        <w:drawing>
          <wp:inline xmlns:a="http://schemas.openxmlformats.org/drawingml/2006/main" xmlns:pic="http://schemas.openxmlformats.org/drawingml/2006/picture">
            <wp:extent cx="6035040" cy="3105610"/>
            <wp:docPr id="4" name="Picture 4"/>
            <wp:cNvGraphicFramePr>
              <a:graphicFrameLocks noChangeAspect="1"/>
            </wp:cNvGraphicFramePr>
            <a:graphic>
              <a:graphicData uri="http://schemas.openxmlformats.org/drawingml/2006/picture">
                <pic:pic>
                  <pic:nvPicPr>
                    <pic:cNvPr id="0" name="04_blocks_by_user.png"/>
                    <pic:cNvPicPr/>
                  </pic:nvPicPr>
                  <pic:blipFill>
                    <a:blip r:embed="rId14"/>
                    <a:stretch>
                      <a:fillRect/>
                    </a:stretch>
                  </pic:blipFill>
                  <pic:spPr>
                    <a:xfrm>
                      <a:off x="0" y="0"/>
                      <a:ext cx="6035040" cy="3105610"/>
                    </a:xfrm>
                    <a:prstGeom prst="rect"/>
                  </pic:spPr>
                </pic:pic>
              </a:graphicData>
            </a:graphic>
          </wp:inline>
        </w:drawing>
      </w:r>
    </w:p>
    <w:p>
      <w:pPr>
        <w:spacing w:before="0" w:after="160" w:line="276" w:lineRule="auto"/>
        <w:jc w:val="center"/>
      </w:pPr>
      <w:r>
        <w:rPr>
          <w:rFonts w:ascii="Calibri" w:hAnsi="Calibri"/>
          <w:b w:val="0"/>
          <w:i/>
          <w:color w:val="555F70"/>
          <w:sz w:val="18"/>
        </w:rPr>
        <w:t>Users ranked by block count. The cohort near the top of the long tail is usually where human attention pays off.</w:t>
      </w:r>
    </w:p>
    <w:p>
      <w:pPr>
        <w:spacing w:before="280" w:after="80" w:line="276" w:lineRule="auto"/>
      </w:pPr>
      <w:r>
        <w:rPr>
          <w:rFonts w:ascii="Calibri" w:hAnsi="Calibri"/>
          <w:b/>
          <w:i w:val="0"/>
          <w:color w:val="0B1F3A"/>
          <w:sz w:val="28"/>
        </w:rPr>
        <w:t>Top users by BYPASS</w:t>
      </w:r>
    </w:p>
    <w:p>
      <w:pPr>
        <w:spacing w:before="40" w:after="120" w:line="300" w:lineRule="auto"/>
      </w:pPr>
      <w:r>
        <w:rPr>
          <w:rFonts w:ascii="Calibri" w:hAnsi="Calibri"/>
          <w:b w:val="0"/>
          <w:i w:val="0"/>
          <w:color w:val="1A1F2E"/>
          <w:sz w:val="22"/>
        </w:rPr>
        <w:t>Bypass is low-volume but highly informative. These are the users who saw a policy decision and chose to override. Bypass events are near-zero. Users are accepting policy decisions, which is the strongest signal that the policy is trusted.</w:t>
      </w:r>
    </w:p>
    <w:p>
      <w:pPr>
        <w:spacing w:before="120" w:after="80" w:line="276" w:lineRule="auto"/>
        <w:jc w:val="center"/>
      </w:pPr>
      <w:r>
        <w:drawing>
          <wp:inline xmlns:a="http://schemas.openxmlformats.org/drawingml/2006/main" xmlns:pic="http://schemas.openxmlformats.org/drawingml/2006/picture">
            <wp:extent cx="5852160" cy="3004801"/>
            <wp:docPr id="5" name="Picture 5"/>
            <wp:cNvGraphicFramePr>
              <a:graphicFrameLocks noChangeAspect="1"/>
            </wp:cNvGraphicFramePr>
            <a:graphic>
              <a:graphicData uri="http://schemas.openxmlformats.org/drawingml/2006/picture">
                <pic:pic>
                  <pic:nvPicPr>
                    <pic:cNvPr id="0" name="05_bypass_by_user.png"/>
                    <pic:cNvPicPr/>
                  </pic:nvPicPr>
                  <pic:blipFill>
                    <a:blip r:embed="rId15"/>
                    <a:stretch>
                      <a:fillRect/>
                    </a:stretch>
                  </pic:blipFill>
                  <pic:spPr>
                    <a:xfrm>
                      <a:off x="0" y="0"/>
                      <a:ext cx="5852160" cy="3004801"/>
                    </a:xfrm>
                    <a:prstGeom prst="rect"/>
                  </pic:spPr>
                </pic:pic>
              </a:graphicData>
            </a:graphic>
          </wp:inline>
        </w:drawing>
      </w:r>
    </w:p>
    <w:p>
      <w:pPr>
        <w:spacing w:before="0" w:after="160" w:line="276" w:lineRule="auto"/>
        <w:jc w:val="center"/>
      </w:pPr>
      <w:r>
        <w:rPr>
          <w:rFonts w:ascii="Calibri" w:hAnsi="Calibri"/>
          <w:b w:val="0"/>
          <w:i/>
          <w:color w:val="555F70"/>
          <w:sz w:val="18"/>
        </w:rPr>
        <w:t>Top users by bypass count. The signal to watch over time is concentration.</w:t>
      </w:r>
    </w:p>
    <w:p>
      <w:pPr>
        <w:spacing w:before="280" w:after="80" w:line="276" w:lineRule="auto"/>
      </w:pPr>
      <w:r>
        <w:rPr>
          <w:rFonts w:ascii="Calibri" w:hAnsi="Calibri"/>
          <w:b/>
          <w:i w:val="0"/>
          <w:color w:val="0B1F3A"/>
          <w:sz w:val="28"/>
        </w:rPr>
        <w:t>Per-principal action mix</w:t>
      </w:r>
    </w:p>
    <w:p>
      <w:pPr>
        <w:spacing w:before="40" w:after="120" w:line="300" w:lineRule="auto"/>
      </w:pPr>
      <w:r>
        <w:rPr>
          <w:rFonts w:ascii="Calibri" w:hAnsi="Calibri"/>
          <w:b w:val="0"/>
          <w:i w:val="0"/>
          <w:color w:val="1A1F2E"/>
          <w:sz w:val="22"/>
        </w:rPr>
        <w:t>Stacked view of the top active users broken out by outcome. This is the clearest way to spot a mixed-use profile, in which a single principal is being both blocked and allowed across the window.</w:t>
      </w:r>
    </w:p>
    <w:p>
      <w:pPr>
        <w:spacing w:before="120" w:after="80" w:line="276" w:lineRule="auto"/>
        <w:jc w:val="center"/>
      </w:pPr>
      <w:r>
        <w:drawing>
          <wp:inline xmlns:a="http://schemas.openxmlformats.org/drawingml/2006/main" xmlns:pic="http://schemas.openxmlformats.org/drawingml/2006/picture">
            <wp:extent cx="6035040" cy="3031906"/>
            <wp:docPr id="6" name="Picture 6"/>
            <wp:cNvGraphicFramePr>
              <a:graphicFrameLocks noChangeAspect="1"/>
            </wp:cNvGraphicFramePr>
            <a:graphic>
              <a:graphicData uri="http://schemas.openxmlformats.org/drawingml/2006/picture">
                <pic:pic>
                  <pic:nvPicPr>
                    <pic:cNvPr id="0" name="06_user_action_mix.png"/>
                    <pic:cNvPicPr/>
                  </pic:nvPicPr>
                  <pic:blipFill>
                    <a:blip r:embed="rId16"/>
                    <a:stretch>
                      <a:fillRect/>
                    </a:stretch>
                  </pic:blipFill>
                  <pic:spPr>
                    <a:xfrm>
                      <a:off x="0" y="0"/>
                      <a:ext cx="6035040" cy="3031906"/>
                    </a:xfrm>
                    <a:prstGeom prst="rect"/>
                  </pic:spPr>
                </pic:pic>
              </a:graphicData>
            </a:graphic>
          </wp:inline>
        </w:drawing>
      </w:r>
    </w:p>
    <w:p>
      <w:pPr>
        <w:spacing w:before="0" w:after="160" w:line="276" w:lineRule="auto"/>
        <w:jc w:val="center"/>
      </w:pPr>
      <w:r>
        <w:rPr>
          <w:rFonts w:ascii="Calibri" w:hAnsi="Calibri"/>
          <w:b w:val="0"/>
          <w:i/>
          <w:color w:val="555F70"/>
          <w:sz w:val="18"/>
        </w:rPr>
        <w:t>Action mix per top users (log-scale).</w:t>
      </w:r>
    </w:p>
    <w:p>
      <w:pPr>
        <w:spacing w:before="0" w:after="0" w:line="276" w:lineRule="auto"/>
      </w:pPr>
      <w:r>
        <w:br w:type="page"/>
      </w:r>
    </w:p>
    <w:p>
      <w:pPr>
        <w:spacing w:before="360" w:after="120" w:line="276" w:lineRule="auto"/>
        <w:pBdr>
          <w:bottom w:val="single" w:sz="8" w:color="0B1F3A" w:space="4"/>
        </w:pBdr>
      </w:pPr>
      <w:r>
        <w:rPr>
          <w:rFonts w:ascii="Calibri" w:hAnsi="Calibri"/>
          <w:b/>
          <w:i w:val="0"/>
          <w:color w:val="0B1F3A"/>
          <w:sz w:val="40"/>
        </w:rPr>
        <w:t>Where Prompt Security fits in the broader picture</w:t>
      </w:r>
    </w:p>
    <w:p>
      <w:pPr>
        <w:spacing w:before="40" w:after="120" w:line="300" w:lineRule="auto"/>
      </w:pPr>
      <w:r>
        <w:rPr>
          <w:rFonts w:ascii="Calibri" w:hAnsi="Calibri"/>
          <w:b w:val="0"/>
          <w:i w:val="0"/>
          <w:color w:val="1A1F2E"/>
          <w:sz w:val="22"/>
        </w:rPr>
        <w:t>In the last 24 hours, Prompt Security ranks #27 among the data sources landing in your SentinelOne tenant. The chart below places Prompt Security in context alongside EDR, network, identity, and cloud telemetry so you can see how it contributes to the overall detection surface.</w:t>
      </w:r>
    </w:p>
    <w:p>
      <w:pPr>
        <w:spacing w:before="120" w:after="80" w:line="276" w:lineRule="auto"/>
        <w:jc w:val="center"/>
      </w:pPr>
      <w:r>
        <w:drawing>
          <wp:inline xmlns:a="http://schemas.openxmlformats.org/drawingml/2006/main" xmlns:pic="http://schemas.openxmlformats.org/drawingml/2006/picture">
            <wp:extent cx="6035040" cy="3174664"/>
            <wp:docPr id="7" name="Picture 7"/>
            <wp:cNvGraphicFramePr>
              <a:graphicFrameLocks noChangeAspect="1"/>
            </wp:cNvGraphicFramePr>
            <a:graphic>
              <a:graphicData uri="http://schemas.openxmlformats.org/drawingml/2006/picture">
                <pic:pic>
                  <pic:nvPicPr>
                    <pic:cNvPr id="0" name="07_tenant_context.png"/>
                    <pic:cNvPicPr/>
                  </pic:nvPicPr>
                  <pic:blipFill>
                    <a:blip r:embed="rId17"/>
                    <a:stretch>
                      <a:fillRect/>
                    </a:stretch>
                  </pic:blipFill>
                  <pic:spPr>
                    <a:xfrm>
                      <a:off x="0" y="0"/>
                      <a:ext cx="6035040" cy="3174664"/>
                    </a:xfrm>
                    <a:prstGeom prst="rect"/>
                  </pic:spPr>
                </pic:pic>
              </a:graphicData>
            </a:graphic>
          </wp:inline>
        </w:drawing>
      </w:r>
    </w:p>
    <w:p>
      <w:pPr>
        <w:spacing w:before="0" w:after="160" w:line="276" w:lineRule="auto"/>
        <w:jc w:val="center"/>
      </w:pPr>
      <w:r>
        <w:rPr>
          <w:rFonts w:ascii="Calibri" w:hAnsi="Calibri"/>
          <w:b w:val="0"/>
          <w:i/>
          <w:color w:val="555F70"/>
          <w:sz w:val="18"/>
        </w:rPr>
        <w:t>Data-source volume in the last 24 hours (Prompt Security highlighted).</w:t>
      </w:r>
    </w:p>
    <w:p>
      <w:pPr>
        <w:spacing w:before="280" w:after="80" w:line="276" w:lineRule="auto"/>
      </w:pPr>
      <w:r>
        <w:rPr>
          <w:rFonts w:ascii="Calibri" w:hAnsi="Calibri"/>
          <w:b/>
          <w:i w:val="0"/>
          <w:color w:val="0B1F3A"/>
          <w:sz w:val="28"/>
        </w:rPr>
        <w:t>Why this matters to the CTO</w:t>
      </w:r>
    </w:p>
    <w:p>
      <w:pPr>
        <w:spacing w:before="40" w:after="40" w:line="300" w:lineRule="auto"/>
      </w:pPr>
      <w:r>
        <w:rPr>
          <w:rFonts w:ascii="Calibri" w:hAnsi="Calibri"/>
          <w:b/>
          <w:i w:val="0"/>
          <w:color w:val="0B1F3A"/>
          <w:sz w:val="20"/>
        </w:rPr>
        <w:t xml:space="preserve">■ </w:t>
      </w:r>
      <w:r>
        <w:rPr>
          <w:rFonts w:ascii="Calibri" w:hAnsi="Calibri"/>
          <w:b w:val="0"/>
          <w:i w:val="0"/>
          <w:color w:val="1A1F2E"/>
          <w:sz w:val="22"/>
        </w:rPr>
        <w:t>Prompt Security lives in the same data lake as EDR, identity, network, and cloud telemetry. Correlation is native, not a bolt-on.</w:t>
      </w:r>
    </w:p>
    <w:p>
      <w:pPr>
        <w:spacing w:before="40" w:after="40" w:line="300" w:lineRule="auto"/>
      </w:pPr>
      <w:r>
        <w:rPr>
          <w:rFonts w:ascii="Calibri" w:hAnsi="Calibri"/>
          <w:b/>
          <w:i w:val="0"/>
          <w:color w:val="0B1F3A"/>
          <w:sz w:val="20"/>
        </w:rPr>
        <w:t xml:space="preserve">■ </w:t>
      </w:r>
      <w:r>
        <w:rPr>
          <w:rFonts w:ascii="Calibri" w:hAnsi="Calibri"/>
          <w:b w:val="0"/>
          <w:i w:val="0"/>
          <w:color w:val="1A1F2E"/>
          <w:sz w:val="22"/>
        </w:rPr>
        <w:t>Any detection built on Prompt Security can chain to SentinelOne endpoint context in a single query; a STAR / Custom Detection Rule needs no extra plumbing.</w:t>
      </w:r>
    </w:p>
    <w:p>
      <w:pPr>
        <w:spacing w:before="40" w:after="40" w:line="300" w:lineRule="auto"/>
      </w:pPr>
      <w:r>
        <w:rPr>
          <w:rFonts w:ascii="Calibri" w:hAnsi="Calibri"/>
          <w:b/>
          <w:i w:val="0"/>
          <w:color w:val="0B1F3A"/>
          <w:sz w:val="20"/>
        </w:rPr>
        <w:t xml:space="preserve">■ </w:t>
      </w:r>
      <w:r>
        <w:rPr>
          <w:rFonts w:ascii="Calibri" w:hAnsi="Calibri"/>
          <w:b w:val="0"/>
          <w:i w:val="0"/>
          <w:color w:val="1A1F2E"/>
          <w:sz w:val="22"/>
        </w:rPr>
        <w:t>As usage grows, this source's share of daily events will climb in rank without any ingestion changes.</w:t>
      </w:r>
    </w:p>
    <w:p>
      <w:pPr>
        <w:spacing w:before="360" w:after="120" w:line="276" w:lineRule="auto"/>
        <w:pBdr>
          <w:bottom w:val="single" w:sz="8" w:color="0B1F3A" w:space="4"/>
        </w:pBdr>
      </w:pPr>
      <w:r>
        <w:rPr>
          <w:rFonts w:ascii="Calibri" w:hAnsi="Calibri"/>
          <w:b/>
          <w:i w:val="0"/>
          <w:color w:val="0B1F3A"/>
          <w:sz w:val="40"/>
        </w:rPr>
        <w:t>Recommendations, prioritised</w:t>
      </w:r>
    </w:p>
    <w:p>
      <w:pPr>
        <w:spacing w:before="200" w:after="40" w:line="276" w:lineRule="auto"/>
      </w:pPr>
      <w:r>
        <w:rPr>
          <w:rFonts w:ascii="Calibri" w:hAnsi="Calibri"/>
          <w:b/>
          <w:i w:val="0"/>
          <w:color w:val="E8434F"/>
          <w:sz w:val="22"/>
        </w:rPr>
        <w:t xml:space="preserve">[24 hours]  </w:t>
      </w:r>
      <w:r>
        <w:rPr>
          <w:rFonts w:ascii="Calibri" w:hAnsi="Calibri"/>
          <w:b/>
          <w:i w:val="0"/>
          <w:color w:val="0B1F3A"/>
          <w:sz w:val="25"/>
        </w:rPr>
        <w:t>Resolve the top principal: drjones@flybynight.ru</w:t>
      </w:r>
    </w:p>
    <w:p>
      <w:pPr>
        <w:spacing w:before="40" w:after="120" w:line="300" w:lineRule="auto"/>
      </w:pPr>
      <w:r>
        <w:rPr>
          <w:rFonts w:ascii="Calibri" w:hAnsi="Calibri"/>
          <w:b w:val="0"/>
          <w:i w:val="0"/>
          <w:color w:val="1A1F2E"/>
          <w:sz w:val="22"/>
        </w:rPr>
        <w:t>A single principal drove 96.3% of the window's volume. Pivot into SentinelOne EDR / identity from this principal's session to establish whether this is a scripted harness, a shared account, a misconfigured integration, or hostile activity. A short investigation closes the largest single-source risk in this report.</w:t>
      </w:r>
    </w:p>
    <w:p>
      <w:pPr>
        <w:spacing w:before="200" w:after="40" w:line="276" w:lineRule="auto"/>
      </w:pPr>
      <w:r>
        <w:rPr>
          <w:rFonts w:ascii="Calibri" w:hAnsi="Calibri"/>
          <w:b/>
          <w:i w:val="0"/>
          <w:color w:val="F2A950"/>
          <w:sz w:val="22"/>
        </w:rPr>
        <w:t xml:space="preserve">[This week]  </w:t>
      </w:r>
      <w:r>
        <w:rPr>
          <w:rFonts w:ascii="Calibri" w:hAnsi="Calibri"/>
          <w:b/>
          <w:i w:val="0"/>
          <w:color w:val="0B1F3A"/>
          <w:sz w:val="25"/>
        </w:rPr>
        <w:t>Promote log-only policies to enforce</w:t>
      </w:r>
    </w:p>
    <w:p>
      <w:pPr>
        <w:spacing w:before="40" w:after="120" w:line="300" w:lineRule="auto"/>
      </w:pPr>
      <w:r>
        <w:rPr>
          <w:rFonts w:ascii="Calibri" w:hAnsi="Calibri"/>
          <w:b w:val="0"/>
          <w:i w:val="0"/>
          <w:color w:val="1A1F2E"/>
          <w:sz w:val="22"/>
        </w:rPr>
        <w:t>Block rate is 42.9% and bypass is 0.135%. That combination is as strong a signal as we ever get that principals accept policy decisions. Walk each currently-log-only policy and promote the ones with zero false positives.</w:t>
      </w:r>
    </w:p>
    <w:p>
      <w:pPr>
        <w:spacing w:before="200" w:after="40" w:line="276" w:lineRule="auto"/>
      </w:pPr>
      <w:r>
        <w:rPr>
          <w:rFonts w:ascii="Calibri" w:hAnsi="Calibri"/>
          <w:b/>
          <w:i w:val="0"/>
          <w:color w:val="4FB89E"/>
          <w:sz w:val="22"/>
        </w:rPr>
        <w:t xml:space="preserve">[This month]  </w:t>
      </w:r>
      <w:r>
        <w:rPr>
          <w:rFonts w:ascii="Calibri" w:hAnsi="Calibri"/>
          <w:b/>
          <w:i w:val="0"/>
          <w:color w:val="0B1F3A"/>
          <w:sz w:val="25"/>
        </w:rPr>
        <w:t>Correlate bypass with endpoint posture</w:t>
      </w:r>
    </w:p>
    <w:p>
      <w:pPr>
        <w:spacing w:before="40" w:after="120" w:line="300" w:lineRule="auto"/>
      </w:pPr>
      <w:r>
        <w:rPr>
          <w:rFonts w:ascii="Calibri" w:hAnsi="Calibri"/>
          <w:b w:val="0"/>
          <w:i w:val="0"/>
          <w:color w:val="1A1F2E"/>
          <w:sz w:val="22"/>
        </w:rPr>
        <w:t>Build a Custom Detection Rule that chains a Prompt Security bypass event to a SentinelOne alert of medium-or-higher severity on the same principal within 60 minutes. One rule, two data sources, one unified alert.</w:t>
      </w:r>
    </w:p>
    <w:p>
      <w:pPr>
        <w:spacing w:before="200" w:after="40" w:line="276" w:lineRule="auto"/>
      </w:pPr>
      <w:r>
        <w:rPr>
          <w:rFonts w:ascii="Calibri" w:hAnsi="Calibri"/>
          <w:b/>
          <w:i w:val="0"/>
          <w:color w:val="0B1F3A"/>
          <w:sz w:val="22"/>
        </w:rPr>
        <w:t xml:space="preserve">[This month]  </w:t>
      </w:r>
      <w:r>
        <w:rPr>
          <w:rFonts w:ascii="Calibri" w:hAnsi="Calibri"/>
          <w:b/>
          <w:i w:val="0"/>
          <w:color w:val="0B1F3A"/>
          <w:sz w:val="25"/>
        </w:rPr>
        <w:t>Enrich ingestion where it is shallow</w:t>
      </w:r>
    </w:p>
    <w:p>
      <w:pPr>
        <w:spacing w:before="40" w:after="120" w:line="300" w:lineRule="auto"/>
      </w:pPr>
      <w:r>
        <w:rPr>
          <w:rFonts w:ascii="Calibri" w:hAnsi="Calibri"/>
          <w:b w:val="0"/>
          <w:i w:val="0"/>
          <w:color w:val="1A1F2E"/>
          <w:sz w:val="22"/>
        </w:rPr>
        <w:t>Today, Prompt Security events land with a subset of fields populated. Check whether prompt / payload / content is null; adding even one content field unlocks content-based detection and Purple AI hunts against the same data lake.</w:t>
      </w:r>
    </w:p>
    <w:p>
      <w:pPr>
        <w:spacing w:before="200" w:after="40" w:line="276" w:lineRule="auto"/>
      </w:pPr>
      <w:r>
        <w:rPr>
          <w:rFonts w:ascii="Calibri" w:hAnsi="Calibri"/>
          <w:b/>
          <w:i w:val="0"/>
          <w:color w:val="8899A6"/>
          <w:sz w:val="22"/>
        </w:rPr>
        <w:t xml:space="preserve">[Quarterly]  </w:t>
      </w:r>
      <w:r>
        <w:rPr>
          <w:rFonts w:ascii="Calibri" w:hAnsi="Calibri"/>
          <w:b/>
          <w:i w:val="0"/>
          <w:color w:val="0B1F3A"/>
          <w:sz w:val="25"/>
        </w:rPr>
        <w:t>Baseline normal</w:t>
      </w:r>
    </w:p>
    <w:p>
      <w:pPr>
        <w:spacing w:before="40" w:after="120" w:line="300" w:lineRule="auto"/>
      </w:pPr>
      <w:r>
        <w:rPr>
          <w:rFonts w:ascii="Calibri" w:hAnsi="Calibri"/>
          <w:b w:val="0"/>
          <w:i w:val="0"/>
          <w:color w:val="1A1F2E"/>
          <w:sz w:val="22"/>
        </w:rPr>
        <w:t>Re-run this report on a fixed cadence. The charts are regenerated from a single JSON artefact, so a 30-day or 90-day view is a parameter flip. Anomalies against the baseline become the input to the next round of policy tuning.</w:t>
      </w:r>
    </w:p>
    <w:p>
      <w:pPr>
        <w:spacing w:before="0" w:after="0" w:line="276" w:lineRule="auto"/>
      </w:pPr>
      <w:r>
        <w:br w:type="page"/>
      </w:r>
    </w:p>
    <w:p>
      <w:pPr>
        <w:spacing w:before="360" w:after="120" w:line="276" w:lineRule="auto"/>
        <w:pBdr>
          <w:bottom w:val="single" w:sz="8" w:color="0B1F3A" w:space="4"/>
        </w:pBdr>
      </w:pPr>
      <w:r>
        <w:rPr>
          <w:rFonts w:ascii="Calibri" w:hAnsi="Calibri"/>
          <w:b/>
          <w:i w:val="0"/>
          <w:color w:val="0B1F3A"/>
          <w:sz w:val="40"/>
        </w:rPr>
        <w:t>Methodology</w:t>
      </w:r>
    </w:p>
    <w:p>
      <w:pPr>
        <w:spacing w:before="40" w:after="120" w:line="300" w:lineRule="auto"/>
      </w:pPr>
      <w:r>
        <w:rPr>
          <w:rFonts w:ascii="Calibri" w:hAnsi="Calibri"/>
          <w:b w:val="0"/>
          <w:i w:val="0"/>
          <w:color w:val="1A1F2E"/>
          <w:sz w:val="22"/>
        </w:rPr>
        <w:t>Every number and chart in this report was computed directly from the SentinelOne Singularity Data Lake using the Management Console API. No data was moved outside the tenant. No sampling was applied.</w:t>
      </w:r>
    </w:p>
    <w:p>
      <w:pPr>
        <w:spacing w:before="160" w:after="40" w:line="276" w:lineRule="auto"/>
      </w:pPr>
      <w:r>
        <w:rPr>
          <w:rFonts w:ascii="Calibri" w:hAnsi="Calibri"/>
          <w:b/>
          <w:i w:val="0"/>
          <w:color w:val="1A1F2E"/>
          <w:sz w:val="24"/>
        </w:rPr>
        <w:t>Data collection</w:t>
      </w:r>
    </w:p>
    <w:p>
      <w:pPr>
        <w:spacing w:before="40" w:after="40" w:line="300" w:lineRule="auto"/>
      </w:pPr>
      <w:r>
        <w:rPr>
          <w:rFonts w:ascii="Calibri" w:hAnsi="Calibri"/>
          <w:b/>
          <w:i w:val="0"/>
          <w:color w:val="0B1F3A"/>
          <w:sz w:val="20"/>
        </w:rPr>
        <w:t xml:space="preserve">■ </w:t>
      </w:r>
      <w:r>
        <w:rPr>
          <w:rFonts w:ascii="Calibri" w:hAnsi="Calibri"/>
          <w:b w:val="0"/>
          <w:i w:val="0"/>
          <w:color w:val="1A1F2E"/>
          <w:sz w:val="22"/>
        </w:rPr>
        <w:t>Source: dataSource.name = 'Prompt Security', excluding the internal logVolume bookkeeping tag.</w:t>
      </w:r>
    </w:p>
    <w:p>
      <w:pPr>
        <w:spacing w:before="40" w:after="40" w:line="300" w:lineRule="auto"/>
      </w:pPr>
      <w:r>
        <w:rPr>
          <w:rFonts w:ascii="Calibri" w:hAnsi="Calibri"/>
          <w:b/>
          <w:i w:val="0"/>
          <w:color w:val="0B1F3A"/>
          <w:sz w:val="20"/>
        </w:rPr>
        <w:t xml:space="preserve">■ </w:t>
      </w:r>
      <w:r>
        <w:rPr>
          <w:rFonts w:ascii="Calibri" w:hAnsi="Calibri"/>
          <w:b w:val="0"/>
          <w:i w:val="0"/>
          <w:color w:val="1A1F2E"/>
          <w:sz w:val="22"/>
        </w:rPr>
        <w:t>Window: 2026-04-15T16:42 to 2026-04-22T16:42 UTC (7d).</w:t>
      </w:r>
    </w:p>
    <w:p>
      <w:pPr>
        <w:spacing w:before="40" w:after="40" w:line="300" w:lineRule="auto"/>
      </w:pPr>
      <w:r>
        <w:rPr>
          <w:rFonts w:ascii="Calibri" w:hAnsi="Calibri"/>
          <w:b/>
          <w:i w:val="0"/>
          <w:color w:val="0B1F3A"/>
          <w:sz w:val="20"/>
        </w:rPr>
        <w:t xml:space="preserve">■ </w:t>
      </w:r>
      <w:r>
        <w:rPr>
          <w:rFonts w:ascii="Calibri" w:hAnsi="Calibri"/>
          <w:b w:val="0"/>
          <w:i w:val="0"/>
          <w:color w:val="1A1F2E"/>
          <w:sz w:val="22"/>
        </w:rPr>
        <w:t>Transport: POST /sdl/v2/api/queries (Long Running Query API) authenticated with Bearer token scoped to the account.</w:t>
      </w:r>
    </w:p>
    <w:p>
      <w:pPr>
        <w:spacing w:before="40" w:after="40" w:line="300" w:lineRule="auto"/>
      </w:pPr>
      <w:r>
        <w:rPr>
          <w:rFonts w:ascii="Calibri" w:hAnsi="Calibri"/>
          <w:b/>
          <w:i w:val="0"/>
          <w:color w:val="0B1F3A"/>
          <w:sz w:val="20"/>
        </w:rPr>
        <w:t xml:space="preserve">■ </w:t>
      </w:r>
      <w:r>
        <w:rPr>
          <w:rFonts w:ascii="Calibri" w:hAnsi="Calibri"/>
          <w:b w:val="0"/>
          <w:i w:val="0"/>
          <w:color w:val="1A1F2E"/>
          <w:sz w:val="22"/>
        </w:rPr>
        <w:t>Aggregations executed in parallel (max 3 concurrent) to respect the per-user rate limit. Timeline rendered via 7 day-size client-side slices (the engine does not expose a native timebucket function).</w:t>
      </w:r>
    </w:p>
    <w:p>
      <w:pPr>
        <w:spacing w:before="160" w:after="40" w:line="276" w:lineRule="auto"/>
      </w:pPr>
      <w:r>
        <w:rPr>
          <w:rFonts w:ascii="Calibri" w:hAnsi="Calibri"/>
          <w:b/>
          <w:i w:val="0"/>
          <w:color w:val="1A1F2E"/>
          <w:sz w:val="24"/>
        </w:rPr>
        <w:t>Provenance</w:t>
      </w:r>
    </w:p>
    <w:p>
      <w:pPr>
        <w:spacing w:before="40" w:after="120" w:line="300" w:lineRule="auto"/>
      </w:pPr>
      <w:r>
        <w:rPr>
          <w:rFonts w:ascii="Calibri" w:hAnsi="Calibri"/>
          <w:b w:val="0"/>
          <w:i w:val="0"/>
          <w:color w:val="1A1F2E"/>
          <w:sz w:val="22"/>
        </w:rPr>
        <w:t>A single JSON artefact (reports/Prompt_Security_7d/data.json) captures the raw aggregation output: query text, match counts, elapsed time, and every returned row. The charts and this document are pure rendering steps over that artefact, so the numbers can be reproduced at any time.</w:t>
      </w:r>
    </w:p>
    <w:p>
      <w:pPr>
        <w:spacing w:before="160" w:after="40" w:line="276" w:lineRule="auto"/>
      </w:pPr>
      <w:r>
        <w:rPr>
          <w:rFonts w:ascii="Calibri" w:hAnsi="Calibri"/>
          <w:b/>
          <w:i w:val="0"/>
          <w:color w:val="1A1F2E"/>
          <w:sz w:val="24"/>
        </w:rPr>
        <w:t>Dimensions observed</w:t>
      </w:r>
    </w:p>
    <w:p>
      <w:pPr>
        <w:spacing w:before="40" w:after="40" w:line="300" w:lineRule="auto"/>
      </w:pPr>
      <w:r>
        <w:rPr>
          <w:rFonts w:ascii="Calibri" w:hAnsi="Calibri"/>
          <w:b/>
          <w:i w:val="0"/>
          <w:color w:val="0B1F3A"/>
          <w:sz w:val="20"/>
        </w:rPr>
        <w:t xml:space="preserve">■ </w:t>
      </w:r>
      <w:r>
        <w:rPr>
          <w:rFonts w:ascii="Calibri" w:hAnsi="Calibri"/>
          <w:b w:val="0"/>
          <w:i w:val="0"/>
          <w:color w:val="1A1F2E"/>
          <w:sz w:val="22"/>
        </w:rPr>
        <w:t>Present: action, user</w:t>
      </w:r>
    </w:p>
    <w:p>
      <w:pPr>
        <w:spacing w:before="40" w:after="40" w:line="300" w:lineRule="auto"/>
      </w:pPr>
      <w:r>
        <w:rPr>
          <w:rFonts w:ascii="Calibri" w:hAnsi="Calibri"/>
          <w:b/>
          <w:i w:val="0"/>
          <w:color w:val="0B1F3A"/>
          <w:sz w:val="20"/>
        </w:rPr>
        <w:t xml:space="preserve">■ </w:t>
      </w:r>
      <w:r>
        <w:rPr>
          <w:rFonts w:ascii="Calibri" w:hAnsi="Calibri"/>
          <w:b w:val="0"/>
          <w:i w:val="0"/>
          <w:color w:val="1A1F2E"/>
          <w:sz w:val="22"/>
        </w:rPr>
        <w:t>Absent: src_ip, src_host, event_type</w:t>
      </w:r>
    </w:p>
    <w:sectPr w:rsidR="00FC693F" w:rsidRPr="0006063C" w:rsidSect="00034616">
      <w:headerReference w:type="default" r:id="rId9"/>
      <w:footerReference w:type="default" r:id="rId10"/>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76" w:lineRule="auto"/>
      <w:jc w:val="center"/>
    </w:pPr>
    <w:r>
      <w:rPr>
        <w:rFonts w:ascii="Calibri" w:hAnsi="Calibri"/>
        <w:b w:val="0"/>
        <w:i w:val="0"/>
        <w:color w:val="555F70"/>
        <w:sz w:val="18"/>
      </w:rPr>
      <w:t xml:space="preserve">Prepared by SentinelOne Pre-Sales Engineering  </w:t>
    </w:r>
    <w:r>
      <w:rPr>
        <w:rFonts w:ascii="Calibri" w:hAnsi="Calibri"/>
        <w:b w:val="0"/>
        <w:i w:val="0"/>
        <w:color w:val="555F70"/>
        <w:sz w:val="18"/>
      </w:rPr>
      <w:t xml:space="preserve">Generated on </w:t>
    </w:r>
    <w:r>
      <w:rPr>
        <w:rFonts w:ascii="Calibri" w:hAnsi="Calibri"/>
        <w:b/>
        <w:i w:val="0"/>
        <w:color w:val="0B1F3A"/>
        <w:sz w:val="18"/>
      </w:rPr>
      <w:t>2026-04-22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76" w:lineRule="auto"/>
      <w:jc w:val="right"/>
    </w:pPr>
    <w:r>
      <w:rPr>
        <w:rFonts w:ascii="Calibri" w:hAnsi="Calibri"/>
        <w:b w:val="0"/>
        <w:i w:val="0"/>
        <w:color w:val="555F70"/>
        <w:sz w:val="18"/>
      </w:rPr>
      <w:t xml:space="preserve">SentinelOne  </w:t>
    </w:r>
    <w:r>
      <w:rPr>
        <w:rFonts w:ascii="Calibri" w:hAnsi="Calibri"/>
        <w:b/>
        <w:i w:val="0"/>
        <w:color w:val="0B1F3A"/>
        <w:sz w:val="18"/>
      </w:rPr>
      <w:t>|  Prompt Security 7d activity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F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