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type="dxa" w:w="5045"/>
      </w:tblPr>
      <w:tblGrid>
        <w:gridCol w:w="5045"/>
      </w:tblGrid>
      <w:tblGrid>
        <w:gridCol w:w="5045"/>
      </w:tblGrid>
      <w:tr>
        <w:tc>
          <w:tcPr>
            <w:tcW w:type="dxa" w:w="5045"/>
            <w:shd w:fill="000000" w:val="clear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ontserrat SemiBold" w:hAnsi="Montserrat SemiBold" w:eastAsia="Montserrat SemiBold"/>
                <w:sz w:val="40"/>
                <w:color w:val="FFFFFF"/>
              </w:rPr>
              <w:t>POBRES EN ESPÍRITU</w:t>
            </w:r>
          </w:p>
        </w:tc>
      </w:tr>
    </w:tbl>
    <w:p/>
    <w:p>
      <w:r>
        <w:rPr>
          <w:b/>
          <w:sz w:val="28"/>
        </w:rPr>
        <w:t xml:space="preserve">Texto base: </w:t>
      </w:r>
      <w:r>
        <w:rPr>
          <w:sz w:val="28"/>
        </w:rPr>
        <w:t>Mateo 5:3  NVI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5045"/>
      </w:tblPr>
      <w:tblGrid>
        <w:gridCol w:w="5045"/>
      </w:tblGrid>
      <w:tblGrid>
        <w:gridCol w:w="5045"/>
      </w:tblGrid>
      <w:tr>
        <w:tc>
          <w:tcPr>
            <w:tcW w:type="dxa" w:w="5045"/>
            <w:shd w:fill="FFFFFF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  <w:spacing w:after="80" w:before="0" w:line="336" w:lineRule="auto"/>
            </w:pPr>
            <w:r>
              <w:rPr>
                <w:rFonts w:ascii="Montserrat" w:hAnsi="Montserrat"/>
                <w:i/>
                <w:sz w:val="28"/>
              </w:rPr>
              <w:t>“Bienaventurados los pobres en espíritu, porque el reino de los cielos les pertenece.”</w:t>
            </w:r>
          </w:p>
          <w:p>
            <w:pPr>
              <w:jc w:val="center"/>
            </w:pPr>
            <w:r>
              <w:rPr>
                <w:rFonts w:ascii="Montserrat SemiBold" w:hAnsi="Montserrat SemiBold"/>
                <w:sz w:val="24"/>
              </w:rPr>
              <w:t>Mateo 5:3  NVI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1. El diagnóstico honesto</w:t>
      </w:r>
      <w:r>
        <w:rPr>
          <w:sz w:val="28"/>
        </w:rPr>
        <w:t xml:space="preserve"> Antes de cultivar esta bienaventuranza, necesitamos entender qué es — y qué no es.</w:t>
      </w:r>
    </w:p>
    <w:p>
      <w:pPr>
        <w:spacing w:after="40" w:before="40" w:line="336" w:lineRule="auto"/>
      </w:pPr>
      <w:r>
        <w:rPr>
          <w:b/>
          <w:sz w:val="26"/>
        </w:rPr>
        <w:t>a. Bienaventurados no es solo un sentimiento pasajero:</w:t>
      </w:r>
      <w:r>
        <w:rPr>
          <w:sz w:val="26"/>
        </w:rPr>
        <w:t xml:space="preserve"> describe un estado de plenitud que no depende de las circunstancias.</w:t>
      </w:r>
    </w:p>
    <w:p>
      <w:pPr>
        <w:spacing w:after="40" w:before="40" w:line="336" w:lineRule="auto"/>
      </w:pPr>
      <w:r>
        <w:rPr>
          <w:b/>
          <w:sz w:val="26"/>
          <w:u w:val="single"/>
        </w:rPr>
        <w:t>BIENAVENTURADOS (makarios)</w:t>
      </w:r>
      <w:r>
        <w:rPr>
          <w:sz w:val="26"/>
        </w:rPr>
        <w:t>: adjetivo que denota felicidad, alguien muy bendecido, digno de ser felicitado.</w:t>
      </w:r>
    </w:p>
    <w:p>
      <w:pPr>
        <w:spacing w:after="40" w:before="40" w:line="336" w:lineRule="auto"/>
      </w:pPr>
      <w:r>
        <w:rPr>
          <w:b/>
          <w:sz w:val="26"/>
        </w:rPr>
        <w:t>b. Pobre no describe una carencia parcial:</w:t>
      </w:r>
      <w:r>
        <w:rPr>
          <w:sz w:val="26"/>
        </w:rPr>
        <w:t xml:space="preserve"> describe a alguien completamente desamparado, sin nada con qué sostenerse.</w:t>
      </w:r>
    </w:p>
    <w:p>
      <w:pPr>
        <w:spacing w:after="40" w:before="40" w:line="336" w:lineRule="auto"/>
      </w:pPr>
      <w:r>
        <w:rPr>
          <w:b/>
          <w:sz w:val="26"/>
          <w:u w:val="single"/>
        </w:rPr>
        <w:t>POBRE (ptōchos)</w:t>
      </w:r>
      <w:r>
        <w:rPr>
          <w:sz w:val="26"/>
        </w:rPr>
        <w:t>: comunica la idea de mendigo, pordiosero y desamparado — pobreza absoluta y pública, no oculta.</w:t>
      </w:r>
    </w:p>
    <w:p>
      <w:pPr>
        <w:spacing w:after="40" w:before="40" w:line="336" w:lineRule="auto"/>
      </w:pPr>
      <w:r>
        <w:rPr>
          <w:b/>
          <w:sz w:val="26"/>
        </w:rPr>
        <w:t>c. Pobre en espíritu es reconocer bancarrota espiritual ante Dios, sin maquillaje:</w:t>
      </w:r>
      <w:r>
        <w:rPr>
          <w:sz w:val="26"/>
        </w:rPr>
        <w:t xml:space="preserve"> no que nos falta “un poco más”, sino que sin Él no tenemos con qué sostenernos.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4325"/>
        <w:jc w:val="right"/>
      </w:tblPr>
      <w:tblGrid>
        <w:gridCol w:w="4325"/>
      </w:tblGrid>
      <w:tblGrid>
        <w:gridCol w:w="5045"/>
      </w:tblGrid>
      <w:tr>
        <w:tc>
          <w:tcPr>
            <w:tcW w:type="dxa" w:w="4325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336" w:lineRule="auto"/>
            </w:pPr>
            <w:r>
              <w:rPr>
                <w:b/>
                <w:i/>
                <w:sz w:val="28"/>
              </w:rPr>
              <w:t xml:space="preserve">Aplicación: </w:t>
            </w:r>
            <w:r>
              <w:rPr>
                <w:i/>
                <w:sz w:val="28"/>
              </w:rPr>
              <w:t>¿Qué parte de nuestra vida mostramos resuelta por fuera, aunque por dentro sepamos que estamos en bancarrota espiritual?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2. El error que confundimos</w:t>
      </w:r>
      <w:r>
        <w:rPr>
          <w:sz w:val="28"/>
        </w:rPr>
        <w:t xml:space="preserve"> No toda tristeza es esta bienaventuranza — y no toda seguridad es salud espiritual.</w:t>
      </w:r>
    </w:p>
    <w:p>
      <w:pPr>
        <w:spacing w:after="40" w:before="40" w:line="336" w:lineRule="auto"/>
      </w:pPr>
      <w:r>
        <w:rPr>
          <w:b/>
          <w:sz w:val="26"/>
        </w:rPr>
        <w:t>a. No es baja autoestima ni sufrimiento:</w:t>
      </w:r>
      <w:r>
        <w:rPr>
          <w:sz w:val="26"/>
        </w:rPr>
        <w:t xml:space="preserve"> eso también lo vive cualquiera, tenga o no tenga a Dios. Jesús no alaba la miseria — alaba el reconocimiento de una miseria específica.</w:t>
      </w:r>
    </w:p>
    <w:p>
      <w:pPr>
        <w:spacing w:after="40" w:before="40" w:line="336" w:lineRule="auto"/>
      </w:pPr>
      <w:r>
        <w:rPr>
          <w:b/>
          <w:sz w:val="26"/>
        </w:rPr>
        <w:t>b. El contra-modelo es Laodicea:</w:t>
      </w:r>
      <w:r>
        <w:rPr>
          <w:sz w:val="26"/>
        </w:rPr>
        <w:t xml:space="preserve"> se sentía rica y no se daba cuenta de que estaba pobre, ciega y desnuda espiritualmente (Apocalipsis 3:17).</w:t>
      </w:r>
    </w:p>
    <w:p>
      <w:pPr>
        <w:spacing w:after="40" w:before="40" w:line="336" w:lineRule="auto"/>
      </w:pPr>
      <w:r>
        <w:rPr>
          <w:b/>
          <w:sz w:val="26"/>
        </w:rPr>
        <w:t>c. Cuanto más resolvemos solos, más fácil se nos olvida que necesitamos a Dios:</w:t>
      </w:r>
      <w:r>
        <w:rPr>
          <w:sz w:val="26"/>
        </w:rPr>
        <w:t xml:space="preserve"> no solo para lo material, sino para sostener lo esencial de nuestra vida espiritual.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4325"/>
        <w:jc w:val="right"/>
      </w:tblPr>
      <w:tblGrid>
        <w:gridCol w:w="4325"/>
      </w:tblGrid>
      <w:tblGrid>
        <w:gridCol w:w="5045"/>
      </w:tblGrid>
      <w:tr>
        <w:tc>
          <w:tcPr>
            <w:tcW w:type="dxa" w:w="4325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336" w:lineRule="auto"/>
            </w:pPr>
            <w:r>
              <w:rPr>
                <w:b/>
                <w:i/>
                <w:sz w:val="28"/>
              </w:rPr>
              <w:t xml:space="preserve">Aplicación: </w:t>
            </w:r>
            <w:r>
              <w:rPr>
                <w:i/>
                <w:sz w:val="28"/>
              </w:rPr>
              <w:t>¿Nos hemos acostumbrado tanto a resolver todo solos que dejamos de sentir que necesitamos a Dios?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3. El camino para cultivarla</w:t>
      </w:r>
      <w:r>
        <w:rPr>
          <w:sz w:val="28"/>
        </w:rPr>
        <w:t xml:space="preserve"> Reconocerla no alcanza — necesitamos ponerla en práctica.</w:t>
      </w:r>
    </w:p>
    <w:p>
      <w:pPr>
        <w:spacing w:after="40" w:before="40" w:line="336" w:lineRule="auto"/>
      </w:pPr>
      <w:r>
        <w:rPr>
          <w:b/>
          <w:sz w:val="26"/>
        </w:rPr>
        <w:t>a. Vernos como realmente somos, sin maquillaje:</w:t>
      </w:r>
      <w:r>
        <w:rPr>
          <w:sz w:val="26"/>
        </w:rPr>
        <w:t xml:space="preserve"> “¡Miserable de mí! ¿Quién me librará de este cuerpo de muerte?” (Romanos 7:24).</w:t>
      </w:r>
    </w:p>
    <w:p>
      <w:pPr>
        <w:spacing w:after="40" w:before="40" w:line="336" w:lineRule="auto"/>
      </w:pPr>
      <w:r>
        <w:rPr>
          <w:b/>
          <w:sz w:val="26"/>
        </w:rPr>
        <w:t>b. Reconocer que no producimos vida espiritual con esfuerzo propio:</w:t>
      </w:r>
      <w:r>
        <w:rPr>
          <w:sz w:val="26"/>
        </w:rPr>
        <w:t xml:space="preserve"> “Dios es el que en vosotros produce así el querer como el hacer” (Filipenses 2:13).</w:t>
      </w:r>
    </w:p>
    <w:p>
      <w:pPr>
        <w:spacing w:after="40" w:before="40" w:line="336" w:lineRule="auto"/>
      </w:pPr>
      <w:r>
        <w:rPr>
          <w:b/>
          <w:sz w:val="26"/>
        </w:rPr>
        <w:t>c. Buscar ser llenos continuamente:</w:t>
      </w:r>
      <w:r>
        <w:rPr>
          <w:sz w:val="26"/>
        </w:rPr>
        <w:t xml:space="preserve"> la cercanía con Dios no nos sacia — nos da más hambre de Él (Salmos 73:26).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4325"/>
        <w:jc w:val="right"/>
      </w:tblPr>
      <w:tblGrid>
        <w:gridCol w:w="4325"/>
      </w:tblGrid>
      <w:tblGrid>
        <w:gridCol w:w="5045"/>
      </w:tblGrid>
      <w:tr>
        <w:tc>
          <w:tcPr>
            <w:tcW w:type="dxa" w:w="4325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336" w:lineRule="auto"/>
            </w:pPr>
            <w:r>
              <w:rPr>
                <w:b/>
                <w:i/>
                <w:sz w:val="28"/>
              </w:rPr>
              <w:t xml:space="preserve">Aplicación: </w:t>
            </w:r>
            <w:r>
              <w:rPr>
                <w:i/>
                <w:sz w:val="28"/>
              </w:rPr>
              <w:t>Necesitamos dejar de fingir que estamos completos, y empezar a acercarnos a Dios reconociendo lo que nos falta.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Conclusión</w:t>
      </w:r>
      <w:r>
        <w:rPr>
          <w:sz w:val="28"/>
        </w:rPr>
        <w:t xml:space="preserve"> La pobreza en espíritu no es debilidad — es la puerta de entrada al reino de los cielos. Los que menos tienen para ofrecerle a Dios son, paradójicamente, los que más reciben de Él.</w:t>
      </w:r>
    </w:p>
    <w:p/>
    <w:p>
      <w:r>
        <w:rPr>
          <w:b/>
          <w:sz w:val="26"/>
        </w:rPr>
        <w:t>Ejemplos de la Biblia:</w:t>
      </w:r>
    </w:p>
    <w:p>
      <w:pPr>
        <w:spacing w:after="20" w:before="20" w:line="336" w:lineRule="auto"/>
      </w:pPr>
      <w:r>
        <w:rPr>
          <w:b/>
          <w:sz w:val="24"/>
        </w:rPr>
        <w:t xml:space="preserve">Éxodo 33:15: </w:t>
      </w:r>
      <w:r>
        <w:rPr>
          <w:sz w:val="24"/>
        </w:rPr>
        <w:t>Moisés se niega a avanzar sin la presencia de Dios: sabe que sin Él no tiene con qué sostenerse.</w:t>
      </w:r>
    </w:p>
    <w:p>
      <w:pPr>
        <w:spacing w:after="20" w:before="20" w:line="336" w:lineRule="auto"/>
      </w:pPr>
      <w:r>
        <w:rPr>
          <w:b/>
          <w:sz w:val="24"/>
        </w:rPr>
        <w:t xml:space="preserve">Isaías 6:5: </w:t>
      </w:r>
      <w:r>
        <w:rPr>
          <w:sz w:val="24"/>
        </w:rPr>
        <w:t>El profeta, frente a la santidad de Dios, reconoce su propia ruina: “¡Ay de mí! Soy un hombre de labios inmundos.”</w:t>
      </w:r>
    </w:p>
    <w:p>
      <w:pPr>
        <w:spacing w:after="20" w:before="20" w:line="336" w:lineRule="auto"/>
      </w:pPr>
      <w:r>
        <w:rPr>
          <w:b/>
          <w:sz w:val="24"/>
        </w:rPr>
        <w:t xml:space="preserve">Lucas 5:8: </w:t>
      </w:r>
      <w:r>
        <w:rPr>
          <w:sz w:val="24"/>
        </w:rPr>
        <w:t>Pedro, frente al poder de Jesús, cae y le pide que se aparte de él por ser hombre pecador.</w:t>
      </w:r>
    </w:p>
    <w:p/>
    <w:sectPr w:rsidR="00FC693F" w:rsidRPr="0006063C" w:rsidSect="00034616">
      <w:headerReference w:type="default" r:id="rId9"/>
      <w:footerReference w:type="default" r:id="rId10"/>
      <w:pgSz w:w="5953" w:h="10772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/>
    <w:r>
      <w:drawing>
        <wp:inline xmlns:a="http://schemas.openxmlformats.org/drawingml/2006/main" xmlns:pic="http://schemas.openxmlformats.org/drawingml/2006/picture">
          <wp:extent cx="209550" cy="2095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L RENUEVO-R-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sz w:val="18"/>
        <w:color w:val="666666"/>
      </w:rPr>
      <w:t xml:space="preserve">  Pobres en espíritu  •  Serie Las Bienaventuranzas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