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0"/>
        <w:rPr>
          <w:b w:val="1"/>
        </w:rPr>
      </w:pPr>
      <w:r w:rsidDel="00000000" w:rsidR="00000000" w:rsidRPr="00000000">
        <w:rPr>
          <w:b w:val="1"/>
          <w:rtl w:val="0"/>
        </w:rPr>
        <w:t xml:space="preserve">OEE360: Enterprise Overall Equipment Effectiveness Solution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Objective: </w:t>
      </w:r>
      <w:r w:rsidDel="00000000" w:rsidR="00000000" w:rsidRPr="00000000">
        <w:rPr>
          <w:rtl w:val="0"/>
        </w:rPr>
        <w:t xml:space="preserve">To track OEE metric and identify key factors responsible for missing production targets.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Goals</w:t>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user should be able to identify low performing plants, and to prioritize action for improving OEE either through effective maintenance planning, Root Cause Analysis, Identification of Bad Actors etc. For doing so, the UI should be able to provide a quick and intuitive understanding of issues using plots and charts, preferably in real time, for each category of issue and their combinations. The key value proposition is providing the ability to derive insights from different data sources and raise alerts for quick action and recovery of production.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Hypothesis</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Plant Managers</w:t>
      </w:r>
      <w:r w:rsidDel="00000000" w:rsidR="00000000" w:rsidRPr="00000000">
        <w:rPr>
          <w:rtl w:val="0"/>
        </w:rPr>
        <w:t xml:space="preserve"> struggle to integrate data and identify issues because data is distributed, siloed and hard to analyze.</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Director of Corporate Operations</w:t>
      </w:r>
      <w:r w:rsidDel="00000000" w:rsidR="00000000" w:rsidRPr="00000000">
        <w:rPr>
          <w:rtl w:val="0"/>
        </w:rPr>
        <w:t xml:space="preserve"> find it hard to perform a comparative analysis of OEE across different plants, determine underperforming assets, and ROI reporting on reliability initiatives.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hypothesis is that Enterprise OEE is able to solve these problems.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Personas: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Plant Manager</w:t>
      </w:r>
    </w:p>
    <w:p w:rsidR="00000000" w:rsidDel="00000000" w:rsidP="00000000" w:rsidRDefault="00000000" w:rsidRPr="00000000" w14:paraId="00000013">
      <w:pPr>
        <w:ind w:firstLine="720"/>
        <w:rPr>
          <w:b w:val="1"/>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Goals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Maximize OEE</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Reduce unplanned downtime</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Ensure safety and compliance</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Key KPI (Leading and Lagging Indicators)</w:t>
      </w:r>
    </w:p>
    <w:p w:rsidR="00000000" w:rsidDel="00000000" w:rsidP="00000000" w:rsidRDefault="00000000" w:rsidRPr="00000000" w14:paraId="0000001B">
      <w:pPr>
        <w:numPr>
          <w:ilvl w:val="0"/>
          <w:numId w:val="4"/>
        </w:numPr>
        <w:ind w:left="1440" w:hanging="360"/>
        <w:rPr/>
      </w:pPr>
      <w:r w:rsidDel="00000000" w:rsidR="00000000" w:rsidRPr="00000000">
        <w:rPr>
          <w:rtl w:val="0"/>
        </w:rPr>
        <w:t xml:space="preserve">Number of reactive maintenance work orders</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Overdue reactive maintenance</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Planned maintenance compliance</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Number of critical RCA</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Overdue Safety Critical Maintenance</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Number of active Plant Reliability Threats (PRT)</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Active Bad Actors</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Bad Actor Management Duration</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Average Alarm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Operations Director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ab/>
        <w:t xml:space="preserve">Goals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3"/>
        </w:numPr>
        <w:ind w:left="1440" w:hanging="360"/>
        <w:rPr/>
      </w:pPr>
      <w:r w:rsidDel="00000000" w:rsidR="00000000" w:rsidRPr="00000000">
        <w:rPr>
          <w:rtl w:val="0"/>
        </w:rPr>
        <w:t xml:space="preserve">Compare plant OEE performance</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Make/Recommend investment decisions for improving OEE</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Scenario planning for comparing investment choices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firstLine="720"/>
        <w:rPr>
          <w:b w:val="1"/>
        </w:rPr>
      </w:pPr>
      <w:r w:rsidDel="00000000" w:rsidR="00000000" w:rsidRPr="00000000">
        <w:rPr>
          <w:b w:val="1"/>
          <w:rtl w:val="0"/>
        </w:rPr>
        <w:t xml:space="preserve">Key KPI (Leading and Lagging Indicators)</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OEE of each plant (real time or over a duration) </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Top reasons (quantitative) for lower OEE in each category</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Expected improvement in OEE by improving leading indicators (ambitious)</w:t>
      </w:r>
    </w:p>
    <w:p w:rsidR="00000000" w:rsidDel="00000000" w:rsidP="00000000" w:rsidRDefault="00000000" w:rsidRPr="00000000" w14:paraId="00000031">
      <w:pPr>
        <w:ind w:left="0" w:firstLine="720"/>
        <w:rPr/>
      </w:pP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firstLine="720"/>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