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10129211"/>
        <w:docPartObj>
          <w:docPartGallery w:val="Cover Pages"/>
          <w:docPartUnique/>
        </w:docPartObj>
      </w:sdtPr>
      <w:sdtEndPr/>
      <w:sdtContent>
        <w:p w14:paraId="6DE369DB" w14:textId="666F8266" w:rsidR="005773BC" w:rsidRDefault="005773BC"/>
        <w:p w14:paraId="20D0317E" w14:textId="47C44D17" w:rsidR="005773BC" w:rsidRDefault="005773BC">
          <w:r>
            <w:rPr>
              <w:noProof/>
            </w:rPr>
            <mc:AlternateContent>
              <mc:Choice Requires="wps">
                <w:drawing>
                  <wp:anchor distT="0" distB="0" distL="182880" distR="182880" simplePos="0" relativeHeight="251660288" behindDoc="0" locked="0" layoutInCell="1" allowOverlap="1" wp14:anchorId="4A632E89" wp14:editId="59FD1BE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BDE6FD" w14:textId="391DDB57" w:rsidR="005773BC" w:rsidRDefault="0073437D">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773BC">
                                      <w:rPr>
                                        <w:color w:val="4472C4" w:themeColor="accent1"/>
                                        <w:sz w:val="72"/>
                                        <w:szCs w:val="72"/>
                                      </w:rPr>
                                      <w:t>Metagenomics &amp; Metatranscriptomics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65349A8" w14:textId="3ABF2C5F" w:rsidR="005773BC" w:rsidRDefault="005773BC">
                                    <w:pPr>
                                      <w:pStyle w:val="NoSpacing"/>
                                      <w:spacing w:before="40" w:after="40"/>
                                      <w:rPr>
                                        <w:caps/>
                                        <w:color w:val="1F4E79" w:themeColor="accent5" w:themeShade="80"/>
                                        <w:sz w:val="28"/>
                                        <w:szCs w:val="28"/>
                                      </w:rPr>
                                    </w:pPr>
                                    <w:r>
                                      <w:rPr>
                                        <w:caps/>
                                        <w:color w:val="1F4E79" w:themeColor="accent5" w:themeShade="80"/>
                                        <w:sz w:val="28"/>
                                        <w:szCs w:val="28"/>
                                      </w:rPr>
                                      <w:t>EECS 730 Mini review</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43D9265" w14:textId="6C481896" w:rsidR="005773BC" w:rsidRDefault="005773BC">
                                    <w:pPr>
                                      <w:pStyle w:val="NoSpacing"/>
                                      <w:spacing w:before="80" w:after="40"/>
                                      <w:rPr>
                                        <w:caps/>
                                        <w:color w:val="5B9BD5" w:themeColor="accent5"/>
                                        <w:sz w:val="24"/>
                                        <w:szCs w:val="24"/>
                                      </w:rPr>
                                    </w:pPr>
                                    <w:r>
                                      <w:rPr>
                                        <w:caps/>
                                        <w:color w:val="5B9BD5" w:themeColor="accent5"/>
                                        <w:sz w:val="24"/>
                                        <w:szCs w:val="24"/>
                                      </w:rPr>
                                      <w:t>Peduri Madhu</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A632E89"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2EBDE6FD" w14:textId="391DDB57" w:rsidR="005773BC" w:rsidRDefault="0073437D">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773BC">
                                <w:rPr>
                                  <w:color w:val="4472C4" w:themeColor="accent1"/>
                                  <w:sz w:val="72"/>
                                  <w:szCs w:val="72"/>
                                </w:rPr>
                                <w:t>Metagenomics &amp; Metatranscriptomics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65349A8" w14:textId="3ABF2C5F" w:rsidR="005773BC" w:rsidRDefault="005773BC">
                              <w:pPr>
                                <w:pStyle w:val="NoSpacing"/>
                                <w:spacing w:before="40" w:after="40"/>
                                <w:rPr>
                                  <w:caps/>
                                  <w:color w:val="1F4E79" w:themeColor="accent5" w:themeShade="80"/>
                                  <w:sz w:val="28"/>
                                  <w:szCs w:val="28"/>
                                </w:rPr>
                              </w:pPr>
                              <w:r>
                                <w:rPr>
                                  <w:caps/>
                                  <w:color w:val="1F4E79" w:themeColor="accent5" w:themeShade="80"/>
                                  <w:sz w:val="28"/>
                                  <w:szCs w:val="28"/>
                                </w:rPr>
                                <w:t>EECS 730 Mini review</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43D9265" w14:textId="6C481896" w:rsidR="005773BC" w:rsidRDefault="005773BC">
                              <w:pPr>
                                <w:pStyle w:val="NoSpacing"/>
                                <w:spacing w:before="80" w:after="40"/>
                                <w:rPr>
                                  <w:caps/>
                                  <w:color w:val="5B9BD5" w:themeColor="accent5"/>
                                  <w:sz w:val="24"/>
                                  <w:szCs w:val="24"/>
                                </w:rPr>
                              </w:pPr>
                              <w:r>
                                <w:rPr>
                                  <w:caps/>
                                  <w:color w:val="5B9BD5" w:themeColor="accent5"/>
                                  <w:sz w:val="24"/>
                                  <w:szCs w:val="24"/>
                                </w:rPr>
                                <w:t>Peduri Madhu</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E2365F8" wp14:editId="0F0BD62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4AB9FE73" w14:textId="2C328F3F" w:rsidR="005773BC" w:rsidRDefault="005773BC">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E2365F8"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4AB9FE73" w14:textId="2C328F3F" w:rsidR="005773BC" w:rsidRDefault="005773BC">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rPr>
        <w:id w:val="554514054"/>
        <w:docPartObj>
          <w:docPartGallery w:val="Table of Contents"/>
          <w:docPartUnique/>
        </w:docPartObj>
      </w:sdtPr>
      <w:sdtEndPr>
        <w:rPr>
          <w:b/>
          <w:bCs/>
          <w:noProof/>
        </w:rPr>
      </w:sdtEndPr>
      <w:sdtContent>
        <w:p w14:paraId="6C4547E6" w14:textId="25C20F43" w:rsidR="00FA4BA6" w:rsidRDefault="00FA4BA6" w:rsidP="00DA6BC3">
          <w:pPr>
            <w:pStyle w:val="TOCHeading"/>
            <w:spacing w:line="360" w:lineRule="auto"/>
          </w:pPr>
          <w:r>
            <w:t>Contents</w:t>
          </w:r>
        </w:p>
        <w:p w14:paraId="472D59D6" w14:textId="77777777" w:rsidR="00FA4BA6" w:rsidRPr="00FA4BA6" w:rsidRDefault="00FA4BA6" w:rsidP="00DA6BC3">
          <w:pPr>
            <w:spacing w:line="360" w:lineRule="auto"/>
          </w:pPr>
        </w:p>
        <w:p w14:paraId="479E2F18" w14:textId="5A3BEE00" w:rsidR="00503C97" w:rsidRDefault="00FA4BA6" w:rsidP="00DA6BC3">
          <w:pPr>
            <w:pStyle w:val="TOC1"/>
            <w:tabs>
              <w:tab w:val="left" w:pos="440"/>
              <w:tab w:val="right" w:leader="dot" w:pos="9350"/>
            </w:tabs>
            <w:spacing w:line="360" w:lineRule="auto"/>
            <w:rPr>
              <w:rFonts w:eastAsiaTheme="minorEastAsia"/>
              <w:noProof/>
            </w:rPr>
          </w:pPr>
          <w:r>
            <w:fldChar w:fldCharType="begin"/>
          </w:r>
          <w:r>
            <w:instrText xml:space="preserve"> TOC \o "1-3" \h \z \u </w:instrText>
          </w:r>
          <w:r>
            <w:fldChar w:fldCharType="separate"/>
          </w:r>
          <w:hyperlink w:anchor="_Toc71916027" w:history="1">
            <w:r w:rsidR="00503C97" w:rsidRPr="00D835B0">
              <w:rPr>
                <w:rStyle w:val="Hyperlink"/>
                <w:rFonts w:ascii="Times New Roman" w:hAnsi="Times New Roman" w:cs="Times New Roman"/>
                <w:noProof/>
              </w:rPr>
              <w:t>1.</w:t>
            </w:r>
            <w:r w:rsidR="00503C97">
              <w:rPr>
                <w:rFonts w:eastAsiaTheme="minorEastAsia"/>
                <w:noProof/>
              </w:rPr>
              <w:tab/>
            </w:r>
            <w:r w:rsidR="00503C97" w:rsidRPr="00D835B0">
              <w:rPr>
                <w:rStyle w:val="Hyperlink"/>
                <w:rFonts w:ascii="Times New Roman" w:hAnsi="Times New Roman" w:cs="Times New Roman"/>
                <w:noProof/>
              </w:rPr>
              <w:t>Introduction</w:t>
            </w:r>
            <w:r w:rsidR="00503C97">
              <w:rPr>
                <w:noProof/>
                <w:webHidden/>
              </w:rPr>
              <w:tab/>
            </w:r>
            <w:r w:rsidR="00503C97">
              <w:rPr>
                <w:noProof/>
                <w:webHidden/>
              </w:rPr>
              <w:fldChar w:fldCharType="begin"/>
            </w:r>
            <w:r w:rsidR="00503C97">
              <w:rPr>
                <w:noProof/>
                <w:webHidden/>
              </w:rPr>
              <w:instrText xml:space="preserve"> PAGEREF _Toc71916027 \h </w:instrText>
            </w:r>
            <w:r w:rsidR="00503C97">
              <w:rPr>
                <w:noProof/>
                <w:webHidden/>
              </w:rPr>
            </w:r>
            <w:r w:rsidR="00503C97">
              <w:rPr>
                <w:noProof/>
                <w:webHidden/>
              </w:rPr>
              <w:fldChar w:fldCharType="separate"/>
            </w:r>
            <w:r w:rsidR="00503C97">
              <w:rPr>
                <w:noProof/>
                <w:webHidden/>
              </w:rPr>
              <w:t>2</w:t>
            </w:r>
            <w:r w:rsidR="00503C97">
              <w:rPr>
                <w:noProof/>
                <w:webHidden/>
              </w:rPr>
              <w:fldChar w:fldCharType="end"/>
            </w:r>
          </w:hyperlink>
        </w:p>
        <w:p w14:paraId="1A819705" w14:textId="6DDA9093" w:rsidR="00503C97" w:rsidRDefault="0073437D" w:rsidP="00DA6BC3">
          <w:pPr>
            <w:pStyle w:val="TOC1"/>
            <w:tabs>
              <w:tab w:val="left" w:pos="440"/>
              <w:tab w:val="right" w:leader="dot" w:pos="9350"/>
            </w:tabs>
            <w:spacing w:line="360" w:lineRule="auto"/>
            <w:rPr>
              <w:rFonts w:eastAsiaTheme="minorEastAsia"/>
              <w:noProof/>
            </w:rPr>
          </w:pPr>
          <w:hyperlink w:anchor="_Toc71916028" w:history="1">
            <w:r w:rsidR="00503C97" w:rsidRPr="00D835B0">
              <w:rPr>
                <w:rStyle w:val="Hyperlink"/>
                <w:rFonts w:ascii="Times New Roman" w:hAnsi="Times New Roman" w:cs="Times New Roman"/>
                <w:noProof/>
              </w:rPr>
              <w:t>2.</w:t>
            </w:r>
            <w:r w:rsidR="00503C97">
              <w:rPr>
                <w:rFonts w:eastAsiaTheme="minorEastAsia"/>
                <w:noProof/>
              </w:rPr>
              <w:tab/>
            </w:r>
            <w:r w:rsidR="00503C97" w:rsidRPr="00D835B0">
              <w:rPr>
                <w:rStyle w:val="Hyperlink"/>
                <w:rFonts w:ascii="Times New Roman" w:hAnsi="Times New Roman" w:cs="Times New Roman"/>
                <w:noProof/>
              </w:rPr>
              <w:t>Metagenomics</w:t>
            </w:r>
            <w:r w:rsidR="00503C97">
              <w:rPr>
                <w:noProof/>
                <w:webHidden/>
              </w:rPr>
              <w:tab/>
            </w:r>
            <w:r w:rsidR="00503C97">
              <w:rPr>
                <w:noProof/>
                <w:webHidden/>
              </w:rPr>
              <w:fldChar w:fldCharType="begin"/>
            </w:r>
            <w:r w:rsidR="00503C97">
              <w:rPr>
                <w:noProof/>
                <w:webHidden/>
              </w:rPr>
              <w:instrText xml:space="preserve"> PAGEREF _Toc71916028 \h </w:instrText>
            </w:r>
            <w:r w:rsidR="00503C97">
              <w:rPr>
                <w:noProof/>
                <w:webHidden/>
              </w:rPr>
            </w:r>
            <w:r w:rsidR="00503C97">
              <w:rPr>
                <w:noProof/>
                <w:webHidden/>
              </w:rPr>
              <w:fldChar w:fldCharType="separate"/>
            </w:r>
            <w:r w:rsidR="00503C97">
              <w:rPr>
                <w:noProof/>
                <w:webHidden/>
              </w:rPr>
              <w:t>3</w:t>
            </w:r>
            <w:r w:rsidR="00503C97">
              <w:rPr>
                <w:noProof/>
                <w:webHidden/>
              </w:rPr>
              <w:fldChar w:fldCharType="end"/>
            </w:r>
          </w:hyperlink>
        </w:p>
        <w:p w14:paraId="788B527C" w14:textId="0EAF8CE0" w:rsidR="00503C97" w:rsidRDefault="0073437D" w:rsidP="00DA6BC3">
          <w:pPr>
            <w:pStyle w:val="TOC2"/>
            <w:tabs>
              <w:tab w:val="left" w:pos="880"/>
              <w:tab w:val="right" w:leader="dot" w:pos="9350"/>
            </w:tabs>
            <w:spacing w:line="360" w:lineRule="auto"/>
            <w:rPr>
              <w:rFonts w:eastAsiaTheme="minorEastAsia"/>
              <w:noProof/>
            </w:rPr>
          </w:pPr>
          <w:hyperlink w:anchor="_Toc71916029" w:history="1">
            <w:r w:rsidR="00503C97" w:rsidRPr="00D835B0">
              <w:rPr>
                <w:rStyle w:val="Hyperlink"/>
                <w:rFonts w:ascii="Times New Roman" w:hAnsi="Times New Roman" w:cs="Times New Roman"/>
                <w:noProof/>
              </w:rPr>
              <w:t>2.1.</w:t>
            </w:r>
            <w:r w:rsidR="00503C97">
              <w:rPr>
                <w:rFonts w:eastAsiaTheme="minorEastAsia"/>
                <w:noProof/>
              </w:rPr>
              <w:tab/>
            </w:r>
            <w:r w:rsidR="00503C97" w:rsidRPr="00D835B0">
              <w:rPr>
                <w:rStyle w:val="Hyperlink"/>
                <w:rFonts w:ascii="Times New Roman" w:hAnsi="Times New Roman" w:cs="Times New Roman"/>
                <w:noProof/>
              </w:rPr>
              <w:t>DNA Extraction</w:t>
            </w:r>
            <w:r w:rsidR="00503C97">
              <w:rPr>
                <w:noProof/>
                <w:webHidden/>
              </w:rPr>
              <w:tab/>
            </w:r>
            <w:r w:rsidR="00503C97">
              <w:rPr>
                <w:noProof/>
                <w:webHidden/>
              </w:rPr>
              <w:fldChar w:fldCharType="begin"/>
            </w:r>
            <w:r w:rsidR="00503C97">
              <w:rPr>
                <w:noProof/>
                <w:webHidden/>
              </w:rPr>
              <w:instrText xml:space="preserve"> PAGEREF _Toc71916029 \h </w:instrText>
            </w:r>
            <w:r w:rsidR="00503C97">
              <w:rPr>
                <w:noProof/>
                <w:webHidden/>
              </w:rPr>
            </w:r>
            <w:r w:rsidR="00503C97">
              <w:rPr>
                <w:noProof/>
                <w:webHidden/>
              </w:rPr>
              <w:fldChar w:fldCharType="separate"/>
            </w:r>
            <w:r w:rsidR="00503C97">
              <w:rPr>
                <w:noProof/>
                <w:webHidden/>
              </w:rPr>
              <w:t>3</w:t>
            </w:r>
            <w:r w:rsidR="00503C97">
              <w:rPr>
                <w:noProof/>
                <w:webHidden/>
              </w:rPr>
              <w:fldChar w:fldCharType="end"/>
            </w:r>
          </w:hyperlink>
        </w:p>
        <w:p w14:paraId="13E85DAE" w14:textId="40E48623" w:rsidR="00503C97" w:rsidRDefault="0073437D" w:rsidP="00DA6BC3">
          <w:pPr>
            <w:pStyle w:val="TOC3"/>
            <w:tabs>
              <w:tab w:val="left" w:pos="1320"/>
              <w:tab w:val="right" w:leader="dot" w:pos="9350"/>
            </w:tabs>
            <w:spacing w:line="360" w:lineRule="auto"/>
            <w:rPr>
              <w:rFonts w:eastAsiaTheme="minorEastAsia"/>
              <w:noProof/>
            </w:rPr>
          </w:pPr>
          <w:hyperlink w:anchor="_Toc71916030" w:history="1">
            <w:r w:rsidR="00503C97" w:rsidRPr="00D835B0">
              <w:rPr>
                <w:rStyle w:val="Hyperlink"/>
                <w:rFonts w:ascii="Times New Roman" w:hAnsi="Times New Roman" w:cs="Times New Roman"/>
                <w:noProof/>
              </w:rPr>
              <w:t>2.1.1.</w:t>
            </w:r>
            <w:r w:rsidR="00503C97">
              <w:rPr>
                <w:rFonts w:eastAsiaTheme="minorEastAsia"/>
                <w:noProof/>
              </w:rPr>
              <w:tab/>
            </w:r>
            <w:r w:rsidR="00503C97" w:rsidRPr="00D835B0">
              <w:rPr>
                <w:rStyle w:val="Hyperlink"/>
                <w:rFonts w:ascii="Times New Roman" w:hAnsi="Times New Roman" w:cs="Times New Roman"/>
                <w:noProof/>
              </w:rPr>
              <w:t>Sampling</w:t>
            </w:r>
            <w:r w:rsidR="00503C97">
              <w:rPr>
                <w:noProof/>
                <w:webHidden/>
              </w:rPr>
              <w:tab/>
            </w:r>
            <w:r w:rsidR="00503C97">
              <w:rPr>
                <w:noProof/>
                <w:webHidden/>
              </w:rPr>
              <w:fldChar w:fldCharType="begin"/>
            </w:r>
            <w:r w:rsidR="00503C97">
              <w:rPr>
                <w:noProof/>
                <w:webHidden/>
              </w:rPr>
              <w:instrText xml:space="preserve"> PAGEREF _Toc71916030 \h </w:instrText>
            </w:r>
            <w:r w:rsidR="00503C97">
              <w:rPr>
                <w:noProof/>
                <w:webHidden/>
              </w:rPr>
            </w:r>
            <w:r w:rsidR="00503C97">
              <w:rPr>
                <w:noProof/>
                <w:webHidden/>
              </w:rPr>
              <w:fldChar w:fldCharType="separate"/>
            </w:r>
            <w:r w:rsidR="00503C97">
              <w:rPr>
                <w:noProof/>
                <w:webHidden/>
              </w:rPr>
              <w:t>3</w:t>
            </w:r>
            <w:r w:rsidR="00503C97">
              <w:rPr>
                <w:noProof/>
                <w:webHidden/>
              </w:rPr>
              <w:fldChar w:fldCharType="end"/>
            </w:r>
          </w:hyperlink>
        </w:p>
        <w:p w14:paraId="545E8EC9" w14:textId="3AA614B9" w:rsidR="00503C97" w:rsidRDefault="0073437D" w:rsidP="00DA6BC3">
          <w:pPr>
            <w:pStyle w:val="TOC3"/>
            <w:tabs>
              <w:tab w:val="left" w:pos="1320"/>
              <w:tab w:val="right" w:leader="dot" w:pos="9350"/>
            </w:tabs>
            <w:spacing w:line="360" w:lineRule="auto"/>
            <w:rPr>
              <w:rFonts w:eastAsiaTheme="minorEastAsia"/>
              <w:noProof/>
            </w:rPr>
          </w:pPr>
          <w:hyperlink w:anchor="_Toc71916031" w:history="1">
            <w:r w:rsidR="00503C97" w:rsidRPr="00D835B0">
              <w:rPr>
                <w:rStyle w:val="Hyperlink"/>
                <w:rFonts w:ascii="Times New Roman" w:hAnsi="Times New Roman" w:cs="Times New Roman"/>
                <w:noProof/>
              </w:rPr>
              <w:t>2.1.2.</w:t>
            </w:r>
            <w:r w:rsidR="00503C97">
              <w:rPr>
                <w:rFonts w:eastAsiaTheme="minorEastAsia"/>
                <w:noProof/>
              </w:rPr>
              <w:tab/>
            </w:r>
            <w:r w:rsidR="00503C97" w:rsidRPr="00D835B0">
              <w:rPr>
                <w:rStyle w:val="Hyperlink"/>
                <w:rFonts w:ascii="Times New Roman" w:hAnsi="Times New Roman" w:cs="Times New Roman"/>
                <w:noProof/>
              </w:rPr>
              <w:t>Extraction methods</w:t>
            </w:r>
            <w:r w:rsidR="00503C97">
              <w:rPr>
                <w:noProof/>
                <w:webHidden/>
              </w:rPr>
              <w:tab/>
            </w:r>
            <w:r w:rsidR="00503C97">
              <w:rPr>
                <w:noProof/>
                <w:webHidden/>
              </w:rPr>
              <w:fldChar w:fldCharType="begin"/>
            </w:r>
            <w:r w:rsidR="00503C97">
              <w:rPr>
                <w:noProof/>
                <w:webHidden/>
              </w:rPr>
              <w:instrText xml:space="preserve"> PAGEREF _Toc71916031 \h </w:instrText>
            </w:r>
            <w:r w:rsidR="00503C97">
              <w:rPr>
                <w:noProof/>
                <w:webHidden/>
              </w:rPr>
            </w:r>
            <w:r w:rsidR="00503C97">
              <w:rPr>
                <w:noProof/>
                <w:webHidden/>
              </w:rPr>
              <w:fldChar w:fldCharType="separate"/>
            </w:r>
            <w:r w:rsidR="00503C97">
              <w:rPr>
                <w:noProof/>
                <w:webHidden/>
              </w:rPr>
              <w:t>3</w:t>
            </w:r>
            <w:r w:rsidR="00503C97">
              <w:rPr>
                <w:noProof/>
                <w:webHidden/>
              </w:rPr>
              <w:fldChar w:fldCharType="end"/>
            </w:r>
          </w:hyperlink>
        </w:p>
        <w:p w14:paraId="4A98A629" w14:textId="1652D068" w:rsidR="00503C97" w:rsidRDefault="0073437D" w:rsidP="00DA6BC3">
          <w:pPr>
            <w:pStyle w:val="TOC2"/>
            <w:tabs>
              <w:tab w:val="left" w:pos="880"/>
              <w:tab w:val="right" w:leader="dot" w:pos="9350"/>
            </w:tabs>
            <w:spacing w:line="360" w:lineRule="auto"/>
            <w:rPr>
              <w:rFonts w:eastAsiaTheme="minorEastAsia"/>
              <w:noProof/>
            </w:rPr>
          </w:pPr>
          <w:hyperlink w:anchor="_Toc71916032" w:history="1">
            <w:r w:rsidR="00503C97" w:rsidRPr="00D835B0">
              <w:rPr>
                <w:rStyle w:val="Hyperlink"/>
                <w:rFonts w:ascii="Times New Roman" w:hAnsi="Times New Roman" w:cs="Times New Roman"/>
                <w:noProof/>
              </w:rPr>
              <w:t>2.2.</w:t>
            </w:r>
            <w:r w:rsidR="00503C97">
              <w:rPr>
                <w:rFonts w:eastAsiaTheme="minorEastAsia"/>
                <w:noProof/>
              </w:rPr>
              <w:tab/>
            </w:r>
            <w:r w:rsidR="00503C97" w:rsidRPr="00D835B0">
              <w:rPr>
                <w:rStyle w:val="Hyperlink"/>
                <w:rFonts w:ascii="Times New Roman" w:hAnsi="Times New Roman" w:cs="Times New Roman"/>
                <w:noProof/>
              </w:rPr>
              <w:t>Sequencing</w:t>
            </w:r>
            <w:r w:rsidR="00503C97">
              <w:rPr>
                <w:noProof/>
                <w:webHidden/>
              </w:rPr>
              <w:tab/>
            </w:r>
            <w:r w:rsidR="00503C97">
              <w:rPr>
                <w:noProof/>
                <w:webHidden/>
              </w:rPr>
              <w:fldChar w:fldCharType="begin"/>
            </w:r>
            <w:r w:rsidR="00503C97">
              <w:rPr>
                <w:noProof/>
                <w:webHidden/>
              </w:rPr>
              <w:instrText xml:space="preserve"> PAGEREF _Toc71916032 \h </w:instrText>
            </w:r>
            <w:r w:rsidR="00503C97">
              <w:rPr>
                <w:noProof/>
                <w:webHidden/>
              </w:rPr>
            </w:r>
            <w:r w:rsidR="00503C97">
              <w:rPr>
                <w:noProof/>
                <w:webHidden/>
              </w:rPr>
              <w:fldChar w:fldCharType="separate"/>
            </w:r>
            <w:r w:rsidR="00503C97">
              <w:rPr>
                <w:noProof/>
                <w:webHidden/>
              </w:rPr>
              <w:t>4</w:t>
            </w:r>
            <w:r w:rsidR="00503C97">
              <w:rPr>
                <w:noProof/>
                <w:webHidden/>
              </w:rPr>
              <w:fldChar w:fldCharType="end"/>
            </w:r>
          </w:hyperlink>
        </w:p>
        <w:p w14:paraId="5D2B575F" w14:textId="10799E66" w:rsidR="00503C97" w:rsidRDefault="0073437D" w:rsidP="00DA6BC3">
          <w:pPr>
            <w:pStyle w:val="TOC3"/>
            <w:tabs>
              <w:tab w:val="left" w:pos="1320"/>
              <w:tab w:val="right" w:leader="dot" w:pos="9350"/>
            </w:tabs>
            <w:spacing w:line="360" w:lineRule="auto"/>
            <w:rPr>
              <w:rFonts w:eastAsiaTheme="minorEastAsia"/>
              <w:noProof/>
            </w:rPr>
          </w:pPr>
          <w:hyperlink w:anchor="_Toc71916033" w:history="1">
            <w:r w:rsidR="00503C97" w:rsidRPr="00D835B0">
              <w:rPr>
                <w:rStyle w:val="Hyperlink"/>
                <w:rFonts w:ascii="Times New Roman" w:hAnsi="Times New Roman" w:cs="Times New Roman"/>
                <w:noProof/>
              </w:rPr>
              <w:t>2.2.1.</w:t>
            </w:r>
            <w:r w:rsidR="00503C97">
              <w:rPr>
                <w:rFonts w:eastAsiaTheme="minorEastAsia"/>
                <w:noProof/>
              </w:rPr>
              <w:tab/>
            </w:r>
            <w:r w:rsidR="00503C97" w:rsidRPr="00D835B0">
              <w:rPr>
                <w:rStyle w:val="Hyperlink"/>
                <w:rFonts w:ascii="Times New Roman" w:hAnsi="Times New Roman" w:cs="Times New Roman"/>
                <w:noProof/>
              </w:rPr>
              <w:t>Shotgun sequencing</w:t>
            </w:r>
            <w:r w:rsidR="00503C97">
              <w:rPr>
                <w:noProof/>
                <w:webHidden/>
              </w:rPr>
              <w:tab/>
            </w:r>
            <w:r w:rsidR="00503C97">
              <w:rPr>
                <w:noProof/>
                <w:webHidden/>
              </w:rPr>
              <w:fldChar w:fldCharType="begin"/>
            </w:r>
            <w:r w:rsidR="00503C97">
              <w:rPr>
                <w:noProof/>
                <w:webHidden/>
              </w:rPr>
              <w:instrText xml:space="preserve"> PAGEREF _Toc71916033 \h </w:instrText>
            </w:r>
            <w:r w:rsidR="00503C97">
              <w:rPr>
                <w:noProof/>
                <w:webHidden/>
              </w:rPr>
            </w:r>
            <w:r w:rsidR="00503C97">
              <w:rPr>
                <w:noProof/>
                <w:webHidden/>
              </w:rPr>
              <w:fldChar w:fldCharType="separate"/>
            </w:r>
            <w:r w:rsidR="00503C97">
              <w:rPr>
                <w:noProof/>
                <w:webHidden/>
              </w:rPr>
              <w:t>4</w:t>
            </w:r>
            <w:r w:rsidR="00503C97">
              <w:rPr>
                <w:noProof/>
                <w:webHidden/>
              </w:rPr>
              <w:fldChar w:fldCharType="end"/>
            </w:r>
          </w:hyperlink>
        </w:p>
        <w:p w14:paraId="62C3C79A" w14:textId="6631A01D" w:rsidR="00503C97" w:rsidRDefault="0073437D" w:rsidP="00DA6BC3">
          <w:pPr>
            <w:pStyle w:val="TOC3"/>
            <w:tabs>
              <w:tab w:val="left" w:pos="1320"/>
              <w:tab w:val="right" w:leader="dot" w:pos="9350"/>
            </w:tabs>
            <w:spacing w:line="360" w:lineRule="auto"/>
            <w:rPr>
              <w:rFonts w:eastAsiaTheme="minorEastAsia"/>
              <w:noProof/>
            </w:rPr>
          </w:pPr>
          <w:hyperlink w:anchor="_Toc71916034" w:history="1">
            <w:r w:rsidR="00503C97" w:rsidRPr="00D835B0">
              <w:rPr>
                <w:rStyle w:val="Hyperlink"/>
                <w:rFonts w:ascii="Times New Roman" w:hAnsi="Times New Roman" w:cs="Times New Roman"/>
                <w:noProof/>
              </w:rPr>
              <w:t>2.2.2.</w:t>
            </w:r>
            <w:r w:rsidR="00503C97">
              <w:rPr>
                <w:rFonts w:eastAsiaTheme="minorEastAsia"/>
                <w:noProof/>
              </w:rPr>
              <w:tab/>
            </w:r>
            <w:r w:rsidR="00503C97" w:rsidRPr="00D835B0">
              <w:rPr>
                <w:rStyle w:val="Hyperlink"/>
                <w:rFonts w:ascii="Times New Roman" w:hAnsi="Times New Roman" w:cs="Times New Roman"/>
                <w:noProof/>
              </w:rPr>
              <w:t>Amplicon (16S RNA) sequencing</w:t>
            </w:r>
            <w:r w:rsidR="00503C97">
              <w:rPr>
                <w:noProof/>
                <w:webHidden/>
              </w:rPr>
              <w:tab/>
            </w:r>
            <w:r w:rsidR="00503C97">
              <w:rPr>
                <w:noProof/>
                <w:webHidden/>
              </w:rPr>
              <w:fldChar w:fldCharType="begin"/>
            </w:r>
            <w:r w:rsidR="00503C97">
              <w:rPr>
                <w:noProof/>
                <w:webHidden/>
              </w:rPr>
              <w:instrText xml:space="preserve"> PAGEREF _Toc71916034 \h </w:instrText>
            </w:r>
            <w:r w:rsidR="00503C97">
              <w:rPr>
                <w:noProof/>
                <w:webHidden/>
              </w:rPr>
            </w:r>
            <w:r w:rsidR="00503C97">
              <w:rPr>
                <w:noProof/>
                <w:webHidden/>
              </w:rPr>
              <w:fldChar w:fldCharType="separate"/>
            </w:r>
            <w:r w:rsidR="00503C97">
              <w:rPr>
                <w:noProof/>
                <w:webHidden/>
              </w:rPr>
              <w:t>5</w:t>
            </w:r>
            <w:r w:rsidR="00503C97">
              <w:rPr>
                <w:noProof/>
                <w:webHidden/>
              </w:rPr>
              <w:fldChar w:fldCharType="end"/>
            </w:r>
          </w:hyperlink>
        </w:p>
        <w:p w14:paraId="0BCD54F6" w14:textId="1C7A12A9" w:rsidR="00503C97" w:rsidRDefault="0073437D" w:rsidP="00DA6BC3">
          <w:pPr>
            <w:pStyle w:val="TOC2"/>
            <w:tabs>
              <w:tab w:val="left" w:pos="880"/>
              <w:tab w:val="right" w:leader="dot" w:pos="9350"/>
            </w:tabs>
            <w:spacing w:line="360" w:lineRule="auto"/>
            <w:rPr>
              <w:rFonts w:eastAsiaTheme="minorEastAsia"/>
              <w:noProof/>
            </w:rPr>
          </w:pPr>
          <w:hyperlink w:anchor="_Toc71916035" w:history="1">
            <w:r w:rsidR="00503C97" w:rsidRPr="00D835B0">
              <w:rPr>
                <w:rStyle w:val="Hyperlink"/>
                <w:rFonts w:ascii="Times New Roman" w:hAnsi="Times New Roman" w:cs="Times New Roman"/>
                <w:noProof/>
              </w:rPr>
              <w:t>2.3.</w:t>
            </w:r>
            <w:r w:rsidR="00503C97">
              <w:rPr>
                <w:rFonts w:eastAsiaTheme="minorEastAsia"/>
                <w:noProof/>
              </w:rPr>
              <w:tab/>
            </w:r>
            <w:r w:rsidR="00503C97" w:rsidRPr="00D835B0">
              <w:rPr>
                <w:rStyle w:val="Hyperlink"/>
                <w:rFonts w:ascii="Times New Roman" w:hAnsi="Times New Roman" w:cs="Times New Roman"/>
                <w:noProof/>
              </w:rPr>
              <w:t>Assembly</w:t>
            </w:r>
            <w:r w:rsidR="00503C97">
              <w:rPr>
                <w:noProof/>
                <w:webHidden/>
              </w:rPr>
              <w:tab/>
            </w:r>
            <w:r w:rsidR="00503C97">
              <w:rPr>
                <w:noProof/>
                <w:webHidden/>
              </w:rPr>
              <w:fldChar w:fldCharType="begin"/>
            </w:r>
            <w:r w:rsidR="00503C97">
              <w:rPr>
                <w:noProof/>
                <w:webHidden/>
              </w:rPr>
              <w:instrText xml:space="preserve"> PAGEREF _Toc71916035 \h </w:instrText>
            </w:r>
            <w:r w:rsidR="00503C97">
              <w:rPr>
                <w:noProof/>
                <w:webHidden/>
              </w:rPr>
            </w:r>
            <w:r w:rsidR="00503C97">
              <w:rPr>
                <w:noProof/>
                <w:webHidden/>
              </w:rPr>
              <w:fldChar w:fldCharType="separate"/>
            </w:r>
            <w:r w:rsidR="00503C97">
              <w:rPr>
                <w:noProof/>
                <w:webHidden/>
              </w:rPr>
              <w:t>6</w:t>
            </w:r>
            <w:r w:rsidR="00503C97">
              <w:rPr>
                <w:noProof/>
                <w:webHidden/>
              </w:rPr>
              <w:fldChar w:fldCharType="end"/>
            </w:r>
          </w:hyperlink>
        </w:p>
        <w:p w14:paraId="5F411810" w14:textId="6DCA24E0" w:rsidR="00503C97" w:rsidRDefault="0073437D" w:rsidP="00DA6BC3">
          <w:pPr>
            <w:pStyle w:val="TOC3"/>
            <w:tabs>
              <w:tab w:val="left" w:pos="1320"/>
              <w:tab w:val="right" w:leader="dot" w:pos="9350"/>
            </w:tabs>
            <w:spacing w:line="360" w:lineRule="auto"/>
            <w:rPr>
              <w:rFonts w:eastAsiaTheme="minorEastAsia"/>
              <w:noProof/>
            </w:rPr>
          </w:pPr>
          <w:hyperlink w:anchor="_Toc71916036" w:history="1">
            <w:r w:rsidR="00503C97" w:rsidRPr="00D835B0">
              <w:rPr>
                <w:rStyle w:val="Hyperlink"/>
                <w:rFonts w:ascii="Times New Roman" w:hAnsi="Times New Roman" w:cs="Times New Roman"/>
                <w:noProof/>
              </w:rPr>
              <w:t>2.3.1.</w:t>
            </w:r>
            <w:r w:rsidR="00503C97">
              <w:rPr>
                <w:rFonts w:eastAsiaTheme="minorEastAsia"/>
                <w:noProof/>
              </w:rPr>
              <w:tab/>
            </w:r>
            <w:r w:rsidR="00503C97" w:rsidRPr="00D835B0">
              <w:rPr>
                <w:rStyle w:val="Hyperlink"/>
                <w:rFonts w:ascii="Times New Roman" w:hAnsi="Times New Roman" w:cs="Times New Roman"/>
                <w:noProof/>
              </w:rPr>
              <w:t>Reference-based assembly</w:t>
            </w:r>
            <w:r w:rsidR="00503C97">
              <w:rPr>
                <w:noProof/>
                <w:webHidden/>
              </w:rPr>
              <w:tab/>
            </w:r>
            <w:r w:rsidR="00503C97">
              <w:rPr>
                <w:noProof/>
                <w:webHidden/>
              </w:rPr>
              <w:fldChar w:fldCharType="begin"/>
            </w:r>
            <w:r w:rsidR="00503C97">
              <w:rPr>
                <w:noProof/>
                <w:webHidden/>
              </w:rPr>
              <w:instrText xml:space="preserve"> PAGEREF _Toc71916036 \h </w:instrText>
            </w:r>
            <w:r w:rsidR="00503C97">
              <w:rPr>
                <w:noProof/>
                <w:webHidden/>
              </w:rPr>
            </w:r>
            <w:r w:rsidR="00503C97">
              <w:rPr>
                <w:noProof/>
                <w:webHidden/>
              </w:rPr>
              <w:fldChar w:fldCharType="separate"/>
            </w:r>
            <w:r w:rsidR="00503C97">
              <w:rPr>
                <w:noProof/>
                <w:webHidden/>
              </w:rPr>
              <w:t>6</w:t>
            </w:r>
            <w:r w:rsidR="00503C97">
              <w:rPr>
                <w:noProof/>
                <w:webHidden/>
              </w:rPr>
              <w:fldChar w:fldCharType="end"/>
            </w:r>
          </w:hyperlink>
        </w:p>
        <w:p w14:paraId="5F450E94" w14:textId="15B39D35" w:rsidR="00503C97" w:rsidRDefault="0073437D" w:rsidP="00DA6BC3">
          <w:pPr>
            <w:pStyle w:val="TOC3"/>
            <w:tabs>
              <w:tab w:val="left" w:pos="1320"/>
              <w:tab w:val="right" w:leader="dot" w:pos="9350"/>
            </w:tabs>
            <w:spacing w:line="360" w:lineRule="auto"/>
            <w:rPr>
              <w:rFonts w:eastAsiaTheme="minorEastAsia"/>
              <w:noProof/>
            </w:rPr>
          </w:pPr>
          <w:hyperlink w:anchor="_Toc71916037" w:history="1">
            <w:r w:rsidR="00503C97" w:rsidRPr="00D835B0">
              <w:rPr>
                <w:rStyle w:val="Hyperlink"/>
                <w:rFonts w:ascii="Times New Roman" w:hAnsi="Times New Roman" w:cs="Times New Roman"/>
                <w:noProof/>
              </w:rPr>
              <w:t>2.3.2.</w:t>
            </w:r>
            <w:r w:rsidR="00503C97">
              <w:rPr>
                <w:rFonts w:eastAsiaTheme="minorEastAsia"/>
                <w:noProof/>
              </w:rPr>
              <w:tab/>
            </w:r>
            <w:r w:rsidR="00503C97" w:rsidRPr="00D835B0">
              <w:rPr>
                <w:rStyle w:val="Hyperlink"/>
                <w:rFonts w:ascii="Times New Roman" w:hAnsi="Times New Roman" w:cs="Times New Roman"/>
                <w:noProof/>
              </w:rPr>
              <w:t>De Novo assembly</w:t>
            </w:r>
            <w:r w:rsidR="00503C97">
              <w:rPr>
                <w:noProof/>
                <w:webHidden/>
              </w:rPr>
              <w:tab/>
            </w:r>
            <w:r w:rsidR="00503C97">
              <w:rPr>
                <w:noProof/>
                <w:webHidden/>
              </w:rPr>
              <w:fldChar w:fldCharType="begin"/>
            </w:r>
            <w:r w:rsidR="00503C97">
              <w:rPr>
                <w:noProof/>
                <w:webHidden/>
              </w:rPr>
              <w:instrText xml:space="preserve"> PAGEREF _Toc71916037 \h </w:instrText>
            </w:r>
            <w:r w:rsidR="00503C97">
              <w:rPr>
                <w:noProof/>
                <w:webHidden/>
              </w:rPr>
            </w:r>
            <w:r w:rsidR="00503C97">
              <w:rPr>
                <w:noProof/>
                <w:webHidden/>
              </w:rPr>
              <w:fldChar w:fldCharType="separate"/>
            </w:r>
            <w:r w:rsidR="00503C97">
              <w:rPr>
                <w:noProof/>
                <w:webHidden/>
              </w:rPr>
              <w:t>7</w:t>
            </w:r>
            <w:r w:rsidR="00503C97">
              <w:rPr>
                <w:noProof/>
                <w:webHidden/>
              </w:rPr>
              <w:fldChar w:fldCharType="end"/>
            </w:r>
          </w:hyperlink>
        </w:p>
        <w:p w14:paraId="774D2BC3" w14:textId="621034FE" w:rsidR="00503C97" w:rsidRDefault="0073437D" w:rsidP="00DA6BC3">
          <w:pPr>
            <w:pStyle w:val="TOC2"/>
            <w:tabs>
              <w:tab w:val="left" w:pos="880"/>
              <w:tab w:val="right" w:leader="dot" w:pos="9350"/>
            </w:tabs>
            <w:spacing w:line="360" w:lineRule="auto"/>
            <w:rPr>
              <w:rFonts w:eastAsiaTheme="minorEastAsia"/>
              <w:noProof/>
            </w:rPr>
          </w:pPr>
          <w:hyperlink w:anchor="_Toc71916038" w:history="1">
            <w:r w:rsidR="00503C97" w:rsidRPr="00D835B0">
              <w:rPr>
                <w:rStyle w:val="Hyperlink"/>
                <w:rFonts w:ascii="Times New Roman" w:hAnsi="Times New Roman" w:cs="Times New Roman"/>
                <w:noProof/>
              </w:rPr>
              <w:t>2.4.</w:t>
            </w:r>
            <w:r w:rsidR="00503C97">
              <w:rPr>
                <w:rFonts w:eastAsiaTheme="minorEastAsia"/>
                <w:noProof/>
              </w:rPr>
              <w:tab/>
            </w:r>
            <w:r w:rsidR="00503C97" w:rsidRPr="00D835B0">
              <w:rPr>
                <w:rStyle w:val="Hyperlink"/>
                <w:rFonts w:ascii="Times New Roman" w:hAnsi="Times New Roman" w:cs="Times New Roman"/>
                <w:noProof/>
              </w:rPr>
              <w:t>Binning</w:t>
            </w:r>
            <w:r w:rsidR="00503C97">
              <w:rPr>
                <w:noProof/>
                <w:webHidden/>
              </w:rPr>
              <w:tab/>
            </w:r>
            <w:r w:rsidR="00503C97">
              <w:rPr>
                <w:noProof/>
                <w:webHidden/>
              </w:rPr>
              <w:fldChar w:fldCharType="begin"/>
            </w:r>
            <w:r w:rsidR="00503C97">
              <w:rPr>
                <w:noProof/>
                <w:webHidden/>
              </w:rPr>
              <w:instrText xml:space="preserve"> PAGEREF _Toc71916038 \h </w:instrText>
            </w:r>
            <w:r w:rsidR="00503C97">
              <w:rPr>
                <w:noProof/>
                <w:webHidden/>
              </w:rPr>
            </w:r>
            <w:r w:rsidR="00503C97">
              <w:rPr>
                <w:noProof/>
                <w:webHidden/>
              </w:rPr>
              <w:fldChar w:fldCharType="separate"/>
            </w:r>
            <w:r w:rsidR="00503C97">
              <w:rPr>
                <w:noProof/>
                <w:webHidden/>
              </w:rPr>
              <w:t>8</w:t>
            </w:r>
            <w:r w:rsidR="00503C97">
              <w:rPr>
                <w:noProof/>
                <w:webHidden/>
              </w:rPr>
              <w:fldChar w:fldCharType="end"/>
            </w:r>
          </w:hyperlink>
        </w:p>
        <w:p w14:paraId="6694DC89" w14:textId="29407C72" w:rsidR="00503C97" w:rsidRDefault="0073437D" w:rsidP="00DA6BC3">
          <w:pPr>
            <w:pStyle w:val="TOC1"/>
            <w:tabs>
              <w:tab w:val="left" w:pos="440"/>
              <w:tab w:val="right" w:leader="dot" w:pos="9350"/>
            </w:tabs>
            <w:spacing w:line="360" w:lineRule="auto"/>
            <w:rPr>
              <w:rFonts w:eastAsiaTheme="minorEastAsia"/>
              <w:noProof/>
            </w:rPr>
          </w:pPr>
          <w:hyperlink w:anchor="_Toc71916039" w:history="1">
            <w:r w:rsidR="00503C97" w:rsidRPr="00D835B0">
              <w:rPr>
                <w:rStyle w:val="Hyperlink"/>
                <w:noProof/>
              </w:rPr>
              <w:t>3.</w:t>
            </w:r>
            <w:r w:rsidR="00503C97">
              <w:rPr>
                <w:rFonts w:eastAsiaTheme="minorEastAsia"/>
                <w:noProof/>
              </w:rPr>
              <w:tab/>
            </w:r>
            <w:r w:rsidR="00503C97" w:rsidRPr="00D835B0">
              <w:rPr>
                <w:rStyle w:val="Hyperlink"/>
                <w:rFonts w:ascii="Times New Roman" w:hAnsi="Times New Roman" w:cs="Times New Roman"/>
                <w:noProof/>
              </w:rPr>
              <w:t>Metatranscriptomics</w:t>
            </w:r>
            <w:r w:rsidR="00503C97">
              <w:rPr>
                <w:noProof/>
                <w:webHidden/>
              </w:rPr>
              <w:tab/>
            </w:r>
            <w:r w:rsidR="00503C97">
              <w:rPr>
                <w:noProof/>
                <w:webHidden/>
              </w:rPr>
              <w:fldChar w:fldCharType="begin"/>
            </w:r>
            <w:r w:rsidR="00503C97">
              <w:rPr>
                <w:noProof/>
                <w:webHidden/>
              </w:rPr>
              <w:instrText xml:space="preserve"> PAGEREF _Toc71916039 \h </w:instrText>
            </w:r>
            <w:r w:rsidR="00503C97">
              <w:rPr>
                <w:noProof/>
                <w:webHidden/>
              </w:rPr>
            </w:r>
            <w:r w:rsidR="00503C97">
              <w:rPr>
                <w:noProof/>
                <w:webHidden/>
              </w:rPr>
              <w:fldChar w:fldCharType="separate"/>
            </w:r>
            <w:r w:rsidR="00503C97">
              <w:rPr>
                <w:noProof/>
                <w:webHidden/>
              </w:rPr>
              <w:t>9</w:t>
            </w:r>
            <w:r w:rsidR="00503C97">
              <w:rPr>
                <w:noProof/>
                <w:webHidden/>
              </w:rPr>
              <w:fldChar w:fldCharType="end"/>
            </w:r>
          </w:hyperlink>
        </w:p>
        <w:p w14:paraId="77DD67FB" w14:textId="7F5EFE77" w:rsidR="00503C97" w:rsidRDefault="0073437D" w:rsidP="00DA6BC3">
          <w:pPr>
            <w:pStyle w:val="TOC2"/>
            <w:tabs>
              <w:tab w:val="left" w:pos="880"/>
              <w:tab w:val="right" w:leader="dot" w:pos="9350"/>
            </w:tabs>
            <w:spacing w:line="360" w:lineRule="auto"/>
            <w:rPr>
              <w:rFonts w:eastAsiaTheme="minorEastAsia"/>
              <w:noProof/>
            </w:rPr>
          </w:pPr>
          <w:hyperlink w:anchor="_Toc71916040" w:history="1">
            <w:r w:rsidR="00503C97" w:rsidRPr="00D835B0">
              <w:rPr>
                <w:rStyle w:val="Hyperlink"/>
                <w:rFonts w:ascii="Times New Roman" w:hAnsi="Times New Roman" w:cs="Times New Roman"/>
                <w:noProof/>
              </w:rPr>
              <w:t>3.1.</w:t>
            </w:r>
            <w:r w:rsidR="00503C97">
              <w:rPr>
                <w:rFonts w:eastAsiaTheme="minorEastAsia"/>
                <w:noProof/>
              </w:rPr>
              <w:tab/>
            </w:r>
            <w:r w:rsidR="00503C97" w:rsidRPr="00D835B0">
              <w:rPr>
                <w:rStyle w:val="Hyperlink"/>
                <w:rFonts w:ascii="Times New Roman" w:hAnsi="Times New Roman" w:cs="Times New Roman"/>
                <w:noProof/>
              </w:rPr>
              <w:t>RNA Purification</w:t>
            </w:r>
            <w:r w:rsidR="00503C97">
              <w:rPr>
                <w:noProof/>
                <w:webHidden/>
              </w:rPr>
              <w:tab/>
            </w:r>
            <w:r w:rsidR="00503C97">
              <w:rPr>
                <w:noProof/>
                <w:webHidden/>
              </w:rPr>
              <w:fldChar w:fldCharType="begin"/>
            </w:r>
            <w:r w:rsidR="00503C97">
              <w:rPr>
                <w:noProof/>
                <w:webHidden/>
              </w:rPr>
              <w:instrText xml:space="preserve"> PAGEREF _Toc71916040 \h </w:instrText>
            </w:r>
            <w:r w:rsidR="00503C97">
              <w:rPr>
                <w:noProof/>
                <w:webHidden/>
              </w:rPr>
            </w:r>
            <w:r w:rsidR="00503C97">
              <w:rPr>
                <w:noProof/>
                <w:webHidden/>
              </w:rPr>
              <w:fldChar w:fldCharType="separate"/>
            </w:r>
            <w:r w:rsidR="00503C97">
              <w:rPr>
                <w:noProof/>
                <w:webHidden/>
              </w:rPr>
              <w:t>9</w:t>
            </w:r>
            <w:r w:rsidR="00503C97">
              <w:rPr>
                <w:noProof/>
                <w:webHidden/>
              </w:rPr>
              <w:fldChar w:fldCharType="end"/>
            </w:r>
          </w:hyperlink>
        </w:p>
        <w:p w14:paraId="03EAFDD3" w14:textId="28E3F97C" w:rsidR="00503C97" w:rsidRDefault="0073437D" w:rsidP="00DA6BC3">
          <w:pPr>
            <w:pStyle w:val="TOC2"/>
            <w:tabs>
              <w:tab w:val="left" w:pos="880"/>
              <w:tab w:val="right" w:leader="dot" w:pos="9350"/>
            </w:tabs>
            <w:spacing w:line="360" w:lineRule="auto"/>
            <w:rPr>
              <w:rFonts w:eastAsiaTheme="minorEastAsia"/>
              <w:noProof/>
            </w:rPr>
          </w:pPr>
          <w:hyperlink w:anchor="_Toc71916041" w:history="1">
            <w:r w:rsidR="00503C97" w:rsidRPr="00D835B0">
              <w:rPr>
                <w:rStyle w:val="Hyperlink"/>
                <w:rFonts w:ascii="Times New Roman" w:hAnsi="Times New Roman" w:cs="Times New Roman"/>
                <w:noProof/>
              </w:rPr>
              <w:t>3.2.</w:t>
            </w:r>
            <w:r w:rsidR="00503C97">
              <w:rPr>
                <w:rFonts w:eastAsiaTheme="minorEastAsia"/>
                <w:noProof/>
              </w:rPr>
              <w:tab/>
            </w:r>
            <w:r w:rsidR="00503C97" w:rsidRPr="00D835B0">
              <w:rPr>
                <w:rStyle w:val="Hyperlink"/>
                <w:rFonts w:ascii="Times New Roman" w:hAnsi="Times New Roman" w:cs="Times New Roman"/>
                <w:noProof/>
              </w:rPr>
              <w:t>Library preparation</w:t>
            </w:r>
            <w:r w:rsidR="00503C97">
              <w:rPr>
                <w:noProof/>
                <w:webHidden/>
              </w:rPr>
              <w:tab/>
            </w:r>
            <w:r w:rsidR="00503C97">
              <w:rPr>
                <w:noProof/>
                <w:webHidden/>
              </w:rPr>
              <w:fldChar w:fldCharType="begin"/>
            </w:r>
            <w:r w:rsidR="00503C97">
              <w:rPr>
                <w:noProof/>
                <w:webHidden/>
              </w:rPr>
              <w:instrText xml:space="preserve"> PAGEREF _Toc71916041 \h </w:instrText>
            </w:r>
            <w:r w:rsidR="00503C97">
              <w:rPr>
                <w:noProof/>
                <w:webHidden/>
              </w:rPr>
            </w:r>
            <w:r w:rsidR="00503C97">
              <w:rPr>
                <w:noProof/>
                <w:webHidden/>
              </w:rPr>
              <w:fldChar w:fldCharType="separate"/>
            </w:r>
            <w:r w:rsidR="00503C97">
              <w:rPr>
                <w:noProof/>
                <w:webHidden/>
              </w:rPr>
              <w:t>10</w:t>
            </w:r>
            <w:r w:rsidR="00503C97">
              <w:rPr>
                <w:noProof/>
                <w:webHidden/>
              </w:rPr>
              <w:fldChar w:fldCharType="end"/>
            </w:r>
          </w:hyperlink>
        </w:p>
        <w:p w14:paraId="69184205" w14:textId="0C80CAF6" w:rsidR="00503C97" w:rsidRDefault="0073437D" w:rsidP="00DA6BC3">
          <w:pPr>
            <w:pStyle w:val="TOC2"/>
            <w:tabs>
              <w:tab w:val="left" w:pos="880"/>
              <w:tab w:val="right" w:leader="dot" w:pos="9350"/>
            </w:tabs>
            <w:spacing w:line="360" w:lineRule="auto"/>
            <w:rPr>
              <w:rFonts w:eastAsiaTheme="minorEastAsia"/>
              <w:noProof/>
            </w:rPr>
          </w:pPr>
          <w:hyperlink w:anchor="_Toc71916042" w:history="1">
            <w:r w:rsidR="00503C97" w:rsidRPr="00D835B0">
              <w:rPr>
                <w:rStyle w:val="Hyperlink"/>
                <w:rFonts w:ascii="Times New Roman" w:hAnsi="Times New Roman" w:cs="Times New Roman"/>
                <w:noProof/>
              </w:rPr>
              <w:t>3.3.</w:t>
            </w:r>
            <w:r w:rsidR="00503C97">
              <w:rPr>
                <w:rFonts w:eastAsiaTheme="minorEastAsia"/>
                <w:noProof/>
              </w:rPr>
              <w:tab/>
            </w:r>
            <w:r w:rsidR="00503C97" w:rsidRPr="00D835B0">
              <w:rPr>
                <w:rStyle w:val="Hyperlink"/>
                <w:rFonts w:ascii="Times New Roman" w:hAnsi="Times New Roman" w:cs="Times New Roman"/>
                <w:noProof/>
              </w:rPr>
              <w:t>RNA Sequence</w:t>
            </w:r>
            <w:r w:rsidR="00503C97">
              <w:rPr>
                <w:noProof/>
                <w:webHidden/>
              </w:rPr>
              <w:tab/>
            </w:r>
            <w:r w:rsidR="00503C97">
              <w:rPr>
                <w:noProof/>
                <w:webHidden/>
              </w:rPr>
              <w:fldChar w:fldCharType="begin"/>
            </w:r>
            <w:r w:rsidR="00503C97">
              <w:rPr>
                <w:noProof/>
                <w:webHidden/>
              </w:rPr>
              <w:instrText xml:space="preserve"> PAGEREF _Toc71916042 \h </w:instrText>
            </w:r>
            <w:r w:rsidR="00503C97">
              <w:rPr>
                <w:noProof/>
                <w:webHidden/>
              </w:rPr>
            </w:r>
            <w:r w:rsidR="00503C97">
              <w:rPr>
                <w:noProof/>
                <w:webHidden/>
              </w:rPr>
              <w:fldChar w:fldCharType="separate"/>
            </w:r>
            <w:r w:rsidR="00503C97">
              <w:rPr>
                <w:noProof/>
                <w:webHidden/>
              </w:rPr>
              <w:t>10</w:t>
            </w:r>
            <w:r w:rsidR="00503C97">
              <w:rPr>
                <w:noProof/>
                <w:webHidden/>
              </w:rPr>
              <w:fldChar w:fldCharType="end"/>
            </w:r>
          </w:hyperlink>
        </w:p>
        <w:p w14:paraId="62A9A6C3" w14:textId="249FBF5B" w:rsidR="00503C97" w:rsidRDefault="0073437D" w:rsidP="00DA6BC3">
          <w:pPr>
            <w:pStyle w:val="TOC2"/>
            <w:tabs>
              <w:tab w:val="left" w:pos="880"/>
              <w:tab w:val="right" w:leader="dot" w:pos="9350"/>
            </w:tabs>
            <w:spacing w:line="360" w:lineRule="auto"/>
            <w:rPr>
              <w:rFonts w:eastAsiaTheme="minorEastAsia"/>
              <w:noProof/>
            </w:rPr>
          </w:pPr>
          <w:hyperlink w:anchor="_Toc71916043" w:history="1">
            <w:r w:rsidR="00503C97" w:rsidRPr="00D835B0">
              <w:rPr>
                <w:rStyle w:val="Hyperlink"/>
                <w:rFonts w:ascii="Times New Roman" w:hAnsi="Times New Roman" w:cs="Times New Roman"/>
                <w:noProof/>
              </w:rPr>
              <w:t>3.4.</w:t>
            </w:r>
            <w:r w:rsidR="00503C97">
              <w:rPr>
                <w:rFonts w:eastAsiaTheme="minorEastAsia"/>
                <w:noProof/>
              </w:rPr>
              <w:tab/>
            </w:r>
            <w:r w:rsidR="00503C97" w:rsidRPr="00D835B0">
              <w:rPr>
                <w:rStyle w:val="Hyperlink"/>
                <w:rFonts w:ascii="Times New Roman" w:hAnsi="Times New Roman" w:cs="Times New Roman"/>
                <w:noProof/>
              </w:rPr>
              <w:t>Sequence Assembly</w:t>
            </w:r>
            <w:r w:rsidR="00503C97">
              <w:rPr>
                <w:noProof/>
                <w:webHidden/>
              </w:rPr>
              <w:tab/>
            </w:r>
            <w:r w:rsidR="00503C97">
              <w:rPr>
                <w:noProof/>
                <w:webHidden/>
              </w:rPr>
              <w:fldChar w:fldCharType="begin"/>
            </w:r>
            <w:r w:rsidR="00503C97">
              <w:rPr>
                <w:noProof/>
                <w:webHidden/>
              </w:rPr>
              <w:instrText xml:space="preserve"> PAGEREF _Toc71916043 \h </w:instrText>
            </w:r>
            <w:r w:rsidR="00503C97">
              <w:rPr>
                <w:noProof/>
                <w:webHidden/>
              </w:rPr>
            </w:r>
            <w:r w:rsidR="00503C97">
              <w:rPr>
                <w:noProof/>
                <w:webHidden/>
              </w:rPr>
              <w:fldChar w:fldCharType="separate"/>
            </w:r>
            <w:r w:rsidR="00503C97">
              <w:rPr>
                <w:noProof/>
                <w:webHidden/>
              </w:rPr>
              <w:t>11</w:t>
            </w:r>
            <w:r w:rsidR="00503C97">
              <w:rPr>
                <w:noProof/>
                <w:webHidden/>
              </w:rPr>
              <w:fldChar w:fldCharType="end"/>
            </w:r>
          </w:hyperlink>
        </w:p>
        <w:p w14:paraId="216F64BA" w14:textId="2B6C07F1" w:rsidR="00503C97" w:rsidRDefault="0073437D" w:rsidP="00DA6BC3">
          <w:pPr>
            <w:pStyle w:val="TOC2"/>
            <w:tabs>
              <w:tab w:val="left" w:pos="880"/>
              <w:tab w:val="right" w:leader="dot" w:pos="9350"/>
            </w:tabs>
            <w:spacing w:line="360" w:lineRule="auto"/>
            <w:rPr>
              <w:rFonts w:eastAsiaTheme="minorEastAsia"/>
              <w:noProof/>
            </w:rPr>
          </w:pPr>
          <w:hyperlink w:anchor="_Toc71916044" w:history="1">
            <w:r w:rsidR="00503C97" w:rsidRPr="00D835B0">
              <w:rPr>
                <w:rStyle w:val="Hyperlink"/>
                <w:rFonts w:ascii="Times New Roman" w:hAnsi="Times New Roman" w:cs="Times New Roman"/>
                <w:noProof/>
              </w:rPr>
              <w:t>3.5.</w:t>
            </w:r>
            <w:r w:rsidR="00503C97">
              <w:rPr>
                <w:rFonts w:eastAsiaTheme="minorEastAsia"/>
                <w:noProof/>
              </w:rPr>
              <w:tab/>
            </w:r>
            <w:r w:rsidR="00503C97" w:rsidRPr="00D835B0">
              <w:rPr>
                <w:rStyle w:val="Hyperlink"/>
                <w:rFonts w:ascii="Times New Roman" w:hAnsi="Times New Roman" w:cs="Times New Roman"/>
                <w:noProof/>
              </w:rPr>
              <w:t>Statistical Analysis</w:t>
            </w:r>
            <w:r w:rsidR="00503C97">
              <w:rPr>
                <w:noProof/>
                <w:webHidden/>
              </w:rPr>
              <w:tab/>
            </w:r>
            <w:r w:rsidR="00503C97">
              <w:rPr>
                <w:noProof/>
                <w:webHidden/>
              </w:rPr>
              <w:fldChar w:fldCharType="begin"/>
            </w:r>
            <w:r w:rsidR="00503C97">
              <w:rPr>
                <w:noProof/>
                <w:webHidden/>
              </w:rPr>
              <w:instrText xml:space="preserve"> PAGEREF _Toc71916044 \h </w:instrText>
            </w:r>
            <w:r w:rsidR="00503C97">
              <w:rPr>
                <w:noProof/>
                <w:webHidden/>
              </w:rPr>
            </w:r>
            <w:r w:rsidR="00503C97">
              <w:rPr>
                <w:noProof/>
                <w:webHidden/>
              </w:rPr>
              <w:fldChar w:fldCharType="separate"/>
            </w:r>
            <w:r w:rsidR="00503C97">
              <w:rPr>
                <w:noProof/>
                <w:webHidden/>
              </w:rPr>
              <w:t>11</w:t>
            </w:r>
            <w:r w:rsidR="00503C97">
              <w:rPr>
                <w:noProof/>
                <w:webHidden/>
              </w:rPr>
              <w:fldChar w:fldCharType="end"/>
            </w:r>
          </w:hyperlink>
        </w:p>
        <w:p w14:paraId="4977FDE6" w14:textId="64DBC803" w:rsidR="00503C97" w:rsidRDefault="0073437D" w:rsidP="00DA6BC3">
          <w:pPr>
            <w:pStyle w:val="TOC1"/>
            <w:tabs>
              <w:tab w:val="left" w:pos="440"/>
              <w:tab w:val="right" w:leader="dot" w:pos="9350"/>
            </w:tabs>
            <w:spacing w:line="360" w:lineRule="auto"/>
            <w:rPr>
              <w:rFonts w:eastAsiaTheme="minorEastAsia"/>
              <w:noProof/>
            </w:rPr>
          </w:pPr>
          <w:hyperlink w:anchor="_Toc71916045" w:history="1">
            <w:r w:rsidR="00503C97" w:rsidRPr="00D835B0">
              <w:rPr>
                <w:rStyle w:val="Hyperlink"/>
                <w:rFonts w:ascii="Times New Roman" w:hAnsi="Times New Roman" w:cs="Times New Roman"/>
                <w:noProof/>
              </w:rPr>
              <w:t>4.</w:t>
            </w:r>
            <w:r w:rsidR="00503C97">
              <w:rPr>
                <w:rFonts w:eastAsiaTheme="minorEastAsia"/>
                <w:noProof/>
              </w:rPr>
              <w:tab/>
            </w:r>
            <w:r w:rsidR="00503C97" w:rsidRPr="00D835B0">
              <w:rPr>
                <w:rStyle w:val="Hyperlink"/>
                <w:rFonts w:ascii="Times New Roman" w:hAnsi="Times New Roman" w:cs="Times New Roman"/>
                <w:noProof/>
              </w:rPr>
              <w:t>Scope</w:t>
            </w:r>
            <w:r w:rsidR="00503C97">
              <w:rPr>
                <w:noProof/>
                <w:webHidden/>
              </w:rPr>
              <w:tab/>
            </w:r>
            <w:r w:rsidR="00503C97">
              <w:rPr>
                <w:noProof/>
                <w:webHidden/>
              </w:rPr>
              <w:fldChar w:fldCharType="begin"/>
            </w:r>
            <w:r w:rsidR="00503C97">
              <w:rPr>
                <w:noProof/>
                <w:webHidden/>
              </w:rPr>
              <w:instrText xml:space="preserve"> PAGEREF _Toc71916045 \h </w:instrText>
            </w:r>
            <w:r w:rsidR="00503C97">
              <w:rPr>
                <w:noProof/>
                <w:webHidden/>
              </w:rPr>
            </w:r>
            <w:r w:rsidR="00503C97">
              <w:rPr>
                <w:noProof/>
                <w:webHidden/>
              </w:rPr>
              <w:fldChar w:fldCharType="separate"/>
            </w:r>
            <w:r w:rsidR="00503C97">
              <w:rPr>
                <w:noProof/>
                <w:webHidden/>
              </w:rPr>
              <w:t>14</w:t>
            </w:r>
            <w:r w:rsidR="00503C97">
              <w:rPr>
                <w:noProof/>
                <w:webHidden/>
              </w:rPr>
              <w:fldChar w:fldCharType="end"/>
            </w:r>
          </w:hyperlink>
        </w:p>
        <w:p w14:paraId="1B544197" w14:textId="5453756C" w:rsidR="00503C97" w:rsidRDefault="0073437D" w:rsidP="00DA6BC3">
          <w:pPr>
            <w:pStyle w:val="TOC2"/>
            <w:tabs>
              <w:tab w:val="left" w:pos="880"/>
              <w:tab w:val="right" w:leader="dot" w:pos="9350"/>
            </w:tabs>
            <w:spacing w:line="360" w:lineRule="auto"/>
            <w:rPr>
              <w:rFonts w:eastAsiaTheme="minorEastAsia"/>
              <w:noProof/>
            </w:rPr>
          </w:pPr>
          <w:hyperlink w:anchor="_Toc71916046" w:history="1">
            <w:r w:rsidR="00503C97" w:rsidRPr="00D835B0">
              <w:rPr>
                <w:rStyle w:val="Hyperlink"/>
                <w:rFonts w:ascii="Times New Roman" w:hAnsi="Times New Roman" w:cs="Times New Roman"/>
                <w:noProof/>
              </w:rPr>
              <w:t>4.1.</w:t>
            </w:r>
            <w:r w:rsidR="00503C97">
              <w:rPr>
                <w:rFonts w:eastAsiaTheme="minorEastAsia"/>
                <w:noProof/>
              </w:rPr>
              <w:tab/>
            </w:r>
            <w:r w:rsidR="00503C97" w:rsidRPr="00D835B0">
              <w:rPr>
                <w:rStyle w:val="Hyperlink"/>
                <w:rFonts w:ascii="Times New Roman" w:hAnsi="Times New Roman" w:cs="Times New Roman"/>
                <w:noProof/>
              </w:rPr>
              <w:t>Applications</w:t>
            </w:r>
            <w:r w:rsidR="00503C97">
              <w:rPr>
                <w:noProof/>
                <w:webHidden/>
              </w:rPr>
              <w:tab/>
            </w:r>
            <w:r w:rsidR="00503C97">
              <w:rPr>
                <w:noProof/>
                <w:webHidden/>
              </w:rPr>
              <w:fldChar w:fldCharType="begin"/>
            </w:r>
            <w:r w:rsidR="00503C97">
              <w:rPr>
                <w:noProof/>
                <w:webHidden/>
              </w:rPr>
              <w:instrText xml:space="preserve"> PAGEREF _Toc71916046 \h </w:instrText>
            </w:r>
            <w:r w:rsidR="00503C97">
              <w:rPr>
                <w:noProof/>
                <w:webHidden/>
              </w:rPr>
            </w:r>
            <w:r w:rsidR="00503C97">
              <w:rPr>
                <w:noProof/>
                <w:webHidden/>
              </w:rPr>
              <w:fldChar w:fldCharType="separate"/>
            </w:r>
            <w:r w:rsidR="00503C97">
              <w:rPr>
                <w:noProof/>
                <w:webHidden/>
              </w:rPr>
              <w:t>15</w:t>
            </w:r>
            <w:r w:rsidR="00503C97">
              <w:rPr>
                <w:noProof/>
                <w:webHidden/>
              </w:rPr>
              <w:fldChar w:fldCharType="end"/>
            </w:r>
          </w:hyperlink>
        </w:p>
        <w:p w14:paraId="0A64F9F4" w14:textId="3B8D0289" w:rsidR="00503C97" w:rsidRDefault="0073437D" w:rsidP="00DA6BC3">
          <w:pPr>
            <w:pStyle w:val="TOC1"/>
            <w:tabs>
              <w:tab w:val="right" w:leader="dot" w:pos="9350"/>
            </w:tabs>
            <w:spacing w:line="360" w:lineRule="auto"/>
            <w:rPr>
              <w:rFonts w:eastAsiaTheme="minorEastAsia"/>
              <w:noProof/>
            </w:rPr>
          </w:pPr>
          <w:hyperlink w:anchor="_Toc71916047" w:history="1">
            <w:r w:rsidR="00503C97" w:rsidRPr="00D835B0">
              <w:rPr>
                <w:rStyle w:val="Hyperlink"/>
                <w:rFonts w:ascii="Times New Roman" w:hAnsi="Times New Roman" w:cs="Times New Roman"/>
                <w:noProof/>
              </w:rPr>
              <w:t>Conclusion</w:t>
            </w:r>
            <w:r w:rsidR="00503C97">
              <w:rPr>
                <w:noProof/>
                <w:webHidden/>
              </w:rPr>
              <w:tab/>
            </w:r>
            <w:r w:rsidR="00503C97">
              <w:rPr>
                <w:noProof/>
                <w:webHidden/>
              </w:rPr>
              <w:fldChar w:fldCharType="begin"/>
            </w:r>
            <w:r w:rsidR="00503C97">
              <w:rPr>
                <w:noProof/>
                <w:webHidden/>
              </w:rPr>
              <w:instrText xml:space="preserve"> PAGEREF _Toc71916047 \h </w:instrText>
            </w:r>
            <w:r w:rsidR="00503C97">
              <w:rPr>
                <w:noProof/>
                <w:webHidden/>
              </w:rPr>
            </w:r>
            <w:r w:rsidR="00503C97">
              <w:rPr>
                <w:noProof/>
                <w:webHidden/>
              </w:rPr>
              <w:fldChar w:fldCharType="separate"/>
            </w:r>
            <w:r w:rsidR="00503C97">
              <w:rPr>
                <w:noProof/>
                <w:webHidden/>
              </w:rPr>
              <w:t>15</w:t>
            </w:r>
            <w:r w:rsidR="00503C97">
              <w:rPr>
                <w:noProof/>
                <w:webHidden/>
              </w:rPr>
              <w:fldChar w:fldCharType="end"/>
            </w:r>
          </w:hyperlink>
        </w:p>
        <w:p w14:paraId="5ED5ACAD" w14:textId="336884E1" w:rsidR="00503C97" w:rsidRDefault="0073437D" w:rsidP="00DA6BC3">
          <w:pPr>
            <w:pStyle w:val="TOC1"/>
            <w:tabs>
              <w:tab w:val="right" w:leader="dot" w:pos="9350"/>
            </w:tabs>
            <w:spacing w:line="360" w:lineRule="auto"/>
            <w:rPr>
              <w:rFonts w:eastAsiaTheme="minorEastAsia"/>
              <w:noProof/>
            </w:rPr>
          </w:pPr>
          <w:hyperlink w:anchor="_Toc71916048" w:history="1">
            <w:r w:rsidR="00503C97" w:rsidRPr="00D835B0">
              <w:rPr>
                <w:rStyle w:val="Hyperlink"/>
                <w:rFonts w:ascii="Times New Roman" w:hAnsi="Times New Roman" w:cs="Times New Roman"/>
                <w:noProof/>
              </w:rPr>
              <w:t>References</w:t>
            </w:r>
            <w:r w:rsidR="00503C97">
              <w:rPr>
                <w:noProof/>
                <w:webHidden/>
              </w:rPr>
              <w:tab/>
            </w:r>
            <w:r w:rsidR="00503C97">
              <w:rPr>
                <w:noProof/>
                <w:webHidden/>
              </w:rPr>
              <w:fldChar w:fldCharType="begin"/>
            </w:r>
            <w:r w:rsidR="00503C97">
              <w:rPr>
                <w:noProof/>
                <w:webHidden/>
              </w:rPr>
              <w:instrText xml:space="preserve"> PAGEREF _Toc71916048 \h </w:instrText>
            </w:r>
            <w:r w:rsidR="00503C97">
              <w:rPr>
                <w:noProof/>
                <w:webHidden/>
              </w:rPr>
            </w:r>
            <w:r w:rsidR="00503C97">
              <w:rPr>
                <w:noProof/>
                <w:webHidden/>
              </w:rPr>
              <w:fldChar w:fldCharType="separate"/>
            </w:r>
            <w:r w:rsidR="00503C97">
              <w:rPr>
                <w:noProof/>
                <w:webHidden/>
              </w:rPr>
              <w:t>16</w:t>
            </w:r>
            <w:r w:rsidR="00503C97">
              <w:rPr>
                <w:noProof/>
                <w:webHidden/>
              </w:rPr>
              <w:fldChar w:fldCharType="end"/>
            </w:r>
          </w:hyperlink>
        </w:p>
        <w:p w14:paraId="1746C14B" w14:textId="77777777" w:rsidR="00DA6BC3" w:rsidRDefault="00FA4BA6" w:rsidP="00DA6BC3">
          <w:pPr>
            <w:spacing w:line="360" w:lineRule="auto"/>
            <w:rPr>
              <w:b/>
              <w:bCs/>
              <w:noProof/>
            </w:rPr>
          </w:pPr>
          <w:r>
            <w:rPr>
              <w:b/>
              <w:bCs/>
              <w:noProof/>
            </w:rPr>
            <w:fldChar w:fldCharType="end"/>
          </w:r>
        </w:p>
      </w:sdtContent>
    </w:sdt>
    <w:p w14:paraId="278B1944" w14:textId="1BBA69E5" w:rsidR="005D775F" w:rsidRPr="00BF6499" w:rsidRDefault="000B0F46" w:rsidP="00A57358">
      <w:pPr>
        <w:pStyle w:val="Heading1"/>
        <w:numPr>
          <w:ilvl w:val="0"/>
          <w:numId w:val="1"/>
        </w:numPr>
        <w:rPr>
          <w:rFonts w:ascii="Times New Roman" w:hAnsi="Times New Roman" w:cs="Times New Roman"/>
          <w:color w:val="auto"/>
        </w:rPr>
      </w:pPr>
      <w:bookmarkStart w:id="0" w:name="_Toc71916027"/>
      <w:r w:rsidRPr="00BF6499">
        <w:rPr>
          <w:rFonts w:ascii="Times New Roman" w:hAnsi="Times New Roman" w:cs="Times New Roman"/>
          <w:color w:val="auto"/>
        </w:rPr>
        <w:lastRenderedPageBreak/>
        <w:t>Introduction</w:t>
      </w:r>
      <w:bookmarkEnd w:id="0"/>
    </w:p>
    <w:p w14:paraId="76C48150" w14:textId="77777777" w:rsidR="00BF6499" w:rsidRPr="00BF6499" w:rsidRDefault="00BF6499" w:rsidP="00BF6499"/>
    <w:p w14:paraId="56421420" w14:textId="6863F2FD" w:rsidR="000B0F46" w:rsidRDefault="002075C8" w:rsidP="00570CFE">
      <w:pPr>
        <w:ind w:firstLine="720"/>
      </w:pPr>
      <w:r>
        <w:t xml:space="preserve">Microbiomes are omnipresent and </w:t>
      </w:r>
      <w:r w:rsidR="003B06AE">
        <w:t>they are found in and on different places like in the soil, ocean and on many living organisms as well</w:t>
      </w:r>
      <w:r>
        <w:t>.</w:t>
      </w:r>
      <w:r w:rsidR="003B06AE">
        <w:t xml:space="preserve"> </w:t>
      </w:r>
      <w:r w:rsidR="00972E19">
        <w:t xml:space="preserve">Changes in the habitat of a microbiome cause a disrupting effect on the well-being of the environment in which they </w:t>
      </w:r>
      <w:r w:rsidR="001C5A74">
        <w:t xml:space="preserve">reside. </w:t>
      </w:r>
      <w:r w:rsidR="00DC155D">
        <w:t xml:space="preserve">For example, Human gut is a habitat for different microbiomes and changes in these can </w:t>
      </w:r>
      <w:r w:rsidR="00413116">
        <w:t>affect</w:t>
      </w:r>
      <w:r w:rsidR="00DC155D">
        <w:t xml:space="preserve"> the health of the gut. </w:t>
      </w:r>
      <w:r w:rsidR="00F9198E">
        <w:t xml:space="preserve">Below figure-1 [6] explains different branches of study on Microbial community. </w:t>
      </w:r>
      <w:r w:rsidR="00413116">
        <w:t>Metagenomics is the study of the genetic material of these microbiomes recovered directly from environmental samples</w:t>
      </w:r>
      <w:r w:rsidR="00352F11">
        <w:t xml:space="preserve">. </w:t>
      </w:r>
      <w:r w:rsidR="00C954DF">
        <w:t xml:space="preserve">Metatranscriptomics is the study of the diversity of the active genes within such community. </w:t>
      </w:r>
    </w:p>
    <w:p w14:paraId="441293BD" w14:textId="1F82EA5F" w:rsidR="00570CFE" w:rsidRDefault="00570CFE" w:rsidP="00570CFE"/>
    <w:p w14:paraId="7C660325" w14:textId="401CA272" w:rsidR="00570CFE" w:rsidRDefault="00EE0654" w:rsidP="00352F11">
      <w:pPr>
        <w:ind w:left="1440"/>
      </w:pPr>
      <w:r w:rsidRPr="00EE0654">
        <w:rPr>
          <w:noProof/>
        </w:rPr>
        <w:drawing>
          <wp:inline distT="0" distB="0" distL="0" distR="0" wp14:anchorId="78EA6046" wp14:editId="40B1D6C5">
            <wp:extent cx="3068999" cy="2430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7762" cy="2453562"/>
                    </a:xfrm>
                    <a:prstGeom prst="rect">
                      <a:avLst/>
                    </a:prstGeom>
                  </pic:spPr>
                </pic:pic>
              </a:graphicData>
            </a:graphic>
          </wp:inline>
        </w:drawing>
      </w:r>
    </w:p>
    <w:p w14:paraId="2590D4B8" w14:textId="200FB819" w:rsidR="008E2670" w:rsidRPr="006C238F" w:rsidRDefault="008E2670" w:rsidP="00352F11">
      <w:pPr>
        <w:ind w:left="1440"/>
        <w:rPr>
          <w:sz w:val="16"/>
          <w:szCs w:val="16"/>
        </w:rPr>
      </w:pPr>
      <w:r w:rsidRPr="006C238F">
        <w:rPr>
          <w:sz w:val="16"/>
          <w:szCs w:val="16"/>
        </w:rPr>
        <w:t>Figure – 1: Branches of study on Microbial community</w:t>
      </w:r>
      <w:r w:rsidR="00347A5B">
        <w:rPr>
          <w:sz w:val="16"/>
          <w:szCs w:val="16"/>
        </w:rPr>
        <w:t xml:space="preserve"> [6]</w:t>
      </w:r>
    </w:p>
    <w:p w14:paraId="6A4977B9" w14:textId="77777777" w:rsidR="00570CFE" w:rsidRDefault="00570CFE" w:rsidP="00570CFE">
      <w:pPr>
        <w:ind w:firstLine="720"/>
      </w:pPr>
    </w:p>
    <w:p w14:paraId="5996E5ED" w14:textId="6D02564E" w:rsidR="00570CFE" w:rsidRDefault="004F0550">
      <w:r>
        <w:tab/>
      </w:r>
      <w:r w:rsidR="00AC4D05">
        <w:t>E</w:t>
      </w:r>
      <w:r w:rsidR="00AC4D05" w:rsidRPr="00AC4D05">
        <w:t>arly studies focused on 16S ribosomal RNA (rRNA) sequences which are relatively short, often conserved within a species, and generally different between species</w:t>
      </w:r>
      <w:r w:rsidR="00AC4D05">
        <w:t xml:space="preserve">. </w:t>
      </w:r>
      <w:r w:rsidR="00BB18D4">
        <w:t>Multitude of</w:t>
      </w:r>
      <w:r w:rsidR="00E3100E">
        <w:t xml:space="preserve"> </w:t>
      </w:r>
      <w:r w:rsidR="005C3125">
        <w:t xml:space="preserve">16S rRNA sequences have been found that do not belong to any discovered cultured </w:t>
      </w:r>
      <w:r w:rsidR="00764E66">
        <w:t>species and</w:t>
      </w:r>
      <w:r w:rsidR="005C3125">
        <w:t xml:space="preserve"> there are many such homogenous organisms in a sample. </w:t>
      </w:r>
      <w:r w:rsidR="007509EA">
        <w:t xml:space="preserve">Conventional methods of genetic sequencing require culturing of identical cells as a source of DNA. </w:t>
      </w:r>
      <w:r w:rsidR="007D3A86">
        <w:t xml:space="preserve">Large groups of micro-organisms, such as microbiomes, cannot be cultured and sequenced and </w:t>
      </w:r>
      <w:r w:rsidR="00A85368">
        <w:t xml:space="preserve">setbacks such as these made </w:t>
      </w:r>
      <w:r w:rsidR="005C3125">
        <w:t>cultivation-based</w:t>
      </w:r>
      <w:r w:rsidR="00A85368">
        <w:t xml:space="preserve"> methods </w:t>
      </w:r>
      <w:r w:rsidR="00624C18">
        <w:t>elude</w:t>
      </w:r>
      <w:r w:rsidR="00A85368">
        <w:t xml:space="preserve"> vast majority of microbial diversity</w:t>
      </w:r>
      <w:r w:rsidR="00237E55">
        <w:t xml:space="preserve"> and</w:t>
      </w:r>
      <w:r w:rsidR="00764E66">
        <w:t xml:space="preserve"> detect less than 1% of the bacterial and archaeal species</w:t>
      </w:r>
      <w:r w:rsidR="000D0C7D">
        <w:t xml:space="preserve"> </w:t>
      </w:r>
      <w:r w:rsidR="00043A92">
        <w:t xml:space="preserve">in </w:t>
      </w:r>
      <w:r w:rsidR="00262D4F">
        <w:t>a</w:t>
      </w:r>
      <w:r w:rsidR="000D0C7D">
        <w:t xml:space="preserve"> sample</w:t>
      </w:r>
      <w:r w:rsidR="00764E66">
        <w:t>.</w:t>
      </w:r>
      <w:r w:rsidR="000D0C7D">
        <w:t xml:space="preserve"> </w:t>
      </w:r>
      <w:r w:rsidR="00764E66">
        <w:t xml:space="preserve"> </w:t>
      </w:r>
    </w:p>
    <w:p w14:paraId="34B616F7" w14:textId="3E6C3F93" w:rsidR="00221656" w:rsidRDefault="001601FA">
      <w:r>
        <w:tab/>
        <w:t xml:space="preserve">Metagenomics and Metatranscriptomics focus on microbial communities to analyze the microbial DNA that is extracted directly from communities in environmental samples. These processes alleviate the need for isolation and cultivation of individual species. </w:t>
      </w:r>
      <w:r w:rsidR="003B3F32">
        <w:t>T</w:t>
      </w:r>
      <w:r w:rsidR="006E5FE2">
        <w:t xml:space="preserve">hese techniques </w:t>
      </w:r>
      <w:r w:rsidR="003B3F32">
        <w:t>determine whole gene expression profiling of complex microbial communities and provide</w:t>
      </w:r>
      <w:r w:rsidR="006E5FE2">
        <w:t xml:space="preserve"> information about differences in the active functions of microbial communities which appear to be the same in terms of their composition. </w:t>
      </w:r>
    </w:p>
    <w:p w14:paraId="59CFBFAB" w14:textId="46776471" w:rsidR="002C2B38" w:rsidRDefault="002C2B38"/>
    <w:p w14:paraId="6D5525CE" w14:textId="6B25B481" w:rsidR="002C2B38" w:rsidRDefault="002C2B38" w:rsidP="004D7C82">
      <w:pPr>
        <w:pStyle w:val="Heading1"/>
        <w:numPr>
          <w:ilvl w:val="0"/>
          <w:numId w:val="1"/>
        </w:numPr>
        <w:rPr>
          <w:rFonts w:ascii="Times New Roman" w:hAnsi="Times New Roman" w:cs="Times New Roman"/>
          <w:color w:val="auto"/>
        </w:rPr>
      </w:pPr>
      <w:bookmarkStart w:id="1" w:name="_Toc71916028"/>
      <w:r w:rsidRPr="002C2B38">
        <w:rPr>
          <w:rFonts w:ascii="Times New Roman" w:hAnsi="Times New Roman" w:cs="Times New Roman"/>
          <w:color w:val="auto"/>
        </w:rPr>
        <w:lastRenderedPageBreak/>
        <w:t>Metagenomics</w:t>
      </w:r>
      <w:bookmarkEnd w:id="1"/>
    </w:p>
    <w:p w14:paraId="1EB79374" w14:textId="03A09798" w:rsidR="002C2B38" w:rsidRDefault="002C2B38" w:rsidP="002C2B38"/>
    <w:p w14:paraId="0A4BADA6" w14:textId="10163A1A" w:rsidR="00E23CD9" w:rsidRDefault="00330CC8" w:rsidP="00B31769">
      <w:pPr>
        <w:ind w:firstLine="720"/>
      </w:pPr>
      <w:r>
        <w:t xml:space="preserve">Metagenomics perform Taxonomic and functional analysis of the microbiome. </w:t>
      </w:r>
      <w:r w:rsidR="00624FEF">
        <w:t xml:space="preserve">A typical metagenomic process can be broadly segregated in to four steps, Extraction, Sequencing, Assembly and Binning.  </w:t>
      </w:r>
    </w:p>
    <w:p w14:paraId="3FBFBD0E" w14:textId="77777777" w:rsidR="00E23CD9" w:rsidRDefault="00E23CD9" w:rsidP="00617F52">
      <w:pPr>
        <w:ind w:left="720"/>
      </w:pPr>
    </w:p>
    <w:p w14:paraId="052B8E3A" w14:textId="4ED2EDB3" w:rsidR="00B31769" w:rsidRDefault="00E23CD9" w:rsidP="00B31769">
      <w:pPr>
        <w:pStyle w:val="Heading2"/>
        <w:numPr>
          <w:ilvl w:val="1"/>
          <w:numId w:val="1"/>
        </w:numPr>
        <w:rPr>
          <w:rFonts w:ascii="Times New Roman" w:hAnsi="Times New Roman" w:cs="Times New Roman"/>
          <w:color w:val="auto"/>
        </w:rPr>
      </w:pPr>
      <w:bookmarkStart w:id="2" w:name="_Toc71916029"/>
      <w:r w:rsidRPr="00E23CD9">
        <w:rPr>
          <w:rFonts w:ascii="Times New Roman" w:hAnsi="Times New Roman" w:cs="Times New Roman"/>
          <w:color w:val="auto"/>
        </w:rPr>
        <w:t>DNA Extraction</w:t>
      </w:r>
      <w:bookmarkEnd w:id="2"/>
    </w:p>
    <w:p w14:paraId="7D981CEA" w14:textId="60BE0A79" w:rsidR="00617F52" w:rsidRDefault="00617F52" w:rsidP="006B4811">
      <w:pPr>
        <w:pStyle w:val="Heading2"/>
        <w:ind w:left="360"/>
        <w:rPr>
          <w:rFonts w:ascii="Times New Roman" w:hAnsi="Times New Roman" w:cs="Times New Roman"/>
        </w:rPr>
      </w:pPr>
    </w:p>
    <w:p w14:paraId="75A4BD1D" w14:textId="4C771699" w:rsidR="0080010D" w:rsidRDefault="0080010D" w:rsidP="00B04A41">
      <w:pPr>
        <w:ind w:firstLine="720"/>
      </w:pPr>
      <w:r>
        <w:t xml:space="preserve">Extraction of </w:t>
      </w:r>
      <w:r w:rsidR="002D271F">
        <w:t xml:space="preserve">microbial </w:t>
      </w:r>
      <w:r>
        <w:t xml:space="preserve">DNA from an environment sample is vital step that can affect all further steps in metagenomics. </w:t>
      </w:r>
      <w:r w:rsidR="00ED1F82">
        <w:t xml:space="preserve">This is different to conventional extraction methods that are used for animal or plant tissues due to the uncertainty in quantity and diversity of the microbial species present in the sample. </w:t>
      </w:r>
      <w:r w:rsidR="00E17DE3">
        <w:t xml:space="preserve">An explicit sample from environment is a black box due to </w:t>
      </w:r>
      <w:r w:rsidR="00D65C59">
        <w:t>this challenge</w:t>
      </w:r>
      <w:r w:rsidR="00A43EB7">
        <w:t xml:space="preserve"> and make us rely on </w:t>
      </w:r>
      <w:r w:rsidR="00E17DE3">
        <w:t xml:space="preserve">prior experience and </w:t>
      </w:r>
      <w:r w:rsidR="00A43EB7">
        <w:t xml:space="preserve">publicly available </w:t>
      </w:r>
      <w:r w:rsidR="00E17DE3">
        <w:t xml:space="preserve">sequence data. </w:t>
      </w:r>
    </w:p>
    <w:p w14:paraId="0FAADA7B" w14:textId="1B94FE8F" w:rsidR="00D65C59" w:rsidRDefault="00D65C59" w:rsidP="00177956"/>
    <w:p w14:paraId="3DF67510" w14:textId="5EC9D706" w:rsidR="00177956" w:rsidRPr="00712B42" w:rsidRDefault="00177956" w:rsidP="00712B42">
      <w:pPr>
        <w:pStyle w:val="Heading3"/>
        <w:numPr>
          <w:ilvl w:val="2"/>
          <w:numId w:val="1"/>
        </w:numPr>
        <w:rPr>
          <w:rFonts w:ascii="Times New Roman" w:hAnsi="Times New Roman" w:cs="Times New Roman"/>
          <w:color w:val="auto"/>
          <w:sz w:val="26"/>
          <w:szCs w:val="26"/>
        </w:rPr>
      </w:pPr>
      <w:bookmarkStart w:id="3" w:name="_Toc71916030"/>
      <w:r w:rsidRPr="00712B42">
        <w:rPr>
          <w:rFonts w:ascii="Times New Roman" w:hAnsi="Times New Roman" w:cs="Times New Roman"/>
          <w:color w:val="auto"/>
          <w:sz w:val="26"/>
          <w:szCs w:val="26"/>
        </w:rPr>
        <w:t>Sampl</w:t>
      </w:r>
      <w:r w:rsidR="001B084F" w:rsidRPr="00712B42">
        <w:rPr>
          <w:rFonts w:ascii="Times New Roman" w:hAnsi="Times New Roman" w:cs="Times New Roman"/>
          <w:color w:val="auto"/>
          <w:sz w:val="26"/>
          <w:szCs w:val="26"/>
        </w:rPr>
        <w:t>ing</w:t>
      </w:r>
      <w:bookmarkEnd w:id="3"/>
    </w:p>
    <w:p w14:paraId="00639B38" w14:textId="77777777" w:rsidR="00ED0826" w:rsidRDefault="00ED0826" w:rsidP="00B04A41">
      <w:pPr>
        <w:ind w:firstLine="720"/>
      </w:pPr>
    </w:p>
    <w:p w14:paraId="16B21CB6" w14:textId="6CB59BA7" w:rsidR="00DB728F" w:rsidRDefault="00ED0826" w:rsidP="00B04A41">
      <w:pPr>
        <w:ind w:firstLine="720"/>
      </w:pPr>
      <w:r>
        <w:t xml:space="preserve">Method of identifying an environment and collection of a microbial sample from it is called as sampling. There are many factors to be considered that affect the final sequence outcome from a sample. </w:t>
      </w:r>
      <w:r w:rsidR="00DB728F">
        <w:t>These include,</w:t>
      </w:r>
    </w:p>
    <w:p w14:paraId="25DCE4D8" w14:textId="3F5E8D3F" w:rsidR="00177956" w:rsidRDefault="00DB728F" w:rsidP="00DB728F">
      <w:pPr>
        <w:pStyle w:val="ListParagraph"/>
        <w:numPr>
          <w:ilvl w:val="0"/>
          <w:numId w:val="3"/>
        </w:numPr>
      </w:pPr>
      <w:r>
        <w:t>From where the sample was collected – e.g., Human, water, air, or surface.</w:t>
      </w:r>
    </w:p>
    <w:p w14:paraId="158B68F7" w14:textId="2E11FD95" w:rsidR="00DB728F" w:rsidRDefault="00DB728F" w:rsidP="00DB728F">
      <w:pPr>
        <w:pStyle w:val="ListParagraph"/>
        <w:numPr>
          <w:ilvl w:val="0"/>
          <w:numId w:val="3"/>
        </w:numPr>
      </w:pPr>
      <w:r>
        <w:t>How the sample was collected – e.g., Swabbing, scrapping, biopsy, or bulk substrate collection.</w:t>
      </w:r>
    </w:p>
    <w:p w14:paraId="033A1ADE" w14:textId="3AFEB52C" w:rsidR="00DB728F" w:rsidRDefault="00DB728F" w:rsidP="00DB728F">
      <w:pPr>
        <w:pStyle w:val="ListParagraph"/>
        <w:numPr>
          <w:ilvl w:val="0"/>
          <w:numId w:val="3"/>
        </w:numPr>
      </w:pPr>
      <w:r>
        <w:t>How much quantity was collected and how the sample will be stored after collection.</w:t>
      </w:r>
    </w:p>
    <w:p w14:paraId="58791D8B" w14:textId="0DD7A639" w:rsidR="00DB728F" w:rsidRDefault="00DB728F" w:rsidP="00DB728F">
      <w:pPr>
        <w:pStyle w:val="ListParagraph"/>
        <w:numPr>
          <w:ilvl w:val="0"/>
          <w:numId w:val="3"/>
        </w:numPr>
      </w:pPr>
      <w:r>
        <w:t xml:space="preserve">How long it was stored prior to extraction – e.g., temperature and environmental conditions. </w:t>
      </w:r>
    </w:p>
    <w:p w14:paraId="30B9865B" w14:textId="3FF30145" w:rsidR="00DB728F" w:rsidRDefault="00DB728F" w:rsidP="00DB728F">
      <w:pPr>
        <w:pStyle w:val="ListParagraph"/>
        <w:numPr>
          <w:ilvl w:val="0"/>
          <w:numId w:val="3"/>
        </w:numPr>
      </w:pPr>
      <w:r>
        <w:t>Method that was used for extraction.</w:t>
      </w:r>
    </w:p>
    <w:p w14:paraId="68848643" w14:textId="2357B405" w:rsidR="004D4342" w:rsidRDefault="004D4342" w:rsidP="004D4342"/>
    <w:p w14:paraId="76A1ED2B" w14:textId="44199B84" w:rsidR="004D4342" w:rsidRPr="0013645D" w:rsidRDefault="004D4342" w:rsidP="0013645D">
      <w:pPr>
        <w:pStyle w:val="Heading3"/>
        <w:numPr>
          <w:ilvl w:val="2"/>
          <w:numId w:val="1"/>
        </w:numPr>
        <w:rPr>
          <w:rFonts w:ascii="Times New Roman" w:hAnsi="Times New Roman" w:cs="Times New Roman"/>
          <w:color w:val="auto"/>
          <w:sz w:val="26"/>
          <w:szCs w:val="26"/>
        </w:rPr>
      </w:pPr>
      <w:bookmarkStart w:id="4" w:name="_Toc71916031"/>
      <w:r w:rsidRPr="0013645D">
        <w:rPr>
          <w:rFonts w:ascii="Times New Roman" w:hAnsi="Times New Roman" w:cs="Times New Roman"/>
          <w:color w:val="auto"/>
          <w:sz w:val="26"/>
          <w:szCs w:val="26"/>
        </w:rPr>
        <w:t>Extraction methods</w:t>
      </w:r>
      <w:bookmarkEnd w:id="4"/>
    </w:p>
    <w:p w14:paraId="0DD87F82" w14:textId="02C31221" w:rsidR="004D4342" w:rsidRDefault="004D4342" w:rsidP="004D4342"/>
    <w:p w14:paraId="0E3D07D3" w14:textId="23DF5713" w:rsidR="00402082" w:rsidRDefault="00F5662D" w:rsidP="00395076">
      <w:pPr>
        <w:ind w:firstLine="720"/>
      </w:pPr>
      <w:r>
        <w:t xml:space="preserve">For and unbiased estimate of microbial composition in a genomic analysis, choosing an extraction method that </w:t>
      </w:r>
      <w:r w:rsidR="00114973">
        <w:t>can recover</w:t>
      </w:r>
      <w:r>
        <w:t xml:space="preserve"> both unicellular (prokaryotic) and multi-cellular (eukaryotic) DNA efficiently is instrumental, especially if our sequencing method is </w:t>
      </w:r>
      <w:r w:rsidR="00114973">
        <w:t>shot gun</w:t>
      </w:r>
      <w:r>
        <w:t xml:space="preserve">. </w:t>
      </w:r>
      <w:r w:rsidR="00114973">
        <w:t xml:space="preserve">Studies of DNA extracted from environmental samples are focusing on 16S rRNA sequence data analysis, it has been shown that due to differences in the cell wall and membrane structure of bacteria, effectiveness of DNA extraction can depend on the extraction protocol used. </w:t>
      </w:r>
      <w:r w:rsidR="00402082">
        <w:t xml:space="preserve">Morgan and coworkers (2010) suggested to use multiple DNA extraction procedures for a single sample to increase the likelihood of including every organism in the tested sample. </w:t>
      </w:r>
      <w:r w:rsidR="002314C8" w:rsidRPr="002314C8">
        <w:t xml:space="preserve">If the target community is associated with a host, e.g., human or plant, then physical fractionation or selective lysis can be employed to ensure host DNA is kept to a minimum. Host material can also be removed during bioinformatics filtering and mapping. Regardless of the approach used, it is important to remember that extraction and isolation methods can introduce bias in terms of microbial </w:t>
      </w:r>
      <w:r w:rsidR="002314C8" w:rsidRPr="002314C8">
        <w:lastRenderedPageBreak/>
        <w:t>diversity, yield, and fragment lengths. It is highly recommended that the exact same extraction method be used when comparing samples</w:t>
      </w:r>
      <w:r w:rsidR="002314C8">
        <w:t>. Following</w:t>
      </w:r>
      <w:r w:rsidR="00402082">
        <w:t xml:space="preserve"> is the broad classification of extraction methods, </w:t>
      </w:r>
    </w:p>
    <w:p w14:paraId="34ED0DA6" w14:textId="10523550" w:rsidR="003D0375" w:rsidRDefault="005C38F3" w:rsidP="00D350CA">
      <w:r w:rsidRPr="0070261D">
        <w:rPr>
          <w:b/>
          <w:bCs/>
        </w:rPr>
        <w:t>Direct methods</w:t>
      </w:r>
      <w:r>
        <w:t xml:space="preserve">: </w:t>
      </w:r>
      <w:r w:rsidR="00F524B3">
        <w:t xml:space="preserve">This method starts with disrupting the cell wall of the microbiome and muster nucleic acids from bacteria to the extraction buffer. </w:t>
      </w:r>
      <w:r w:rsidR="003D0375">
        <w:t xml:space="preserve">We will separate the extraction buffer from the soil particles and nucleic acids are isolated from the extraction buffer avoiding contaminants such as humus acids, heavy metal ions and proteins. Using of extraction buffer has a downside of being a choice between expected DNA quantity and purity. </w:t>
      </w:r>
    </w:p>
    <w:p w14:paraId="318341B4" w14:textId="5E153D2C" w:rsidR="00402082" w:rsidRDefault="003D0375" w:rsidP="00D350CA">
      <w:r>
        <w:rPr>
          <w:b/>
          <w:bCs/>
        </w:rPr>
        <w:t>Indirect methods</w:t>
      </w:r>
      <w:r w:rsidRPr="003D0375">
        <w:t>:</w:t>
      </w:r>
      <w:r>
        <w:t xml:space="preserve"> </w:t>
      </w:r>
      <w:r w:rsidR="00D8076E">
        <w:t xml:space="preserve">In this method we first disperse the soil matrix to separate bacterial cells, with high DNA quality, encompassing full diversity of microbial life in the sample. To disperse the soil matrix, one can use physical or chemical methods. We then isolate and purify the extracted DNA sample. </w:t>
      </w:r>
    </w:p>
    <w:p w14:paraId="6FD8AF80" w14:textId="6F106D5A" w:rsidR="006C238F" w:rsidRDefault="006C238F" w:rsidP="00D350CA">
      <w:r w:rsidRPr="006C238F">
        <w:rPr>
          <w:noProof/>
        </w:rPr>
        <w:drawing>
          <wp:inline distT="0" distB="0" distL="0" distR="0" wp14:anchorId="0DCED5AC" wp14:editId="3FCB2327">
            <wp:extent cx="5244998" cy="22520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5594" cy="2260943"/>
                    </a:xfrm>
                    <a:prstGeom prst="rect">
                      <a:avLst/>
                    </a:prstGeom>
                  </pic:spPr>
                </pic:pic>
              </a:graphicData>
            </a:graphic>
          </wp:inline>
        </w:drawing>
      </w:r>
    </w:p>
    <w:p w14:paraId="643FFBE5" w14:textId="68982BC8" w:rsidR="006C238F" w:rsidRPr="00AE2B8A" w:rsidRDefault="006C238F" w:rsidP="006C238F">
      <w:pPr>
        <w:rPr>
          <w:sz w:val="16"/>
          <w:szCs w:val="16"/>
        </w:rPr>
      </w:pPr>
      <w:r>
        <w:t xml:space="preserve"> </w:t>
      </w:r>
      <w:r w:rsidRPr="00AE2B8A">
        <w:rPr>
          <w:sz w:val="16"/>
          <w:szCs w:val="16"/>
        </w:rPr>
        <w:t>Table 2.1 Commonly used DNA extraction methods</w:t>
      </w:r>
      <w:r w:rsidR="00F53163">
        <w:rPr>
          <w:sz w:val="16"/>
          <w:szCs w:val="16"/>
        </w:rPr>
        <w:t xml:space="preserve"> [8]</w:t>
      </w:r>
    </w:p>
    <w:p w14:paraId="18DA8BE5" w14:textId="77777777" w:rsidR="00395076" w:rsidRDefault="00395076" w:rsidP="00402082">
      <w:pPr>
        <w:ind w:left="720"/>
      </w:pPr>
    </w:p>
    <w:p w14:paraId="7A5220F8" w14:textId="206DC951" w:rsidR="00105332" w:rsidRPr="00BC343D" w:rsidRDefault="00395076" w:rsidP="00BC343D">
      <w:pPr>
        <w:pStyle w:val="Heading2"/>
        <w:numPr>
          <w:ilvl w:val="1"/>
          <w:numId w:val="1"/>
        </w:numPr>
        <w:rPr>
          <w:rFonts w:ascii="Times New Roman" w:hAnsi="Times New Roman" w:cs="Times New Roman"/>
          <w:color w:val="auto"/>
        </w:rPr>
      </w:pPr>
      <w:bookmarkStart w:id="5" w:name="_Toc71916032"/>
      <w:r w:rsidRPr="00BC343D">
        <w:rPr>
          <w:rFonts w:ascii="Times New Roman" w:hAnsi="Times New Roman" w:cs="Times New Roman"/>
          <w:color w:val="auto"/>
        </w:rPr>
        <w:t>Sequencing</w:t>
      </w:r>
      <w:bookmarkEnd w:id="5"/>
      <w:r w:rsidRPr="00BC343D">
        <w:rPr>
          <w:rFonts w:ascii="Times New Roman" w:hAnsi="Times New Roman" w:cs="Times New Roman"/>
          <w:color w:val="auto"/>
        </w:rPr>
        <w:t xml:space="preserve"> </w:t>
      </w:r>
    </w:p>
    <w:p w14:paraId="6C77CBF3" w14:textId="77777777" w:rsidR="00395076" w:rsidRPr="00395076" w:rsidRDefault="00395076" w:rsidP="00395076">
      <w:pPr>
        <w:ind w:left="720"/>
        <w:rPr>
          <w:rFonts w:ascii="Times New Roman" w:eastAsiaTheme="majorEastAsia" w:hAnsi="Times New Roman" w:cs="Times New Roman"/>
          <w:sz w:val="26"/>
          <w:szCs w:val="26"/>
        </w:rPr>
      </w:pPr>
    </w:p>
    <w:p w14:paraId="4981AA69" w14:textId="5DCC90CA" w:rsidR="00D65C59" w:rsidRDefault="00426EEC" w:rsidP="00B04A41">
      <w:pPr>
        <w:ind w:firstLine="720"/>
      </w:pPr>
      <w:r>
        <w:t xml:space="preserve">Sequencing DNA is the process of determining the order of the chemical building blocks, called bases, that make up the DNA molecule. Sequence information can be used to determine the stretches that contain </w:t>
      </w:r>
      <w:r w:rsidR="00AE5CFC">
        <w:t>genes,</w:t>
      </w:r>
      <w:r>
        <w:t xml:space="preserve"> and the ones </w:t>
      </w:r>
      <w:r w:rsidR="00AE5CFC">
        <w:t xml:space="preserve">that </w:t>
      </w:r>
      <w:r>
        <w:t xml:space="preserve">contain regulatory instructions. </w:t>
      </w:r>
      <w:r w:rsidR="00AE5CFC">
        <w:t xml:space="preserve">Due to the length of bacterial genomes, 0.5 – 10 Mega base pairs (Mbp), it is impossible to sequence the entire genome in one reaction. </w:t>
      </w:r>
      <w:r w:rsidR="005917EC">
        <w:t>Instead,</w:t>
      </w:r>
      <w:r w:rsidR="002F2971">
        <w:t xml:space="preserve"> small pieces called ‘reads’ are sequenced first. </w:t>
      </w:r>
      <w:r w:rsidR="00D350CA">
        <w:t>We have below two main types of sequencing techniques for metagenomics,</w:t>
      </w:r>
    </w:p>
    <w:p w14:paraId="0BDB7A64" w14:textId="77777777" w:rsidR="00231A9C" w:rsidRDefault="00231A9C" w:rsidP="00B04A41">
      <w:pPr>
        <w:ind w:firstLine="720"/>
      </w:pPr>
    </w:p>
    <w:p w14:paraId="4D9BAD88" w14:textId="2F617662" w:rsidR="00EF342B" w:rsidRPr="000E4918" w:rsidRDefault="00C50EF1" w:rsidP="000E4918">
      <w:pPr>
        <w:pStyle w:val="Heading3"/>
        <w:numPr>
          <w:ilvl w:val="2"/>
          <w:numId w:val="1"/>
        </w:numPr>
        <w:rPr>
          <w:rFonts w:ascii="Times New Roman" w:hAnsi="Times New Roman" w:cs="Times New Roman"/>
          <w:color w:val="auto"/>
          <w:sz w:val="26"/>
          <w:szCs w:val="26"/>
        </w:rPr>
      </w:pPr>
      <w:bookmarkStart w:id="6" w:name="_Toc71916033"/>
      <w:r w:rsidRPr="000E4918">
        <w:rPr>
          <w:rFonts w:ascii="Times New Roman" w:hAnsi="Times New Roman" w:cs="Times New Roman"/>
          <w:color w:val="auto"/>
          <w:sz w:val="26"/>
          <w:szCs w:val="26"/>
        </w:rPr>
        <w:t>Shot</w:t>
      </w:r>
      <w:r>
        <w:rPr>
          <w:rFonts w:ascii="Times New Roman" w:hAnsi="Times New Roman" w:cs="Times New Roman"/>
          <w:color w:val="auto"/>
          <w:sz w:val="26"/>
          <w:szCs w:val="26"/>
        </w:rPr>
        <w:t>gun</w:t>
      </w:r>
      <w:r w:rsidR="00EF342B" w:rsidRPr="000E4918">
        <w:rPr>
          <w:rFonts w:ascii="Times New Roman" w:hAnsi="Times New Roman" w:cs="Times New Roman"/>
          <w:color w:val="auto"/>
          <w:sz w:val="26"/>
          <w:szCs w:val="26"/>
        </w:rPr>
        <w:t xml:space="preserve"> sequenc</w:t>
      </w:r>
      <w:r w:rsidR="000E4918" w:rsidRPr="000E4918">
        <w:rPr>
          <w:rFonts w:ascii="Times New Roman" w:hAnsi="Times New Roman" w:cs="Times New Roman"/>
          <w:color w:val="auto"/>
          <w:sz w:val="26"/>
          <w:szCs w:val="26"/>
        </w:rPr>
        <w:t>ing</w:t>
      </w:r>
      <w:bookmarkEnd w:id="6"/>
      <w:r w:rsidR="000E4918" w:rsidRPr="000E4918">
        <w:rPr>
          <w:rFonts w:ascii="Times New Roman" w:hAnsi="Times New Roman" w:cs="Times New Roman"/>
          <w:color w:val="auto"/>
          <w:sz w:val="26"/>
          <w:szCs w:val="26"/>
        </w:rPr>
        <w:t xml:space="preserve"> </w:t>
      </w:r>
      <w:r w:rsidR="00EF342B" w:rsidRPr="000E4918">
        <w:rPr>
          <w:rFonts w:ascii="Times New Roman" w:hAnsi="Times New Roman" w:cs="Times New Roman"/>
          <w:color w:val="auto"/>
          <w:sz w:val="26"/>
          <w:szCs w:val="26"/>
        </w:rPr>
        <w:t xml:space="preserve"> </w:t>
      </w:r>
    </w:p>
    <w:p w14:paraId="4F46FA70" w14:textId="77777777" w:rsidR="00EF342B" w:rsidRPr="00EF342B" w:rsidRDefault="00EF342B" w:rsidP="00EF342B"/>
    <w:p w14:paraId="368C7565" w14:textId="05E21711" w:rsidR="00BE3471" w:rsidRDefault="001A48AC" w:rsidP="00EF342B">
      <w:pPr>
        <w:ind w:firstLine="720"/>
      </w:pPr>
      <w:r>
        <w:t xml:space="preserve">This </w:t>
      </w:r>
      <w:r w:rsidRPr="001A48AC">
        <w:t>is performed for taxonomic profiling (diversity and abundance), as well as functional analysis. This complex technique allows for parallel sequencing of DNA from all organisms within the community, with high coverage for species-level detection</w:t>
      </w:r>
      <w:r>
        <w:t>.</w:t>
      </w:r>
      <w:r w:rsidR="00C04A9A">
        <w:t xml:space="preserve"> This method fragments the DNA into many </w:t>
      </w:r>
      <w:r w:rsidR="00C04A9A">
        <w:lastRenderedPageBreak/>
        <w:t xml:space="preserve">small random pieces and </w:t>
      </w:r>
      <w:r w:rsidR="00C04A9A" w:rsidRPr="00C04A9A">
        <w:t>can read all genomic DNA in a sample, rather than just one specific region of DNA. For microbiome studies, this means that shotgun sequencing can identify and profile bacteria, fungi, viruses, and many other types of microorganisms at the same time. As genomes are sequenced, it is also possible to identify and profile microbial genes that are present in the sample (the metagenome), which provide additional information about microbiome functional potential.</w:t>
      </w:r>
      <w:r w:rsidR="00BE3471">
        <w:t xml:space="preserve"> Below are the steps that briefly explain the process,</w:t>
      </w:r>
    </w:p>
    <w:p w14:paraId="35FA463B" w14:textId="5D6F908C" w:rsidR="008A6C9F" w:rsidRDefault="008A6C9F" w:rsidP="008A6C9F">
      <w:pPr>
        <w:pStyle w:val="ListParagraph"/>
        <w:numPr>
          <w:ilvl w:val="0"/>
          <w:numId w:val="5"/>
        </w:numPr>
      </w:pPr>
      <w:r w:rsidRPr="008A6C9F">
        <w:t xml:space="preserve">Extract DNA from </w:t>
      </w:r>
      <w:r w:rsidR="004B0D32">
        <w:t>the</w:t>
      </w:r>
      <w:r w:rsidRPr="008A6C9F">
        <w:t xml:space="preserve"> sample</w:t>
      </w:r>
      <w:r>
        <w:t>.</w:t>
      </w:r>
    </w:p>
    <w:p w14:paraId="513CEAAD" w14:textId="7DA98401" w:rsidR="008A6C9F" w:rsidRDefault="008A6C9F" w:rsidP="008A6C9F">
      <w:pPr>
        <w:pStyle w:val="ListParagraph"/>
        <w:numPr>
          <w:ilvl w:val="0"/>
          <w:numId w:val="5"/>
        </w:numPr>
      </w:pPr>
      <w:r w:rsidRPr="008A6C9F">
        <w:t>Tagmentation, a process which cleaves and tags DNA with adapter sequences, priming the fragmented DNA for ligation of molecular barcodes.</w:t>
      </w:r>
    </w:p>
    <w:p w14:paraId="6B3A097B" w14:textId="66406EF7" w:rsidR="008A6C9F" w:rsidRDefault="00F331BF" w:rsidP="008A6C9F">
      <w:pPr>
        <w:pStyle w:val="ListParagraph"/>
        <w:numPr>
          <w:ilvl w:val="0"/>
          <w:numId w:val="5"/>
        </w:numPr>
      </w:pPr>
      <w:r w:rsidRPr="00F331BF">
        <w:t xml:space="preserve">Clean up </w:t>
      </w:r>
      <w:r>
        <w:t>the</w:t>
      </w:r>
      <w:r w:rsidRPr="00F331BF">
        <w:t xml:space="preserve"> fragmented DNA sample to remove reagent impurities</w:t>
      </w:r>
      <w:r>
        <w:t xml:space="preserve"> from Tagmentation. </w:t>
      </w:r>
    </w:p>
    <w:p w14:paraId="50EDEE65" w14:textId="5F4EDFA5" w:rsidR="00F331BF" w:rsidRDefault="0064539A" w:rsidP="008A6C9F">
      <w:pPr>
        <w:pStyle w:val="ListParagraph"/>
        <w:numPr>
          <w:ilvl w:val="0"/>
          <w:numId w:val="5"/>
        </w:numPr>
      </w:pPr>
      <w:r w:rsidRPr="0064539A">
        <w:t>Perform PCR to amplify DNA samples, as well as adding molecular barcodes to each sample.</w:t>
      </w:r>
    </w:p>
    <w:p w14:paraId="6FE69E7F" w14:textId="026C84D9" w:rsidR="0064539A" w:rsidRDefault="0064539A" w:rsidP="008A6C9F">
      <w:pPr>
        <w:pStyle w:val="ListParagraph"/>
        <w:numPr>
          <w:ilvl w:val="0"/>
          <w:numId w:val="5"/>
        </w:numPr>
      </w:pPr>
      <w:r w:rsidRPr="0064539A">
        <w:t xml:space="preserve">Size selection and </w:t>
      </w:r>
      <w:r>
        <w:t>remove</w:t>
      </w:r>
      <w:r w:rsidRPr="0064539A">
        <w:t xml:space="preserve"> the DNA to remove impurities after the PCR steps</w:t>
      </w:r>
      <w:r>
        <w:t>.</w:t>
      </w:r>
    </w:p>
    <w:p w14:paraId="3FE00B42" w14:textId="47AA0EC9" w:rsidR="0064539A" w:rsidRDefault="00060E32" w:rsidP="008A6C9F">
      <w:pPr>
        <w:pStyle w:val="ListParagraph"/>
        <w:numPr>
          <w:ilvl w:val="0"/>
          <w:numId w:val="5"/>
        </w:numPr>
      </w:pPr>
      <w:r>
        <w:t>Muster</w:t>
      </w:r>
      <w:r w:rsidR="0064539A">
        <w:t xml:space="preserve"> </w:t>
      </w:r>
      <w:r w:rsidR="0064539A" w:rsidRPr="0064539A">
        <w:t>samples together in equal proportions</w:t>
      </w:r>
      <w:r w:rsidR="0064539A">
        <w:t xml:space="preserve"> and perform </w:t>
      </w:r>
      <w:r w:rsidR="0064539A" w:rsidRPr="0064539A">
        <w:t>Library quantification of the pooled samples</w:t>
      </w:r>
      <w:r w:rsidR="0064539A">
        <w:t>.</w:t>
      </w:r>
    </w:p>
    <w:p w14:paraId="6C004019" w14:textId="66D6DD88" w:rsidR="0064539A" w:rsidRDefault="0064539A" w:rsidP="008A6C9F">
      <w:pPr>
        <w:pStyle w:val="ListParagraph"/>
        <w:numPr>
          <w:ilvl w:val="0"/>
          <w:numId w:val="5"/>
        </w:numPr>
      </w:pPr>
      <w:r w:rsidRPr="0064539A">
        <w:t xml:space="preserve">Sequence </w:t>
      </w:r>
      <w:r w:rsidR="00060E32">
        <w:t>mustered</w:t>
      </w:r>
      <w:r w:rsidRPr="0064539A">
        <w:t xml:space="preserve"> samples</w:t>
      </w:r>
      <w:r>
        <w:t>.</w:t>
      </w:r>
    </w:p>
    <w:p w14:paraId="5BFD8D89" w14:textId="77777777" w:rsidR="00231A9C" w:rsidRDefault="00231A9C" w:rsidP="00231A9C"/>
    <w:p w14:paraId="60CC28D1" w14:textId="29D18E02" w:rsidR="000E4918" w:rsidRPr="00231A9C" w:rsidRDefault="00814C54" w:rsidP="00231A9C">
      <w:pPr>
        <w:pStyle w:val="Heading3"/>
        <w:numPr>
          <w:ilvl w:val="2"/>
          <w:numId w:val="1"/>
        </w:numPr>
        <w:rPr>
          <w:rFonts w:ascii="Times New Roman" w:hAnsi="Times New Roman" w:cs="Times New Roman"/>
          <w:color w:val="auto"/>
          <w:sz w:val="26"/>
          <w:szCs w:val="26"/>
        </w:rPr>
      </w:pPr>
      <w:bookmarkStart w:id="7" w:name="_Toc71916034"/>
      <w:r w:rsidRPr="00231A9C">
        <w:rPr>
          <w:rFonts w:ascii="Times New Roman" w:hAnsi="Times New Roman" w:cs="Times New Roman"/>
          <w:color w:val="auto"/>
          <w:sz w:val="26"/>
          <w:szCs w:val="26"/>
        </w:rPr>
        <w:t>Amplicon (</w:t>
      </w:r>
      <w:r w:rsidR="004C2BCA" w:rsidRPr="00231A9C">
        <w:rPr>
          <w:rFonts w:ascii="Times New Roman" w:hAnsi="Times New Roman" w:cs="Times New Roman"/>
          <w:color w:val="auto"/>
          <w:sz w:val="26"/>
          <w:szCs w:val="26"/>
        </w:rPr>
        <w:t>16S RNA</w:t>
      </w:r>
      <w:r w:rsidRPr="00231A9C">
        <w:rPr>
          <w:rFonts w:ascii="Times New Roman" w:hAnsi="Times New Roman" w:cs="Times New Roman"/>
          <w:color w:val="auto"/>
          <w:sz w:val="26"/>
          <w:szCs w:val="26"/>
        </w:rPr>
        <w:t>)</w:t>
      </w:r>
      <w:r w:rsidR="004C2BCA" w:rsidRPr="00231A9C">
        <w:rPr>
          <w:rFonts w:ascii="Times New Roman" w:hAnsi="Times New Roman" w:cs="Times New Roman"/>
          <w:color w:val="auto"/>
          <w:sz w:val="26"/>
          <w:szCs w:val="26"/>
        </w:rPr>
        <w:t xml:space="preserve"> sequencing</w:t>
      </w:r>
      <w:bookmarkEnd w:id="7"/>
    </w:p>
    <w:p w14:paraId="6741AE67" w14:textId="77777777" w:rsidR="00231A9C" w:rsidRPr="00231A9C" w:rsidRDefault="00231A9C" w:rsidP="00231A9C"/>
    <w:p w14:paraId="2953D2EC" w14:textId="6AD48473" w:rsidR="004C2BCA" w:rsidRDefault="00814C54" w:rsidP="000E4918">
      <w:pPr>
        <w:ind w:firstLine="720"/>
      </w:pPr>
      <w:r w:rsidRPr="00814C54">
        <w:t>Amplification and sequencing of targeted marker loci (e.g., 16S rDNA for bacteria/archaea, 18S rDNA for eukaryotes,</w:t>
      </w:r>
      <w:r>
        <w:t xml:space="preserve"> fungi) </w:t>
      </w:r>
      <w:r w:rsidRPr="00814C54">
        <w:t>is currently the most common culture‐independent molecular method</w:t>
      </w:r>
      <w:r>
        <w:t xml:space="preserve"> </w:t>
      </w:r>
      <w:r w:rsidRPr="00814C54">
        <w:t>for the detection and characterization of the microbial community structure from a particular environment.</w:t>
      </w:r>
      <w:r>
        <w:t xml:space="preserve"> </w:t>
      </w:r>
      <w:r w:rsidRPr="00814C54">
        <w:t>With this method, a marker locus of a target community is amplified directly from the extracted DNA using specific</w:t>
      </w:r>
      <w:r>
        <w:t xml:space="preserve"> </w:t>
      </w:r>
      <w:r w:rsidRPr="00814C54">
        <w:t>universal PCR primers, and the amplified product is then sequenced in parallel (no traditional cloning step is needed before sequencing)</w:t>
      </w:r>
      <w:r>
        <w:t xml:space="preserve"> </w:t>
      </w:r>
      <w:r w:rsidRPr="00814C54">
        <w:t>on a next‐generation sequencing platform of choice</w:t>
      </w:r>
      <w:r>
        <w:t>.</w:t>
      </w:r>
      <w:r w:rsidR="00211750">
        <w:t xml:space="preserve"> Below are the steps that briefly explain the process,</w:t>
      </w:r>
    </w:p>
    <w:p w14:paraId="75EA2E67" w14:textId="77777777" w:rsidR="005B29C7" w:rsidRDefault="005B29C7" w:rsidP="000E4918">
      <w:pPr>
        <w:ind w:firstLine="720"/>
      </w:pPr>
    </w:p>
    <w:p w14:paraId="49BF295B" w14:textId="239E65F4" w:rsidR="00211750" w:rsidRDefault="00060E32" w:rsidP="00060E32">
      <w:pPr>
        <w:pStyle w:val="ListParagraph"/>
        <w:numPr>
          <w:ilvl w:val="0"/>
          <w:numId w:val="6"/>
        </w:numPr>
      </w:pPr>
      <w:r w:rsidRPr="00060E32">
        <w:t xml:space="preserve">Extract DNA from </w:t>
      </w:r>
      <w:r w:rsidR="004B0D32">
        <w:t>the</w:t>
      </w:r>
      <w:r w:rsidRPr="00060E32">
        <w:t xml:space="preserve"> sample</w:t>
      </w:r>
      <w:r>
        <w:t xml:space="preserve"> and p</w:t>
      </w:r>
      <w:r w:rsidRPr="00060E32">
        <w:t xml:space="preserve">erform PCR on </w:t>
      </w:r>
      <w:r w:rsidR="004B0D32">
        <w:t>the</w:t>
      </w:r>
      <w:r w:rsidRPr="00060E32">
        <w:t xml:space="preserve"> DNA sample to amplify one or more selected hypervariable regions (V1-V9) of the 16S rRNA gene, as well as adding molecular ‘barcodes’ to each cleaned DNA sample (to multiplex multiple samples)</w:t>
      </w:r>
    </w:p>
    <w:p w14:paraId="769C40E7" w14:textId="7E243B0E" w:rsidR="00060E32" w:rsidRDefault="00060E32" w:rsidP="00060E32">
      <w:pPr>
        <w:pStyle w:val="ListParagraph"/>
        <w:numPr>
          <w:ilvl w:val="0"/>
          <w:numId w:val="6"/>
        </w:numPr>
      </w:pPr>
      <w:r w:rsidRPr="00060E32">
        <w:t xml:space="preserve">Clean up and </w:t>
      </w:r>
      <w:r>
        <w:t>remove impurities from the</w:t>
      </w:r>
      <w:r w:rsidRPr="00060E32">
        <w:t xml:space="preserve"> amplified DNA</w:t>
      </w:r>
      <w:r>
        <w:t>.</w:t>
      </w:r>
    </w:p>
    <w:p w14:paraId="4EFA7CF9" w14:textId="048018F9" w:rsidR="00060E32" w:rsidRDefault="00060E32" w:rsidP="00060E32">
      <w:pPr>
        <w:pStyle w:val="ListParagraph"/>
        <w:numPr>
          <w:ilvl w:val="0"/>
          <w:numId w:val="6"/>
        </w:numPr>
      </w:pPr>
      <w:r>
        <w:t xml:space="preserve">Muster </w:t>
      </w:r>
      <w:r w:rsidRPr="00060E32">
        <w:t>samples together in equal proportions</w:t>
      </w:r>
      <w:r>
        <w:t xml:space="preserve"> for Library quantification. </w:t>
      </w:r>
    </w:p>
    <w:p w14:paraId="414AB544" w14:textId="29D035B4" w:rsidR="00060E32" w:rsidRDefault="00060E32" w:rsidP="00060E32">
      <w:pPr>
        <w:pStyle w:val="ListParagraph"/>
        <w:numPr>
          <w:ilvl w:val="0"/>
          <w:numId w:val="6"/>
        </w:numPr>
      </w:pPr>
      <w:r w:rsidRPr="0064539A">
        <w:t xml:space="preserve">Sequence </w:t>
      </w:r>
      <w:r>
        <w:t>mustered</w:t>
      </w:r>
      <w:r w:rsidRPr="0064539A">
        <w:t xml:space="preserve"> samples</w:t>
      </w:r>
      <w:r>
        <w:t>.</w:t>
      </w:r>
    </w:p>
    <w:p w14:paraId="33A8F9C8" w14:textId="66CFFB7B" w:rsidR="00231A9C" w:rsidRDefault="00231A9C" w:rsidP="00231A9C"/>
    <w:p w14:paraId="53EF9964" w14:textId="29DC66E6" w:rsidR="00231A9C" w:rsidRDefault="00231A9C" w:rsidP="00231A9C"/>
    <w:p w14:paraId="076449AB" w14:textId="2D6ADCDF" w:rsidR="00231A9C" w:rsidRDefault="00231A9C" w:rsidP="00231A9C"/>
    <w:p w14:paraId="77A80FE1" w14:textId="057625C6" w:rsidR="00231A9C" w:rsidRDefault="00231A9C" w:rsidP="00231A9C"/>
    <w:p w14:paraId="2093DA4C" w14:textId="632A6661" w:rsidR="00231A9C" w:rsidRDefault="00231A9C" w:rsidP="00231A9C"/>
    <w:p w14:paraId="7AC2CADD" w14:textId="35B463F2" w:rsidR="00A830E1" w:rsidRPr="00A830E1" w:rsidRDefault="00A830E1" w:rsidP="00A830E1">
      <w:pPr>
        <w:rPr>
          <w:b/>
          <w:bCs/>
        </w:rPr>
      </w:pPr>
      <w:r w:rsidRPr="00A830E1">
        <w:rPr>
          <w:b/>
          <w:bCs/>
        </w:rPr>
        <w:lastRenderedPageBreak/>
        <w:t>Few important factors to compare:</w:t>
      </w:r>
    </w:p>
    <w:p w14:paraId="3DBE1B89" w14:textId="217C0246" w:rsidR="004C2BCA" w:rsidRDefault="00A830E1" w:rsidP="004C2BCA">
      <w:r w:rsidRPr="00A830E1">
        <w:rPr>
          <w:noProof/>
        </w:rPr>
        <w:drawing>
          <wp:inline distT="0" distB="0" distL="0" distR="0" wp14:anchorId="23CA4B70" wp14:editId="649810FA">
            <wp:extent cx="5943600" cy="28371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37180"/>
                    </a:xfrm>
                    <a:prstGeom prst="rect">
                      <a:avLst/>
                    </a:prstGeom>
                  </pic:spPr>
                </pic:pic>
              </a:graphicData>
            </a:graphic>
          </wp:inline>
        </w:drawing>
      </w:r>
    </w:p>
    <w:p w14:paraId="2D6FF6D2" w14:textId="1331DD67" w:rsidR="00BC20DE" w:rsidRPr="00BC20DE" w:rsidRDefault="00BC20DE" w:rsidP="004C2BCA">
      <w:pPr>
        <w:rPr>
          <w:sz w:val="16"/>
          <w:szCs w:val="16"/>
        </w:rPr>
      </w:pPr>
      <w:r w:rsidRPr="00BC20DE">
        <w:rPr>
          <w:sz w:val="16"/>
          <w:szCs w:val="16"/>
        </w:rPr>
        <w:t xml:space="preserve">Table 2.2 Comparison factors for metagenomic sequencing. </w:t>
      </w:r>
      <w:r>
        <w:rPr>
          <w:sz w:val="16"/>
          <w:szCs w:val="16"/>
        </w:rPr>
        <w:t>[9]</w:t>
      </w:r>
    </w:p>
    <w:p w14:paraId="57733147" w14:textId="77777777" w:rsidR="00B856F0" w:rsidRDefault="00B856F0" w:rsidP="004C2BCA"/>
    <w:p w14:paraId="05EE6B0F" w14:textId="3FC6AD37" w:rsidR="004C2BCA" w:rsidRDefault="00440362" w:rsidP="00440362">
      <w:pPr>
        <w:pStyle w:val="Heading2"/>
        <w:numPr>
          <w:ilvl w:val="1"/>
          <w:numId w:val="1"/>
        </w:numPr>
        <w:rPr>
          <w:rFonts w:ascii="Times New Roman" w:hAnsi="Times New Roman" w:cs="Times New Roman"/>
          <w:color w:val="auto"/>
        </w:rPr>
      </w:pPr>
      <w:bookmarkStart w:id="8" w:name="_Toc71916035"/>
      <w:r w:rsidRPr="00440362">
        <w:rPr>
          <w:rFonts w:ascii="Times New Roman" w:hAnsi="Times New Roman" w:cs="Times New Roman"/>
          <w:color w:val="auto"/>
        </w:rPr>
        <w:t>Assembly</w:t>
      </w:r>
      <w:bookmarkEnd w:id="8"/>
    </w:p>
    <w:p w14:paraId="43EFF5D7" w14:textId="67B7114B" w:rsidR="00440362" w:rsidRDefault="00440362" w:rsidP="00440362"/>
    <w:p w14:paraId="616380E2" w14:textId="77777777" w:rsidR="00F90636" w:rsidRDefault="003833FB" w:rsidP="003833FB">
      <w:pPr>
        <w:ind w:firstLine="720"/>
      </w:pPr>
      <w:r>
        <w:t xml:space="preserve">Assembly is </w:t>
      </w:r>
      <w:r w:rsidRPr="003833FB">
        <w:t>the process of combining sequence reads into contiguous stretches of DNA called contigs,</w:t>
      </w:r>
      <w:r>
        <w:t xml:space="preserve"> based on sequence similarity between reads. The consensus sequence for a contig is either based on the highest-quality nucleotide in any given read at each position or based on majority rule. </w:t>
      </w:r>
      <w:r w:rsidRPr="003833FB">
        <w:t>The main challenge in metagenomic assembly arises from the heterogeneous nature of metagenomic data.</w:t>
      </w:r>
      <w:r>
        <w:t xml:space="preserve"> </w:t>
      </w:r>
      <w:r w:rsidRPr="003833FB">
        <w:t>Most environments contain an uneven representation of the member species, and furthermore,</w:t>
      </w:r>
      <w:r>
        <w:t xml:space="preserve"> </w:t>
      </w:r>
      <w:r w:rsidRPr="003833FB">
        <w:t>the organisms in the environment frequently belong to clusters of closely related strains whose</w:t>
      </w:r>
      <w:r>
        <w:t xml:space="preserve"> </w:t>
      </w:r>
      <w:r w:rsidRPr="003833FB">
        <w:t>genomes are largely similar but differ due to mobile genetic elements and point mutations.</w:t>
      </w:r>
      <w:r>
        <w:t xml:space="preserve"> </w:t>
      </w:r>
    </w:p>
    <w:p w14:paraId="592650E0" w14:textId="27C568D1" w:rsidR="00F90636" w:rsidRDefault="003833FB" w:rsidP="00660366">
      <w:pPr>
        <w:ind w:firstLine="720"/>
      </w:pPr>
      <w:r w:rsidRPr="003833FB">
        <w:t>These characteristics of the data make it virtually impossible to construct a single assembly</w:t>
      </w:r>
      <w:r>
        <w:t xml:space="preserve"> </w:t>
      </w:r>
      <w:r w:rsidRPr="003833FB">
        <w:t>of each organisms present in a sample, instead many organisms will be under-sampled and will be</w:t>
      </w:r>
      <w:r>
        <w:t xml:space="preserve"> </w:t>
      </w:r>
      <w:r w:rsidRPr="003833FB">
        <w:t xml:space="preserve">assembled in a highly fragmented form, while groups of closely related organisms will end up </w:t>
      </w:r>
      <w:r w:rsidR="00F90636" w:rsidRPr="003833FB">
        <w:t>assembled</w:t>
      </w:r>
      <w:r w:rsidRPr="003833FB">
        <w:t xml:space="preserve"> into a polymorphic structure that can be modeled as a computational graph.</w:t>
      </w:r>
      <w:r>
        <w:t xml:space="preserve"> </w:t>
      </w:r>
      <w:r w:rsidR="00660366">
        <w:t xml:space="preserve">Below are the two types of assembly that can be employed for metagenomics, </w:t>
      </w:r>
    </w:p>
    <w:p w14:paraId="5B52E5FA" w14:textId="77777777" w:rsidR="00CC6A7E" w:rsidRDefault="00CC6A7E" w:rsidP="00660366">
      <w:pPr>
        <w:ind w:firstLine="720"/>
      </w:pPr>
    </w:p>
    <w:p w14:paraId="10479538" w14:textId="13355922" w:rsidR="00762A7F" w:rsidRPr="00B61216" w:rsidRDefault="00C40B93" w:rsidP="00B61216">
      <w:pPr>
        <w:pStyle w:val="Heading3"/>
        <w:numPr>
          <w:ilvl w:val="2"/>
          <w:numId w:val="1"/>
        </w:numPr>
        <w:rPr>
          <w:rFonts w:ascii="Times New Roman" w:eastAsiaTheme="minorHAnsi" w:hAnsi="Times New Roman" w:cs="Times New Roman"/>
          <w:color w:val="auto"/>
          <w:sz w:val="26"/>
          <w:szCs w:val="26"/>
        </w:rPr>
      </w:pPr>
      <w:bookmarkStart w:id="9" w:name="_Toc71916036"/>
      <w:r w:rsidRPr="00B61216">
        <w:rPr>
          <w:rFonts w:ascii="Times New Roman" w:eastAsiaTheme="minorHAnsi" w:hAnsi="Times New Roman" w:cs="Times New Roman"/>
          <w:color w:val="auto"/>
          <w:sz w:val="26"/>
          <w:szCs w:val="26"/>
        </w:rPr>
        <w:t>Reference</w:t>
      </w:r>
      <w:r w:rsidR="00762A7F" w:rsidRPr="00B61216">
        <w:rPr>
          <w:rFonts w:ascii="Times New Roman" w:eastAsiaTheme="minorHAnsi" w:hAnsi="Times New Roman" w:cs="Times New Roman"/>
          <w:color w:val="auto"/>
          <w:sz w:val="26"/>
          <w:szCs w:val="26"/>
        </w:rPr>
        <w:t>-</w:t>
      </w:r>
      <w:r w:rsidRPr="00B61216">
        <w:rPr>
          <w:rFonts w:ascii="Times New Roman" w:eastAsiaTheme="minorHAnsi" w:hAnsi="Times New Roman" w:cs="Times New Roman"/>
          <w:color w:val="auto"/>
          <w:sz w:val="26"/>
          <w:szCs w:val="26"/>
        </w:rPr>
        <w:t>based assembly</w:t>
      </w:r>
      <w:bookmarkEnd w:id="9"/>
    </w:p>
    <w:p w14:paraId="2D86E2BA" w14:textId="77777777" w:rsidR="00762A7F" w:rsidRPr="00762A7F" w:rsidRDefault="00762A7F" w:rsidP="00762A7F">
      <w:pPr>
        <w:rPr>
          <w:rFonts w:ascii="Times New Roman" w:eastAsiaTheme="majorEastAsia" w:hAnsi="Times New Roman" w:cs="Times New Roman"/>
          <w:sz w:val="26"/>
          <w:szCs w:val="26"/>
        </w:rPr>
      </w:pPr>
    </w:p>
    <w:p w14:paraId="057DDA0D" w14:textId="0CCD0BD0" w:rsidR="00660366" w:rsidRDefault="00613EC7" w:rsidP="00762A7F">
      <w:pPr>
        <w:ind w:firstLine="720"/>
      </w:pPr>
      <w:r>
        <w:t xml:space="preserve">This method </w:t>
      </w:r>
      <w:r w:rsidRPr="00613EC7">
        <w:t>refers to performing an assembly where the input files would be reads from multiple samples.</w:t>
      </w:r>
      <w:r>
        <w:t xml:space="preserve"> </w:t>
      </w:r>
      <w:r w:rsidRPr="00613EC7">
        <w:t>This contrasts with doing an independent assembly for each sample, where the input for each</w:t>
      </w:r>
      <w:r>
        <w:t xml:space="preserve"> </w:t>
      </w:r>
      <w:r w:rsidRPr="00613EC7">
        <w:t>assembly would be just the reads from that individual sample</w:t>
      </w:r>
      <w:r>
        <w:t xml:space="preserve">. </w:t>
      </w:r>
      <w:r w:rsidR="00C40B93">
        <w:t xml:space="preserve">This works well </w:t>
      </w:r>
      <w:r w:rsidR="00C40B93" w:rsidRPr="00C40B93">
        <w:t>if the metagenomic dataset contains sequences where closely related reference genomes are available.</w:t>
      </w:r>
      <w:r w:rsidR="00C40B93">
        <w:t xml:space="preserve"> </w:t>
      </w:r>
      <w:r w:rsidR="00C40B93" w:rsidRPr="00C40B93">
        <w:lastRenderedPageBreak/>
        <w:t>However, differences in the true genome of the sample to the reference, such as a large insertion,</w:t>
      </w:r>
      <w:r w:rsidR="00C40B93">
        <w:t xml:space="preserve"> </w:t>
      </w:r>
      <w:r w:rsidR="00C40B93" w:rsidRPr="00C40B93">
        <w:t>deletion, or polymorphisms, can mean that the assembly is fragmented or that divergent regions are not covered.</w:t>
      </w:r>
      <w:r w:rsidR="00C40B93">
        <w:t xml:space="preserve"> </w:t>
      </w:r>
      <w:r w:rsidR="00055D05">
        <w:t xml:space="preserve"> Below are some advantages of this method,</w:t>
      </w:r>
    </w:p>
    <w:p w14:paraId="2E39E915" w14:textId="0EB9F8CB" w:rsidR="00055D05" w:rsidRDefault="00055D05" w:rsidP="00055D05">
      <w:pPr>
        <w:pStyle w:val="ListParagraph"/>
        <w:numPr>
          <w:ilvl w:val="0"/>
          <w:numId w:val="7"/>
        </w:numPr>
      </w:pPr>
      <w:r>
        <w:t>H</w:t>
      </w:r>
      <w:r w:rsidRPr="00055D05">
        <w:t>igher read depth (this can allow to have a more robust assembly that captures more of the diversity in our system, but not always)</w:t>
      </w:r>
      <w:r>
        <w:t>.</w:t>
      </w:r>
    </w:p>
    <w:p w14:paraId="463A493C" w14:textId="237CB832" w:rsidR="00055D05" w:rsidRDefault="00055D05" w:rsidP="00055D05">
      <w:pPr>
        <w:pStyle w:val="ListParagraph"/>
        <w:numPr>
          <w:ilvl w:val="0"/>
          <w:numId w:val="7"/>
        </w:numPr>
      </w:pPr>
      <w:r>
        <w:t>F</w:t>
      </w:r>
      <w:r w:rsidRPr="00055D05">
        <w:t xml:space="preserve">acilitates the comparison across samples by giving </w:t>
      </w:r>
      <w:r w:rsidR="004B0D32">
        <w:t>us</w:t>
      </w:r>
      <w:r w:rsidRPr="00055D05">
        <w:t xml:space="preserve"> one reference assembly to use for all</w:t>
      </w:r>
      <w:r>
        <w:t>.</w:t>
      </w:r>
    </w:p>
    <w:p w14:paraId="10BE8DC9" w14:textId="52625762" w:rsidR="00695F9F" w:rsidRDefault="00055D05" w:rsidP="00695F9F">
      <w:pPr>
        <w:pStyle w:val="ListParagraph"/>
        <w:numPr>
          <w:ilvl w:val="0"/>
          <w:numId w:val="7"/>
        </w:numPr>
      </w:pPr>
      <w:r>
        <w:t>S</w:t>
      </w:r>
      <w:r w:rsidRPr="00055D05">
        <w:t>ubstantially improve</w:t>
      </w:r>
      <w:r>
        <w:t>s</w:t>
      </w:r>
      <w:r w:rsidRPr="00055D05">
        <w:t xml:space="preserve"> </w:t>
      </w:r>
      <w:r>
        <w:t>the</w:t>
      </w:r>
      <w:r w:rsidRPr="00055D05">
        <w:t xml:space="preserve"> ability to recover genomes from metagenomes due to the awesome power of differential coverage (this concept of using coverage to recover genomes is shown in the figure and slides available above with one sample, but as noted really becomes powerful with multiple)</w:t>
      </w:r>
    </w:p>
    <w:p w14:paraId="21BF397F" w14:textId="77777777" w:rsidR="00695F9F" w:rsidRDefault="00695F9F" w:rsidP="00695F9F"/>
    <w:p w14:paraId="240C1F00" w14:textId="28B9D301" w:rsidR="006D6FF2" w:rsidRPr="00071AB2" w:rsidRDefault="00FC0820" w:rsidP="00071AB2">
      <w:pPr>
        <w:pStyle w:val="Heading3"/>
        <w:numPr>
          <w:ilvl w:val="2"/>
          <w:numId w:val="1"/>
        </w:numPr>
        <w:rPr>
          <w:rFonts w:ascii="Times New Roman" w:eastAsiaTheme="minorHAnsi" w:hAnsi="Times New Roman" w:cs="Times New Roman"/>
          <w:color w:val="auto"/>
          <w:sz w:val="26"/>
          <w:szCs w:val="26"/>
        </w:rPr>
      </w:pPr>
      <w:bookmarkStart w:id="10" w:name="_Toc71916037"/>
      <w:r w:rsidRPr="00071AB2">
        <w:rPr>
          <w:rFonts w:ascii="Times New Roman" w:eastAsiaTheme="minorHAnsi" w:hAnsi="Times New Roman" w:cs="Times New Roman"/>
          <w:color w:val="auto"/>
          <w:sz w:val="26"/>
          <w:szCs w:val="26"/>
        </w:rPr>
        <w:t>De Novo assembly</w:t>
      </w:r>
      <w:bookmarkEnd w:id="10"/>
    </w:p>
    <w:p w14:paraId="4A48FB50" w14:textId="77777777" w:rsidR="00695F9F" w:rsidRPr="00695F9F" w:rsidRDefault="00695F9F" w:rsidP="00695F9F"/>
    <w:p w14:paraId="05A9494B" w14:textId="4BA97AA5" w:rsidR="003E1E57" w:rsidRDefault="007841DC" w:rsidP="003E1E57">
      <w:pPr>
        <w:ind w:firstLine="720"/>
      </w:pPr>
      <w:r>
        <w:t xml:space="preserve">De Novo refers to assembling a novel genome where there is no reference sequence available for alignment. </w:t>
      </w:r>
      <w:r w:rsidRPr="007841DC">
        <w:t>Sequence reads are assembled as contigs, and the coverage quality of de novo sequence data depends on the size and continuity of the contigs (i.e., the number of gaps in the data)</w:t>
      </w:r>
      <w:r>
        <w:t xml:space="preserve">. </w:t>
      </w:r>
      <w:r w:rsidR="00CB715E">
        <w:t xml:space="preserve">This method </w:t>
      </w:r>
      <w:r w:rsidR="00CB715E" w:rsidRPr="00CB715E">
        <w:t xml:space="preserve">requires larger computational resources. </w:t>
      </w:r>
      <w:r w:rsidR="00453DD2">
        <w:t>Below are the three main paradigms De Novo assembly,</w:t>
      </w:r>
    </w:p>
    <w:p w14:paraId="3FD2EB2D" w14:textId="77777777" w:rsidR="00DD7898" w:rsidRDefault="00DD7898" w:rsidP="003E1E57">
      <w:pPr>
        <w:ind w:firstLine="720"/>
      </w:pPr>
    </w:p>
    <w:p w14:paraId="42C0A4BB" w14:textId="210D2593" w:rsidR="00453DD2" w:rsidRDefault="00453DD2" w:rsidP="00453DD2">
      <w:pPr>
        <w:rPr>
          <w:color w:val="000000"/>
          <w:shd w:val="clear" w:color="auto" w:fill="FFFFFF"/>
        </w:rPr>
      </w:pPr>
      <w:r w:rsidRPr="00453DD2">
        <w:rPr>
          <w:b/>
          <w:bCs/>
        </w:rPr>
        <w:t>Greedy:</w:t>
      </w:r>
      <w:r>
        <w:t xml:space="preserve"> </w:t>
      </w:r>
      <w:r>
        <w:rPr>
          <w:color w:val="000000"/>
          <w:shd w:val="clear" w:color="auto" w:fill="FFFFFF"/>
        </w:rPr>
        <w:t>This is the most simple and intuitive method of assembly. In this method, individual reads are joined together into contigs in an iterative manner starting with the reads that overlap best and ending once no more reads or contigs can be merged.</w:t>
      </w:r>
    </w:p>
    <w:p w14:paraId="10674DC0" w14:textId="77777777" w:rsidR="00DD7898" w:rsidRDefault="00DD7898" w:rsidP="00453DD2">
      <w:pPr>
        <w:rPr>
          <w:color w:val="000000"/>
          <w:shd w:val="clear" w:color="auto" w:fill="FFFFFF"/>
        </w:rPr>
      </w:pPr>
    </w:p>
    <w:p w14:paraId="52648274" w14:textId="661E6DF4" w:rsidR="00453DD2" w:rsidRDefault="009A56CC" w:rsidP="00453DD2">
      <w:pPr>
        <w:rPr>
          <w:color w:val="000000"/>
          <w:shd w:val="clear" w:color="auto" w:fill="FFFFFF"/>
        </w:rPr>
      </w:pPr>
      <w:r w:rsidRPr="003C5961">
        <w:rPr>
          <w:b/>
          <w:bCs/>
          <w:color w:val="000000"/>
          <w:shd w:val="clear" w:color="auto" w:fill="FFFFFF"/>
        </w:rPr>
        <w:t>Overlap-layout-consensus:</w:t>
      </w:r>
      <w:r>
        <w:rPr>
          <w:color w:val="000000"/>
          <w:shd w:val="clear" w:color="auto" w:fill="FFFFFF"/>
        </w:rPr>
        <w:t xml:space="preserve"> </w:t>
      </w:r>
      <w:r w:rsidR="003C5961">
        <w:rPr>
          <w:color w:val="000000"/>
          <w:shd w:val="clear" w:color="auto" w:fill="FFFFFF"/>
        </w:rPr>
        <w:t>This is a three-step approach begins with a calculation pairwise overlaps between all pairs of reads. The overlaps are computed with a variant of a dynamic programming-based alignment algorithm, making assembly possible even if the reads contain errors. Using this information, an overlap graph is constructed where nodes are reads and edges denote overlaps between them. The layout stage consists of a simplification of the overlap graph to help identify a path that corresponds to the sequence of the genome. More precisely, a path through the overlap graph implies a 'layout' of the reads along the genome.</w:t>
      </w:r>
    </w:p>
    <w:p w14:paraId="386D141D" w14:textId="77777777" w:rsidR="00DD7898" w:rsidRDefault="00DD7898" w:rsidP="00453DD2">
      <w:pPr>
        <w:rPr>
          <w:color w:val="000000"/>
          <w:shd w:val="clear" w:color="auto" w:fill="FFFFFF"/>
        </w:rPr>
      </w:pPr>
    </w:p>
    <w:p w14:paraId="5E1DBB48" w14:textId="507B27AF" w:rsidR="003C5961" w:rsidRDefault="001A0DB2" w:rsidP="00453DD2">
      <w:pPr>
        <w:rPr>
          <w:color w:val="000000"/>
          <w:shd w:val="clear" w:color="auto" w:fill="FFFFFF"/>
        </w:rPr>
      </w:pPr>
      <w:r w:rsidRPr="00C46BFD">
        <w:rPr>
          <w:b/>
          <w:bCs/>
          <w:color w:val="000000"/>
          <w:shd w:val="clear" w:color="auto" w:fill="FFFFFF"/>
        </w:rPr>
        <w:t>De Bruijn Graph:</w:t>
      </w:r>
      <w:r>
        <w:rPr>
          <w:color w:val="000000"/>
          <w:shd w:val="clear" w:color="auto" w:fill="FFFFFF"/>
        </w:rPr>
        <w:t xml:space="preserve"> </w:t>
      </w:r>
      <w:r w:rsidR="00C46BFD">
        <w:rPr>
          <w:color w:val="000000"/>
          <w:shd w:val="clear" w:color="auto" w:fill="FFFFFF"/>
        </w:rPr>
        <w:t xml:space="preserve">The de Bruijn graph assembly paradigm focuses on relationship between substrings of fixed length k (k-mers) derived from the reads. The k-mers are organized in a graph structure where the nodes correspond to the k-1 prefixes and suffixes of k-mers, connected by edges that represent the k-mers. In this approach reads are not explicitly aligned to each other, rather their overlaps can be inferred from the fact that they share k-mers. With this graph, assembly problem reduces to finding </w:t>
      </w:r>
      <w:r w:rsidR="00311FE2">
        <w:rPr>
          <w:color w:val="000000"/>
          <w:shd w:val="clear" w:color="auto" w:fill="FFFFFF"/>
        </w:rPr>
        <w:t>a</w:t>
      </w:r>
      <w:r w:rsidR="00C46BFD">
        <w:rPr>
          <w:color w:val="000000"/>
          <w:shd w:val="clear" w:color="auto" w:fill="FFFFFF"/>
        </w:rPr>
        <w:t xml:space="preserve"> Eulerian path – a path through the graph that visits each edge once.</w:t>
      </w:r>
    </w:p>
    <w:p w14:paraId="1FAE4289" w14:textId="6A7DA932" w:rsidR="00255579" w:rsidRDefault="004E5380" w:rsidP="004E5380">
      <w:pPr>
        <w:pStyle w:val="Heading2"/>
        <w:numPr>
          <w:ilvl w:val="1"/>
          <w:numId w:val="1"/>
        </w:numPr>
        <w:rPr>
          <w:rFonts w:ascii="Times New Roman" w:hAnsi="Times New Roman" w:cs="Times New Roman"/>
          <w:color w:val="auto"/>
        </w:rPr>
      </w:pPr>
      <w:bookmarkStart w:id="11" w:name="_Toc71916038"/>
      <w:r w:rsidRPr="004E5380">
        <w:rPr>
          <w:rFonts w:ascii="Times New Roman" w:hAnsi="Times New Roman" w:cs="Times New Roman"/>
          <w:color w:val="auto"/>
        </w:rPr>
        <w:lastRenderedPageBreak/>
        <w:t>Binning</w:t>
      </w:r>
      <w:bookmarkEnd w:id="11"/>
    </w:p>
    <w:p w14:paraId="71D0CDEF" w14:textId="727943CE" w:rsidR="004E5380" w:rsidRDefault="004E5380" w:rsidP="004E5380"/>
    <w:p w14:paraId="312B2AF3" w14:textId="725E7B55" w:rsidR="004E5380" w:rsidRDefault="008D5FBA" w:rsidP="002C0F8F">
      <w:pPr>
        <w:ind w:firstLine="720"/>
      </w:pPr>
      <w:r>
        <w:t xml:space="preserve">This is the process of segregating of reads and contigs, obtained from sequence and assembly process, and assigning them to individual genome of the microbiome sample. </w:t>
      </w:r>
      <w:r w:rsidR="002A3D4C" w:rsidRPr="002A3D4C">
        <w:t>Binning assembled sequences into individual groups, which represent microbial genomes, is the key step and a major challenge in metagenomic research. Both supervised and unsupervised machine learning methods have been employed in binning.</w:t>
      </w:r>
      <w:r w:rsidR="002A3D4C">
        <w:t xml:space="preserve"> </w:t>
      </w:r>
      <w:r w:rsidR="00BF26E7" w:rsidRPr="00BF26E7">
        <w:t xml:space="preserve">Binning approach can be divided into taxonomic-dependent binning and taxonomic-independent binning, also called taxonomy binning and genome </w:t>
      </w:r>
      <w:r w:rsidR="00904730" w:rsidRPr="00BF26E7">
        <w:t>binning,</w:t>
      </w:r>
      <w:r w:rsidR="00843AC0">
        <w:t xml:space="preserve"> respectively</w:t>
      </w:r>
      <w:r w:rsidR="00BF26E7" w:rsidRPr="00BF26E7">
        <w:t>. Taxonomy binning is a supervised method to compare metagenomic sequences against a database of genomic sequences by making use of aligning algorithms such as blast, bowtie, bwa, minimap or pre-computed databases (k-mers) of previously sequenced microbial genetic sequences.</w:t>
      </w:r>
    </w:p>
    <w:p w14:paraId="02EF7689" w14:textId="3CB75C9B" w:rsidR="00904730" w:rsidRDefault="00904730" w:rsidP="00904730"/>
    <w:p w14:paraId="61687BE0" w14:textId="2D60994B" w:rsidR="00904730" w:rsidRPr="00904730" w:rsidRDefault="00904730" w:rsidP="00904730">
      <w:pPr>
        <w:rPr>
          <w:b/>
          <w:bCs/>
        </w:rPr>
      </w:pPr>
      <w:r w:rsidRPr="00904730">
        <w:rPr>
          <w:b/>
          <w:bCs/>
        </w:rPr>
        <w:t>Life cycle:</w:t>
      </w:r>
    </w:p>
    <w:p w14:paraId="090C008B" w14:textId="0CBDBF36" w:rsidR="00904730" w:rsidRDefault="00904730" w:rsidP="00904730">
      <w:r w:rsidRPr="00904730">
        <w:rPr>
          <w:noProof/>
        </w:rPr>
        <w:drawing>
          <wp:inline distT="0" distB="0" distL="0" distR="0" wp14:anchorId="6D4C3389" wp14:editId="6478E388">
            <wp:extent cx="5943600" cy="1987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87550"/>
                    </a:xfrm>
                    <a:prstGeom prst="rect">
                      <a:avLst/>
                    </a:prstGeom>
                  </pic:spPr>
                </pic:pic>
              </a:graphicData>
            </a:graphic>
          </wp:inline>
        </w:drawing>
      </w:r>
    </w:p>
    <w:p w14:paraId="665D362F" w14:textId="5D9EB00E" w:rsidR="00904730" w:rsidRDefault="00904730" w:rsidP="00904730">
      <w:pPr>
        <w:rPr>
          <w:sz w:val="16"/>
          <w:szCs w:val="16"/>
        </w:rPr>
      </w:pPr>
      <w:r w:rsidRPr="00904730">
        <w:rPr>
          <w:sz w:val="16"/>
          <w:szCs w:val="16"/>
        </w:rPr>
        <w:t>Figure – 2 Life cycle of Metagenomics [6]</w:t>
      </w:r>
    </w:p>
    <w:p w14:paraId="2BD4E194" w14:textId="20DEB219" w:rsidR="00EA36BE" w:rsidRDefault="00EA36BE" w:rsidP="00904730">
      <w:pPr>
        <w:rPr>
          <w:sz w:val="16"/>
          <w:szCs w:val="16"/>
        </w:rPr>
      </w:pPr>
    </w:p>
    <w:p w14:paraId="1A633FED" w14:textId="6C982E94" w:rsidR="00EA36BE" w:rsidRDefault="00EA36BE" w:rsidP="00904730">
      <w:pPr>
        <w:rPr>
          <w:sz w:val="16"/>
          <w:szCs w:val="16"/>
        </w:rPr>
      </w:pPr>
    </w:p>
    <w:p w14:paraId="253FC88C" w14:textId="1AFD622D" w:rsidR="00EA36BE" w:rsidRDefault="00EA36BE" w:rsidP="00904730">
      <w:pPr>
        <w:rPr>
          <w:sz w:val="16"/>
          <w:szCs w:val="16"/>
        </w:rPr>
      </w:pPr>
    </w:p>
    <w:p w14:paraId="05AC1E7C" w14:textId="371A2F1F" w:rsidR="00EA36BE" w:rsidRDefault="00EA36BE" w:rsidP="00904730">
      <w:pPr>
        <w:rPr>
          <w:sz w:val="16"/>
          <w:szCs w:val="16"/>
        </w:rPr>
      </w:pPr>
    </w:p>
    <w:p w14:paraId="028E9B52" w14:textId="33E95136" w:rsidR="00EA36BE" w:rsidRDefault="00EA36BE" w:rsidP="00904730">
      <w:pPr>
        <w:rPr>
          <w:sz w:val="16"/>
          <w:szCs w:val="16"/>
        </w:rPr>
      </w:pPr>
    </w:p>
    <w:p w14:paraId="18DD55D8" w14:textId="7E33060C" w:rsidR="00EA36BE" w:rsidRDefault="00EA36BE" w:rsidP="00904730">
      <w:pPr>
        <w:rPr>
          <w:sz w:val="16"/>
          <w:szCs w:val="16"/>
        </w:rPr>
      </w:pPr>
    </w:p>
    <w:p w14:paraId="067BFE9D" w14:textId="5DE37113" w:rsidR="00EA36BE" w:rsidRDefault="00EA36BE" w:rsidP="00904730">
      <w:pPr>
        <w:rPr>
          <w:sz w:val="16"/>
          <w:szCs w:val="16"/>
        </w:rPr>
      </w:pPr>
    </w:p>
    <w:p w14:paraId="7975CDE6" w14:textId="3768F541" w:rsidR="00EA36BE" w:rsidRDefault="00EA36BE" w:rsidP="00904730">
      <w:pPr>
        <w:rPr>
          <w:sz w:val="16"/>
          <w:szCs w:val="16"/>
        </w:rPr>
      </w:pPr>
    </w:p>
    <w:p w14:paraId="50958C77" w14:textId="143A8082" w:rsidR="00EA36BE" w:rsidRDefault="00EA36BE" w:rsidP="00904730">
      <w:pPr>
        <w:rPr>
          <w:sz w:val="16"/>
          <w:szCs w:val="16"/>
        </w:rPr>
      </w:pPr>
    </w:p>
    <w:p w14:paraId="2360B573" w14:textId="501DB56C" w:rsidR="00EA36BE" w:rsidRDefault="00EA36BE" w:rsidP="00904730">
      <w:pPr>
        <w:rPr>
          <w:sz w:val="16"/>
          <w:szCs w:val="16"/>
        </w:rPr>
      </w:pPr>
    </w:p>
    <w:p w14:paraId="1EC5D65D" w14:textId="26BD775E" w:rsidR="00EA36BE" w:rsidRDefault="00EA36BE" w:rsidP="00904730">
      <w:pPr>
        <w:rPr>
          <w:sz w:val="16"/>
          <w:szCs w:val="16"/>
        </w:rPr>
      </w:pPr>
    </w:p>
    <w:p w14:paraId="4D9912DC" w14:textId="0475673B" w:rsidR="00EA36BE" w:rsidRDefault="00EA36BE" w:rsidP="00904730">
      <w:pPr>
        <w:rPr>
          <w:sz w:val="16"/>
          <w:szCs w:val="16"/>
        </w:rPr>
      </w:pPr>
    </w:p>
    <w:p w14:paraId="2DD549D1" w14:textId="158D45EC" w:rsidR="004E5380" w:rsidRDefault="004E5380" w:rsidP="00EA36BE">
      <w:pPr>
        <w:rPr>
          <w:sz w:val="16"/>
          <w:szCs w:val="16"/>
        </w:rPr>
      </w:pPr>
    </w:p>
    <w:p w14:paraId="67C03AA2" w14:textId="70245AEB" w:rsidR="00EA36BE" w:rsidRDefault="00EA36BE" w:rsidP="00724417">
      <w:pPr>
        <w:pStyle w:val="Heading1"/>
        <w:numPr>
          <w:ilvl w:val="0"/>
          <w:numId w:val="1"/>
        </w:numPr>
        <w:rPr>
          <w:color w:val="auto"/>
        </w:rPr>
      </w:pPr>
      <w:bookmarkStart w:id="12" w:name="_Toc71916039"/>
      <w:r w:rsidRPr="00724417">
        <w:rPr>
          <w:rFonts w:ascii="Times New Roman" w:hAnsi="Times New Roman" w:cs="Times New Roman"/>
          <w:color w:val="auto"/>
        </w:rPr>
        <w:lastRenderedPageBreak/>
        <w:t>Metatranscriptomics</w:t>
      </w:r>
      <w:bookmarkEnd w:id="12"/>
      <w:r w:rsidRPr="00EA36BE">
        <w:rPr>
          <w:color w:val="auto"/>
        </w:rPr>
        <w:t xml:space="preserve"> </w:t>
      </w:r>
    </w:p>
    <w:p w14:paraId="5D38AF92" w14:textId="62B46ED8" w:rsidR="00274962" w:rsidRDefault="00274962" w:rsidP="00274962"/>
    <w:p w14:paraId="3F0D4982" w14:textId="5968D86A" w:rsidR="00274962" w:rsidRDefault="004D00D1" w:rsidP="004D00D1">
      <w:pPr>
        <w:ind w:firstLine="720"/>
      </w:pPr>
      <w:r>
        <w:t xml:space="preserve">Metatranscriptomics analysis helps us comprehend </w:t>
      </w:r>
      <w:r w:rsidRPr="004D00D1">
        <w:t>how the microbiome responds to the environment by studying the functional analysis of genes expressed by the microbiome.</w:t>
      </w:r>
      <w:r>
        <w:t xml:space="preserve"> </w:t>
      </w:r>
      <w:r w:rsidRPr="004D00D1">
        <w:t xml:space="preserve">It can also estimate the taxonomic composition of the microbial </w:t>
      </w:r>
      <w:r w:rsidR="00F025E1">
        <w:t>species</w:t>
      </w:r>
      <w:r w:rsidRPr="004D00D1">
        <w:t xml:space="preserve">. It </w:t>
      </w:r>
      <w:r w:rsidR="009B370C">
        <w:t>furnishes</w:t>
      </w:r>
      <w:r w:rsidRPr="004D00D1">
        <w:t xml:space="preserve"> scientists with the confirmation</w:t>
      </w:r>
      <w:r>
        <w:t xml:space="preserve"> </w:t>
      </w:r>
      <w:r w:rsidRPr="004D00D1">
        <w:t>of predicted open‐reading frames (ORFs) and potential identification of novel sites of transcription and/or translation</w:t>
      </w:r>
      <w:r>
        <w:t xml:space="preserve"> </w:t>
      </w:r>
      <w:r w:rsidRPr="004D00D1">
        <w:t xml:space="preserve">from microbial genomes. </w:t>
      </w:r>
      <w:r w:rsidR="007E2D90" w:rsidRPr="007E2D90">
        <w:t xml:space="preserve">Since </w:t>
      </w:r>
      <w:r w:rsidR="007E2D90">
        <w:t>this branch</w:t>
      </w:r>
      <w:r w:rsidR="007E2D90" w:rsidRPr="007E2D90">
        <w:t xml:space="preserve"> focuses on what genes are expressed, it allows to understand the active functional profile</w:t>
      </w:r>
      <w:r w:rsidR="007E2D90">
        <w:t xml:space="preserve"> </w:t>
      </w:r>
      <w:r w:rsidR="007E2D90" w:rsidRPr="007E2D90">
        <w:t>of the entire microbial community. The overview of the gene expression in each sample is obtained by capturing the total mRNA of the microbiome</w:t>
      </w:r>
      <w:r w:rsidR="007E2D90">
        <w:t xml:space="preserve">. </w:t>
      </w:r>
      <w:r w:rsidRPr="004D00D1">
        <w:t xml:space="preserve">Metatranscriptomics can enable more complete generation of protein sequences databases for </w:t>
      </w:r>
      <w:r>
        <w:t>M</w:t>
      </w:r>
      <w:r w:rsidRPr="004D00D1">
        <w:t>etaproteomic</w:t>
      </w:r>
      <w:r>
        <w:t>s</w:t>
      </w:r>
      <w:r w:rsidRPr="004D00D1">
        <w:t>.</w:t>
      </w:r>
      <w:r>
        <w:t xml:space="preserve"> </w:t>
      </w:r>
      <w:r w:rsidR="00EF7760">
        <w:t>A generic pipeline of this process consists of steps – RNA Purification, Sequencing, Assembly and Statistical analysis.</w:t>
      </w:r>
    </w:p>
    <w:p w14:paraId="1EB5DC80" w14:textId="41D8F025" w:rsidR="00EF7760" w:rsidRDefault="00EF7760" w:rsidP="00EF7760"/>
    <w:p w14:paraId="3A818685" w14:textId="2B2895FB" w:rsidR="00EF7760" w:rsidRDefault="00724417" w:rsidP="001C12AD">
      <w:pPr>
        <w:pStyle w:val="Heading2"/>
        <w:numPr>
          <w:ilvl w:val="1"/>
          <w:numId w:val="1"/>
        </w:numPr>
        <w:rPr>
          <w:rFonts w:ascii="Times New Roman" w:hAnsi="Times New Roman" w:cs="Times New Roman"/>
          <w:color w:val="auto"/>
        </w:rPr>
      </w:pPr>
      <w:bookmarkStart w:id="13" w:name="_Toc71916040"/>
      <w:r w:rsidRPr="001C12AD">
        <w:rPr>
          <w:rFonts w:ascii="Times New Roman" w:hAnsi="Times New Roman" w:cs="Times New Roman"/>
          <w:color w:val="auto"/>
        </w:rPr>
        <w:t>RNA Purification</w:t>
      </w:r>
      <w:bookmarkEnd w:id="13"/>
    </w:p>
    <w:p w14:paraId="4F0E933A" w14:textId="7D32F820" w:rsidR="001C12AD" w:rsidRDefault="001C12AD" w:rsidP="001C12AD"/>
    <w:p w14:paraId="127E9224" w14:textId="3B65CCCD" w:rsidR="00367DBC" w:rsidRDefault="000C2039" w:rsidP="000C2039">
      <w:pPr>
        <w:ind w:firstLine="720"/>
      </w:pPr>
      <w:r>
        <w:t xml:space="preserve">Conventional </w:t>
      </w:r>
      <w:r w:rsidRPr="000C2039">
        <w:t xml:space="preserve">DNA </w:t>
      </w:r>
      <w:r>
        <w:t>isolation</w:t>
      </w:r>
      <w:r w:rsidRPr="000C2039">
        <w:t xml:space="preserve"> methods cannot be directly applied to RNA </w:t>
      </w:r>
      <w:r>
        <w:t>due to</w:t>
      </w:r>
      <w:r w:rsidRPr="000C2039">
        <w:t xml:space="preserve"> </w:t>
      </w:r>
      <w:r>
        <w:t>differences in it</w:t>
      </w:r>
      <w:r w:rsidRPr="000C2039">
        <w:t>s</w:t>
      </w:r>
      <w:r>
        <w:t xml:space="preserve"> structure, RNA is a single stranded while DNA is double stranded. Presence of </w:t>
      </w:r>
      <w:r w:rsidRPr="000C2039">
        <w:t>RNases, a group of enzymes that degrade RNA molecules, are abundant in the environment, including on hands</w:t>
      </w:r>
      <w:r>
        <w:t xml:space="preserve"> </w:t>
      </w:r>
      <w:r w:rsidRPr="000C2039">
        <w:t>and on surfaces and it is difficult to remove/destroy RNases completely.</w:t>
      </w:r>
      <w:r>
        <w:t xml:space="preserve"> Therefore, assiduous aseptic approaches should be used to isolate RNA. </w:t>
      </w:r>
      <w:r w:rsidR="00367DBC">
        <w:t>Below are two sample procedures for RNA extraction / purification,</w:t>
      </w:r>
    </w:p>
    <w:p w14:paraId="1707C0D8" w14:textId="77777777" w:rsidR="00753ECA" w:rsidRDefault="00753ECA" w:rsidP="00753ECA"/>
    <w:p w14:paraId="556AABCF" w14:textId="0F5A3721" w:rsidR="00753ECA" w:rsidRDefault="00753ECA" w:rsidP="00753ECA">
      <w:r w:rsidRPr="00131388">
        <w:rPr>
          <w:b/>
          <w:bCs/>
        </w:rPr>
        <w:t>Sampling:</w:t>
      </w:r>
      <w:r>
        <w:t xml:space="preserve"> </w:t>
      </w:r>
      <w:r w:rsidRPr="00753ECA">
        <w:t>The samples should be obtained quickly and aseptically and should be processed immediately or snap frozen.</w:t>
      </w:r>
      <w:r w:rsidR="00DD56B2">
        <w:t xml:space="preserve"> </w:t>
      </w:r>
      <w:r w:rsidR="00DD56B2" w:rsidRPr="00DD56B2">
        <w:t>Generally, samples are frozen directly on the ﬁeld using either liquid nitrogen, or dry ice/acetone to stop metabolism</w:t>
      </w:r>
      <w:r w:rsidR="00DD56B2">
        <w:t xml:space="preserve"> </w:t>
      </w:r>
      <w:r w:rsidR="00DD56B2" w:rsidRPr="00DD56B2">
        <w:t>without damaging cell structures, however when samples are thawed RNases will be active.</w:t>
      </w:r>
      <w:r w:rsidR="00DD56B2">
        <w:t xml:space="preserve"> </w:t>
      </w:r>
      <w:r w:rsidR="00DD56B2" w:rsidRPr="00DD56B2">
        <w:t>When planning sampling</w:t>
      </w:r>
      <w:r w:rsidR="00DD56B2">
        <w:t xml:space="preserve"> </w:t>
      </w:r>
      <w:r w:rsidR="00C859D2">
        <w:t>we</w:t>
      </w:r>
      <w:r w:rsidR="00DD56B2" w:rsidRPr="00DD56B2">
        <w:t xml:space="preserve"> should anticipate how to stabilize RNA because</w:t>
      </w:r>
      <w:r w:rsidR="00DD56B2">
        <w:t xml:space="preserve"> </w:t>
      </w:r>
      <w:r w:rsidR="00DD56B2" w:rsidRPr="00DD56B2">
        <w:t>this is done before freezing</w:t>
      </w:r>
      <w:r w:rsidR="00DD56B2">
        <w:t xml:space="preserve">. </w:t>
      </w:r>
    </w:p>
    <w:p w14:paraId="1301A6B0" w14:textId="41645C2B" w:rsidR="00031F2F" w:rsidRDefault="00031F2F" w:rsidP="00753ECA"/>
    <w:p w14:paraId="4230BA3C" w14:textId="7FAA142C" w:rsidR="00031F2F" w:rsidRDefault="00031F2F" w:rsidP="00546D7E">
      <w:r w:rsidRPr="00131388">
        <w:rPr>
          <w:b/>
          <w:bCs/>
        </w:rPr>
        <w:t>Stabilization:</w:t>
      </w:r>
      <w:r>
        <w:t xml:space="preserve"> </w:t>
      </w:r>
      <w:r w:rsidR="00546D7E" w:rsidRPr="00546D7E">
        <w:t>All cells have intracellular RNase, the mRNA in bacteria generally have a few minutes life span</w:t>
      </w:r>
      <w:r w:rsidR="00546D7E">
        <w:t xml:space="preserve"> </w:t>
      </w:r>
      <w:r w:rsidR="00546D7E" w:rsidRPr="00546D7E">
        <w:t>so RNA can be degraded while puriﬁed.</w:t>
      </w:r>
      <w:r w:rsidR="00546D7E">
        <w:t xml:space="preserve"> Moreover, transport and puriﬁcation can induce the synthesis of new mRNA changing expression proﬁles. Several reagents may serve to inactivate endogenous RNase. The simplest is to start with the isolation process before freezing adding guanidinium </w:t>
      </w:r>
      <w:r w:rsidR="00546D7E" w:rsidRPr="00546D7E">
        <w:t xml:space="preserve">thiocyanate–phenol–chloroform solution, commercially known as </w:t>
      </w:r>
      <w:proofErr w:type="spellStart"/>
      <w:r w:rsidR="00546D7E" w:rsidRPr="00546D7E">
        <w:t>TRIzol</w:t>
      </w:r>
      <w:proofErr w:type="spellEnd"/>
      <w:r w:rsidR="00546D7E">
        <w:t xml:space="preserve"> or </w:t>
      </w:r>
      <w:proofErr w:type="spellStart"/>
      <w:r w:rsidR="00546D7E" w:rsidRPr="00546D7E">
        <w:t>Qiazol</w:t>
      </w:r>
      <w:proofErr w:type="spellEnd"/>
      <w:r w:rsidR="00546D7E" w:rsidRPr="00546D7E">
        <w:t>.</w:t>
      </w:r>
      <w:r w:rsidR="00546D7E">
        <w:t xml:space="preserve"> </w:t>
      </w:r>
      <w:r w:rsidR="00546D7E" w:rsidRPr="00546D7E">
        <w:t>One of the most popular stabilizers</w:t>
      </w:r>
      <w:r w:rsidR="00546D7E">
        <w:t xml:space="preserve"> </w:t>
      </w:r>
      <w:r w:rsidR="00546D7E" w:rsidRPr="00546D7E">
        <w:t xml:space="preserve">is </w:t>
      </w:r>
      <w:proofErr w:type="spellStart"/>
      <w:r w:rsidR="00546D7E" w:rsidRPr="00546D7E">
        <w:t>RNAlater</w:t>
      </w:r>
      <w:proofErr w:type="spellEnd"/>
      <w:r w:rsidR="00546D7E" w:rsidRPr="00546D7E">
        <w:t xml:space="preserve"> containing EDTA, sodium citrate, and ammonium sulfate, it is used for all cell types and has been tested in bacteria.</w:t>
      </w:r>
      <w:r w:rsidR="00546D7E">
        <w:t xml:space="preserve"> </w:t>
      </w:r>
      <w:proofErr w:type="spellStart"/>
      <w:r w:rsidR="00546D7E" w:rsidRPr="00546D7E">
        <w:t>RNAprotect</w:t>
      </w:r>
      <w:proofErr w:type="spellEnd"/>
      <w:r w:rsidR="00546D7E" w:rsidRPr="00546D7E">
        <w:t xml:space="preserve"> is another stabilizer designed for bacteria.</w:t>
      </w:r>
    </w:p>
    <w:p w14:paraId="3AD4D3B8" w14:textId="11CB1DE0" w:rsidR="00CE20C3" w:rsidRDefault="00CE20C3" w:rsidP="00546D7E"/>
    <w:p w14:paraId="3845E0A9" w14:textId="6BC87567" w:rsidR="00CE20C3" w:rsidRDefault="00CE20C3" w:rsidP="00546D7E"/>
    <w:p w14:paraId="044CF199" w14:textId="219CAD2B" w:rsidR="00CE20C3" w:rsidRDefault="00CE20C3" w:rsidP="00546D7E">
      <w:r w:rsidRPr="00CE20C3">
        <w:rPr>
          <w:b/>
          <w:bCs/>
        </w:rPr>
        <w:lastRenderedPageBreak/>
        <w:t>RNA Enrichment:</w:t>
      </w:r>
      <w:r>
        <w:t xml:space="preserve"> Below are two sample methods for enrichment.</w:t>
      </w:r>
    </w:p>
    <w:p w14:paraId="2765DE96" w14:textId="1CB9252E" w:rsidR="001C12AD" w:rsidRDefault="00D63799" w:rsidP="00367DBC">
      <w:pPr>
        <w:pStyle w:val="ListParagraph"/>
        <w:numPr>
          <w:ilvl w:val="0"/>
          <w:numId w:val="8"/>
        </w:numPr>
      </w:pPr>
      <w:r>
        <w:t xml:space="preserve">One careful approach is to use probes that identify specific mRNA regions that are attached to magnetic beads. This process involves </w:t>
      </w:r>
      <w:r w:rsidRPr="00D63799">
        <w:t>annealing of probes to target sequences (rRNA) followed by their removal with the use of a magnet</w:t>
      </w:r>
      <w:r>
        <w:t xml:space="preserve">. </w:t>
      </w:r>
      <w:r w:rsidR="000C2039">
        <w:t xml:space="preserve"> </w:t>
      </w:r>
    </w:p>
    <w:p w14:paraId="05D40EBC" w14:textId="4D9D7C5B" w:rsidR="00367DBC" w:rsidRDefault="00367DBC" w:rsidP="00367DBC">
      <w:pPr>
        <w:pStyle w:val="ListParagraph"/>
        <w:numPr>
          <w:ilvl w:val="0"/>
          <w:numId w:val="8"/>
        </w:numPr>
      </w:pPr>
      <w:r w:rsidRPr="00367DBC">
        <w:t xml:space="preserve">Use the RNeasy preparation method (Qiagen), the phenol-chloroform based </w:t>
      </w:r>
      <w:proofErr w:type="spellStart"/>
      <w:r w:rsidRPr="00367DBC">
        <w:t>TRIzol</w:t>
      </w:r>
      <w:proofErr w:type="spellEnd"/>
      <w:r w:rsidRPr="00367DBC">
        <w:t xml:space="preserve"> procedure,</w:t>
      </w:r>
      <w:r>
        <w:t xml:space="preserve"> </w:t>
      </w:r>
      <w:r w:rsidRPr="00367DBC">
        <w:t>and separate the nuclear and the cytoplasmic fraction using the non-organic extraction kit</w:t>
      </w:r>
      <w:r>
        <w:t xml:space="preserve"> </w:t>
      </w:r>
      <w:r w:rsidRPr="00367DBC">
        <w:t>PARIS (Life Technologies). All RNA extractions should be performed in duplicates.</w:t>
      </w:r>
      <w:r>
        <w:t xml:space="preserve"> </w:t>
      </w:r>
      <w:r w:rsidRPr="00367DBC">
        <w:t>One can detect nuclear un</w:t>
      </w:r>
      <w:r>
        <w:t xml:space="preserve"> </w:t>
      </w:r>
      <w:r w:rsidRPr="00367DBC">
        <w:t xml:space="preserve">spliced RNAs (bioanalyzer peak &gt;4000 </w:t>
      </w:r>
      <w:proofErr w:type="spellStart"/>
      <w:r w:rsidRPr="00367DBC">
        <w:t>nt</w:t>
      </w:r>
      <w:proofErr w:type="spellEnd"/>
      <w:r w:rsidRPr="00367DBC">
        <w:t xml:space="preserve">) in </w:t>
      </w:r>
      <w:proofErr w:type="spellStart"/>
      <w:r w:rsidRPr="00367DBC">
        <w:t>TRIzol</w:t>
      </w:r>
      <w:proofErr w:type="spellEnd"/>
      <w:r w:rsidRPr="00367DBC">
        <w:t xml:space="preserve"> RNA, Qiagen RNA and nuclear RNA</w:t>
      </w:r>
      <w:r w:rsidR="00915FA4">
        <w:t xml:space="preserve"> using this process</w:t>
      </w:r>
      <w:r>
        <w:t>.</w:t>
      </w:r>
    </w:p>
    <w:p w14:paraId="1D937892" w14:textId="4D198150" w:rsidR="00367DBC" w:rsidRDefault="00367DBC" w:rsidP="00367DBC"/>
    <w:p w14:paraId="6682CB47" w14:textId="147E376C" w:rsidR="00367DBC" w:rsidRDefault="00AE388D" w:rsidP="00AE388D">
      <w:pPr>
        <w:pStyle w:val="Heading2"/>
        <w:numPr>
          <w:ilvl w:val="1"/>
          <w:numId w:val="1"/>
        </w:numPr>
        <w:rPr>
          <w:rFonts w:ascii="Times New Roman" w:hAnsi="Times New Roman" w:cs="Times New Roman"/>
          <w:color w:val="auto"/>
        </w:rPr>
      </w:pPr>
      <w:bookmarkStart w:id="14" w:name="_Toc71916041"/>
      <w:r w:rsidRPr="00AE388D">
        <w:rPr>
          <w:rFonts w:ascii="Times New Roman" w:hAnsi="Times New Roman" w:cs="Times New Roman"/>
          <w:color w:val="auto"/>
        </w:rPr>
        <w:t>Library preparation</w:t>
      </w:r>
      <w:bookmarkEnd w:id="14"/>
    </w:p>
    <w:p w14:paraId="4920E01C" w14:textId="0D425CA7" w:rsidR="00AE388D" w:rsidRDefault="00AE388D" w:rsidP="00AE388D"/>
    <w:p w14:paraId="24CD0A65" w14:textId="77777777" w:rsidR="006250AC" w:rsidRDefault="00E40412" w:rsidP="00E40412">
      <w:pPr>
        <w:ind w:firstLine="720"/>
      </w:pPr>
      <w:r>
        <w:t xml:space="preserve">Purpose of library preparation is to produce cDNA of certain size that is flanked by adapters. </w:t>
      </w:r>
      <w:r w:rsidR="009E4BAC" w:rsidRPr="00E40412">
        <w:t>So,</w:t>
      </w:r>
      <w:r w:rsidRPr="00E40412">
        <w:t xml:space="preserve"> library preparation requires fragmenting the RNA, ﬁrst strand synthesis, second</w:t>
      </w:r>
      <w:r>
        <w:t xml:space="preserve"> </w:t>
      </w:r>
      <w:r w:rsidRPr="00E40412">
        <w:t>strand synthesis, coupling adapters,</w:t>
      </w:r>
      <w:r>
        <w:t xml:space="preserve"> </w:t>
      </w:r>
      <w:r w:rsidRPr="00E40412">
        <w:t>and validating the library. Sequence service providers can perform the library preparation. cDNA should be of a certain</w:t>
      </w:r>
      <w:r>
        <w:t xml:space="preserve"> </w:t>
      </w:r>
      <w:r w:rsidRPr="00E40412">
        <w:t>size to optimize sequencing, depending on the platform is the size fragments must be.</w:t>
      </w:r>
      <w:r>
        <w:t xml:space="preserve"> </w:t>
      </w:r>
      <w:r w:rsidRPr="00E40412">
        <w:t>Fragmentation can be done with enzymes,</w:t>
      </w:r>
      <w:r>
        <w:t xml:space="preserve"> </w:t>
      </w:r>
      <w:r w:rsidRPr="00E40412">
        <w:t>metals, heat, or sonication. Incubation times for fragmentation must be optimized for each case, as the integrity of each sample is usually diﬀerent.</w:t>
      </w:r>
      <w:r w:rsidR="00964251">
        <w:t xml:space="preserve"> </w:t>
      </w:r>
    </w:p>
    <w:p w14:paraId="45E93B46" w14:textId="69147EAF" w:rsidR="00AE388D" w:rsidRDefault="008F6DD7" w:rsidP="00E40412">
      <w:pPr>
        <w:ind w:firstLine="720"/>
      </w:pPr>
      <w:r>
        <w:t xml:space="preserve">We have different tools that perform library preparation like </w:t>
      </w:r>
      <w:proofErr w:type="spellStart"/>
      <w:r w:rsidRPr="008F6DD7">
        <w:t>TruSeq</w:t>
      </w:r>
      <w:proofErr w:type="spellEnd"/>
      <w:r w:rsidRPr="008F6DD7">
        <w:t xml:space="preserve"> Stranded, Total RNA Library Preparation from Illumina (TS), </w:t>
      </w:r>
      <w:proofErr w:type="spellStart"/>
      <w:r w:rsidRPr="008F6DD7">
        <w:t>SMARTer</w:t>
      </w:r>
      <w:proofErr w:type="spellEnd"/>
      <w:r w:rsidRPr="008F6DD7">
        <w:t xml:space="preserve"> Stranded RNA-Seq Kit from </w:t>
      </w:r>
      <w:proofErr w:type="spellStart"/>
      <w:r w:rsidRPr="008F6DD7">
        <w:t>Clontech</w:t>
      </w:r>
      <w:proofErr w:type="spellEnd"/>
      <w:r w:rsidRPr="008F6DD7">
        <w:t xml:space="preserve"> (SMART), the Ovation RNA-Seq System V2 (OV) and the Encore Complete Prokaryotic RNA-Seq System.</w:t>
      </w:r>
    </w:p>
    <w:p w14:paraId="0FD56E15" w14:textId="09ECE7FC" w:rsidR="006250AC" w:rsidRDefault="006250AC" w:rsidP="006250AC"/>
    <w:p w14:paraId="608C658B" w14:textId="2E975556" w:rsidR="006250AC" w:rsidRDefault="00BD480E" w:rsidP="00BD480E">
      <w:pPr>
        <w:pStyle w:val="Heading2"/>
        <w:numPr>
          <w:ilvl w:val="1"/>
          <w:numId w:val="1"/>
        </w:numPr>
        <w:rPr>
          <w:rFonts w:ascii="Times New Roman" w:hAnsi="Times New Roman" w:cs="Times New Roman"/>
          <w:color w:val="auto"/>
        </w:rPr>
      </w:pPr>
      <w:bookmarkStart w:id="15" w:name="_Toc71916042"/>
      <w:r w:rsidRPr="00BD480E">
        <w:rPr>
          <w:rFonts w:ascii="Times New Roman" w:hAnsi="Times New Roman" w:cs="Times New Roman"/>
          <w:color w:val="auto"/>
        </w:rPr>
        <w:t>RNA Sequence</w:t>
      </w:r>
      <w:bookmarkEnd w:id="15"/>
      <w:r w:rsidRPr="00BD480E">
        <w:rPr>
          <w:rFonts w:ascii="Times New Roman" w:hAnsi="Times New Roman" w:cs="Times New Roman"/>
          <w:color w:val="auto"/>
        </w:rPr>
        <w:t xml:space="preserve"> </w:t>
      </w:r>
    </w:p>
    <w:p w14:paraId="7EB192B0" w14:textId="7D5570F4" w:rsidR="00BD480E" w:rsidRDefault="00BD480E" w:rsidP="00BD480E"/>
    <w:p w14:paraId="51DB4D21" w14:textId="3AB9D7EE" w:rsidR="00BD480E" w:rsidRDefault="00315FAF" w:rsidP="00BD480E">
      <w:pPr>
        <w:ind w:left="720"/>
      </w:pPr>
      <w:r>
        <w:t>We follow the below steps to perform sequencing for libraries that were prepared.</w:t>
      </w:r>
    </w:p>
    <w:p w14:paraId="069D9C62" w14:textId="426C4976" w:rsidR="00315FAF" w:rsidRDefault="00315FAF" w:rsidP="00315FAF">
      <w:pPr>
        <w:pStyle w:val="ListParagraph"/>
        <w:numPr>
          <w:ilvl w:val="0"/>
          <w:numId w:val="9"/>
        </w:numPr>
      </w:pPr>
      <w:r w:rsidRPr="00315FAF">
        <w:t>We first split the libraries into individual ﬁles, this is also known as de-multiplexing. If we are using barcodes to mix several samples in a single run, then samples are split based on its barcode sequence.</w:t>
      </w:r>
    </w:p>
    <w:p w14:paraId="4F4AFCEC" w14:textId="4B81DFD0" w:rsidR="00315FAF" w:rsidRDefault="00315FAF" w:rsidP="00315FAF">
      <w:pPr>
        <w:pStyle w:val="ListParagraph"/>
        <w:numPr>
          <w:ilvl w:val="0"/>
          <w:numId w:val="9"/>
        </w:numPr>
      </w:pPr>
      <w:r w:rsidRPr="00315FAF">
        <w:t>We then remove sequencing adapters. Removing these templates for the sequencing is important and could help with sequence assembly.</w:t>
      </w:r>
    </w:p>
    <w:p w14:paraId="50740687" w14:textId="02B31FBF" w:rsidR="00315FAF" w:rsidRDefault="00315FAF" w:rsidP="00315FAF">
      <w:pPr>
        <w:pStyle w:val="ListParagraph"/>
        <w:numPr>
          <w:ilvl w:val="0"/>
          <w:numId w:val="9"/>
        </w:numPr>
      </w:pPr>
      <w:r w:rsidRPr="00CC31FA">
        <w:rPr>
          <w:b/>
          <w:bCs/>
        </w:rPr>
        <w:t>Sequence trimming:</w:t>
      </w:r>
      <w:r w:rsidRPr="00315FAF">
        <w:t xml:space="preserve"> Each sequenced base has its own quality value, which is known as Phred score that serves as a proxy probability calculator.</w:t>
      </w:r>
      <w:r>
        <w:t xml:space="preserve"> </w:t>
      </w:r>
      <w:r w:rsidRPr="00315FAF">
        <w:t>A Phred value of 30 accounts for 1 error in every 1000 bases</w:t>
      </w:r>
      <w:r>
        <w:t xml:space="preserve"> </w:t>
      </w:r>
      <w:r w:rsidRPr="00315FAF">
        <w:t>or a 99.9 % of accuracy. This is a good standard to make a cut-oﬀ. Visualize the overall quality of our sequences via boxplots.</w:t>
      </w:r>
      <w:r>
        <w:t xml:space="preserve"> </w:t>
      </w:r>
    </w:p>
    <w:p w14:paraId="76D62D84" w14:textId="6532B0C3" w:rsidR="008F6DD7" w:rsidRDefault="00315FAF" w:rsidP="00CC31FA">
      <w:pPr>
        <w:pStyle w:val="ListParagraph"/>
        <w:numPr>
          <w:ilvl w:val="0"/>
          <w:numId w:val="9"/>
        </w:numPr>
      </w:pPr>
      <w:r w:rsidRPr="00CC31FA">
        <w:rPr>
          <w:b/>
          <w:bCs/>
        </w:rPr>
        <w:t>Filter rRNA:</w:t>
      </w:r>
      <w:r w:rsidRPr="00315FAF">
        <w:t xml:space="preserve"> A quick way to do this step is by using a rRNA DB and</w:t>
      </w:r>
      <w:r>
        <w:t xml:space="preserve"> </w:t>
      </w:r>
      <w:proofErr w:type="spellStart"/>
      <w:r w:rsidRPr="00315FAF">
        <w:t>MegaBLAST</w:t>
      </w:r>
      <w:proofErr w:type="spellEnd"/>
      <w:r w:rsidRPr="00315FAF">
        <w:t>. There are other strategies using Interpolated Markov Models like</w:t>
      </w:r>
      <w:r>
        <w:t xml:space="preserve"> </w:t>
      </w:r>
      <w:r w:rsidRPr="00315FAF">
        <w:t>Infernal and SSU-align and will help at this stage.</w:t>
      </w:r>
    </w:p>
    <w:p w14:paraId="500E7B51" w14:textId="6306D7E7" w:rsidR="008F6DD7" w:rsidRDefault="00504738" w:rsidP="00504738">
      <w:pPr>
        <w:pStyle w:val="Heading2"/>
        <w:numPr>
          <w:ilvl w:val="1"/>
          <w:numId w:val="1"/>
        </w:numPr>
        <w:rPr>
          <w:rFonts w:ascii="Times New Roman" w:hAnsi="Times New Roman" w:cs="Times New Roman"/>
          <w:color w:val="auto"/>
        </w:rPr>
      </w:pPr>
      <w:bookmarkStart w:id="16" w:name="_Toc71916043"/>
      <w:r w:rsidRPr="00504738">
        <w:rPr>
          <w:rFonts w:ascii="Times New Roman" w:hAnsi="Times New Roman" w:cs="Times New Roman"/>
          <w:color w:val="auto"/>
        </w:rPr>
        <w:lastRenderedPageBreak/>
        <w:t>Sequence Assembly</w:t>
      </w:r>
      <w:bookmarkEnd w:id="16"/>
    </w:p>
    <w:p w14:paraId="1895AABD" w14:textId="40C3C4C4" w:rsidR="00504738" w:rsidRDefault="00504738" w:rsidP="00504738"/>
    <w:p w14:paraId="31605E35" w14:textId="3B261B38" w:rsidR="00504738" w:rsidRDefault="000A1652" w:rsidP="00504738">
      <w:pPr>
        <w:ind w:left="720"/>
      </w:pPr>
      <w:r>
        <w:t>For RNA sequencing, we have two type</w:t>
      </w:r>
      <w:r w:rsidR="002617B9">
        <w:t>s</w:t>
      </w:r>
      <w:r>
        <w:t>,</w:t>
      </w:r>
    </w:p>
    <w:p w14:paraId="262168D9" w14:textId="77777777" w:rsidR="000A1652" w:rsidRDefault="000A1652" w:rsidP="00504738">
      <w:pPr>
        <w:ind w:left="720"/>
      </w:pPr>
    </w:p>
    <w:p w14:paraId="39AD49A8" w14:textId="6AC01B34" w:rsidR="000A1652" w:rsidRDefault="000A1652" w:rsidP="00504738">
      <w:pPr>
        <w:ind w:left="720"/>
      </w:pPr>
      <w:r w:rsidRPr="000A1652">
        <w:rPr>
          <w:b/>
          <w:bCs/>
        </w:rPr>
        <w:t>Reference-based assembly:</w:t>
      </w:r>
      <w:r>
        <w:t xml:space="preserve"> </w:t>
      </w:r>
      <w:r w:rsidRPr="000A1652">
        <w:t xml:space="preserve">In this method, we should provide reference sequences. Both reference files and </w:t>
      </w:r>
      <w:r>
        <w:t>M</w:t>
      </w:r>
      <w:r w:rsidRPr="000A1652">
        <w:t xml:space="preserve">etatranscriptomics </w:t>
      </w:r>
      <w:r>
        <w:t>FASTQ</w:t>
      </w:r>
      <w:r w:rsidRPr="000A1652">
        <w:t xml:space="preserve"> ﬁles should be indexed.</w:t>
      </w:r>
      <w:r>
        <w:t xml:space="preserve"> </w:t>
      </w:r>
      <w:r w:rsidRPr="000A1652">
        <w:t>After the alignment, we need to take the SAM/BAM resulting ﬁle and count the occurrence of each gene model (if available).</w:t>
      </w:r>
      <w:r>
        <w:t xml:space="preserve"> </w:t>
      </w:r>
      <w:r w:rsidRPr="000A1652">
        <w:t>The counting of each gene could be accomplished with R. R is a computer language intended for statistical computing and graphics.</w:t>
      </w:r>
    </w:p>
    <w:p w14:paraId="66E099F1" w14:textId="517E9CA6" w:rsidR="000A1652" w:rsidRDefault="000A1652" w:rsidP="00504738">
      <w:pPr>
        <w:ind w:left="720"/>
      </w:pPr>
    </w:p>
    <w:p w14:paraId="014C6DF1" w14:textId="712A6156" w:rsidR="000A1652" w:rsidRDefault="000A1652" w:rsidP="00504738">
      <w:pPr>
        <w:ind w:left="720"/>
      </w:pPr>
      <w:r w:rsidRPr="00E218E9">
        <w:rPr>
          <w:b/>
          <w:bCs/>
        </w:rPr>
        <w:t>De Novo Assembly:</w:t>
      </w:r>
      <w:r>
        <w:t xml:space="preserve"> </w:t>
      </w:r>
      <w:r w:rsidR="00E218E9">
        <w:t>This method is applicable, when we do not have reference RNA data to proceed with the assembly. In this method, p</w:t>
      </w:r>
      <w:r w:rsidR="00E218E9" w:rsidRPr="00E218E9">
        <w:t>reprocessed, high-quality reads can now be assembled into putative transcripts using de novo assemblers.</w:t>
      </w:r>
      <w:r w:rsidR="00E218E9">
        <w:t xml:space="preserve"> </w:t>
      </w:r>
      <w:r w:rsidR="00E218E9" w:rsidRPr="00E218E9">
        <w:t>Given that most microbiomes are not adequately characterized with reference genomes, de novo assemblers provide</w:t>
      </w:r>
      <w:r w:rsidR="00E218E9">
        <w:t xml:space="preserve"> </w:t>
      </w:r>
      <w:r w:rsidR="00E218E9" w:rsidRPr="00E218E9">
        <w:t>a reference scaffold representing longer, expressed genome segments that can provide a reference set of genes.</w:t>
      </w:r>
      <w:r w:rsidR="00E218E9">
        <w:t xml:space="preserve"> </w:t>
      </w:r>
      <w:r w:rsidR="00E218E9" w:rsidRPr="00E218E9">
        <w:t>This provides users the ability to find homologs in a more straightforward fashion, establish taxonomic origin,</w:t>
      </w:r>
      <w:r w:rsidR="00E218E9">
        <w:t xml:space="preserve"> </w:t>
      </w:r>
      <w:r w:rsidR="00E218E9" w:rsidRPr="00E218E9">
        <w:t>and serve as a reference for expression analysis. The current state of de novo assembly for</w:t>
      </w:r>
      <w:r w:rsidR="00E218E9">
        <w:t xml:space="preserve"> </w:t>
      </w:r>
      <w:r w:rsidR="00FD37F6">
        <w:t>M</w:t>
      </w:r>
      <w:r w:rsidR="00FD37F6" w:rsidRPr="00E218E9">
        <w:t>etatranscriptomics</w:t>
      </w:r>
      <w:r w:rsidR="00E218E9" w:rsidRPr="00E218E9">
        <w:t xml:space="preserve"> datasets is still in its very early stages. Only a handful of tools have been specifically</w:t>
      </w:r>
      <w:r w:rsidR="00E218E9">
        <w:t xml:space="preserve"> </w:t>
      </w:r>
      <w:r w:rsidR="00E218E9" w:rsidRPr="00E218E9">
        <w:t xml:space="preserve">developed for </w:t>
      </w:r>
      <w:r w:rsidR="00E218E9">
        <w:t>M</w:t>
      </w:r>
      <w:r w:rsidR="00E218E9" w:rsidRPr="00E218E9">
        <w:t xml:space="preserve">etatranscriptomics, but their efficacy on </w:t>
      </w:r>
      <w:r w:rsidR="009367F9">
        <w:t>multiple</w:t>
      </w:r>
      <w:r w:rsidR="00E218E9" w:rsidRPr="00E218E9">
        <w:t xml:space="preserve"> datasets has not been tested and their hardware,</w:t>
      </w:r>
      <w:r w:rsidR="00E218E9">
        <w:t xml:space="preserve"> </w:t>
      </w:r>
      <w:r w:rsidR="00E218E9" w:rsidRPr="00E218E9">
        <w:t>or memory requirements across an array of community complexities and data volume, have also not been established.</w:t>
      </w:r>
      <w:r w:rsidR="00E218E9">
        <w:t xml:space="preserve"> </w:t>
      </w:r>
    </w:p>
    <w:p w14:paraId="79620D9A" w14:textId="41B0B552" w:rsidR="009367F9" w:rsidRDefault="009367F9" w:rsidP="00504738">
      <w:pPr>
        <w:ind w:left="720"/>
      </w:pPr>
    </w:p>
    <w:p w14:paraId="3328E5AE" w14:textId="561366C5" w:rsidR="009367F9" w:rsidRDefault="00BB179A" w:rsidP="00504738">
      <w:pPr>
        <w:ind w:left="720"/>
      </w:pPr>
      <w:r w:rsidRPr="00BB179A">
        <w:rPr>
          <w:b/>
          <w:bCs/>
        </w:rPr>
        <w:t>Annotation:</w:t>
      </w:r>
      <w:r>
        <w:t xml:space="preserve"> Genome annotation in the process of identifying functional elements along the sequence of a genome and thus categorizing it. In this we annotate each transcript with a hierarchical schema. </w:t>
      </w:r>
      <w:r w:rsidRPr="00BB179A">
        <w:t>If we know the species that is being compared and its annotated genome sequences, we could perform BLAST searches directly to them.</w:t>
      </w:r>
      <w:r>
        <w:t xml:space="preserve"> </w:t>
      </w:r>
      <w:r w:rsidRPr="00BB179A">
        <w:t>If we have any sequences without homologs, we need to go up to the next hierarchy which is a bacterial DB.</w:t>
      </w:r>
    </w:p>
    <w:p w14:paraId="415A6D1B" w14:textId="451880F8" w:rsidR="008E184F" w:rsidRDefault="008E184F" w:rsidP="00504738">
      <w:pPr>
        <w:ind w:left="720"/>
      </w:pPr>
    </w:p>
    <w:p w14:paraId="581893F7" w14:textId="4CBF7671" w:rsidR="008E184F" w:rsidRDefault="003C2413" w:rsidP="003C2413">
      <w:pPr>
        <w:pStyle w:val="Heading2"/>
        <w:numPr>
          <w:ilvl w:val="1"/>
          <w:numId w:val="1"/>
        </w:numPr>
        <w:rPr>
          <w:rFonts w:ascii="Times New Roman" w:hAnsi="Times New Roman" w:cs="Times New Roman"/>
          <w:color w:val="auto"/>
        </w:rPr>
      </w:pPr>
      <w:bookmarkStart w:id="17" w:name="_Toc71916044"/>
      <w:r w:rsidRPr="003C2413">
        <w:rPr>
          <w:rFonts w:ascii="Times New Roman" w:hAnsi="Times New Roman" w:cs="Times New Roman"/>
          <w:color w:val="auto"/>
        </w:rPr>
        <w:t>Statistical Analysis</w:t>
      </w:r>
      <w:bookmarkEnd w:id="17"/>
    </w:p>
    <w:p w14:paraId="682F9F78" w14:textId="0605B74F" w:rsidR="003C2413" w:rsidRDefault="003C2413" w:rsidP="003C2413"/>
    <w:p w14:paraId="2455F6B7" w14:textId="6CFBC0F5" w:rsidR="003C2413" w:rsidRDefault="009E5086" w:rsidP="00783DD4">
      <w:pPr>
        <w:ind w:firstLine="720"/>
      </w:pPr>
      <w:r>
        <w:t xml:space="preserve">Statistical analysis is performed to understand the features, of microbiome, like how many different genes are expressed in that microbial community, the highest expressed genes in a specific environment and highest change in expression levels between different conditions. </w:t>
      </w:r>
      <w:r w:rsidR="00476A7D">
        <w:t>Below are few steps that can be performed,</w:t>
      </w:r>
    </w:p>
    <w:p w14:paraId="11266BAC" w14:textId="09FD51EC" w:rsidR="00476A7D" w:rsidRDefault="00476A7D" w:rsidP="003C2413">
      <w:pPr>
        <w:ind w:left="720"/>
      </w:pPr>
    </w:p>
    <w:p w14:paraId="563C7332" w14:textId="681C224C" w:rsidR="00476A7D" w:rsidRDefault="00476A7D" w:rsidP="003C2413">
      <w:pPr>
        <w:ind w:left="720"/>
      </w:pPr>
    </w:p>
    <w:p w14:paraId="1A5CB559" w14:textId="71A5D4D8" w:rsidR="00476A7D" w:rsidRDefault="00476A7D" w:rsidP="003C2413">
      <w:pPr>
        <w:ind w:left="720"/>
      </w:pPr>
    </w:p>
    <w:p w14:paraId="6DBC3EC1" w14:textId="42BC6E5D" w:rsidR="00783DD4" w:rsidRDefault="00242FBB" w:rsidP="0018225F">
      <w:pPr>
        <w:pStyle w:val="ListParagraph"/>
        <w:numPr>
          <w:ilvl w:val="0"/>
          <w:numId w:val="11"/>
        </w:numPr>
        <w:spacing w:line="360" w:lineRule="auto"/>
      </w:pPr>
      <w:r w:rsidRPr="00242FBB">
        <w:lastRenderedPageBreak/>
        <w:t>Build a count matrix. This could be done by counting the mapped reads or to segregate the sequences obtained from different</w:t>
      </w:r>
      <w:r>
        <w:t xml:space="preserve"> </w:t>
      </w:r>
      <w:r w:rsidRPr="00242FBB">
        <w:t>experimental conditions according to their identity and count the number of occurrences in each sample/experiment.</w:t>
      </w:r>
      <w:r>
        <w:t xml:space="preserve"> </w:t>
      </w:r>
      <w:r w:rsidRPr="00242FBB">
        <w:t>This step is required for parsing the annotation data to the Data Analysis pipeline</w:t>
      </w:r>
      <w:r w:rsidR="00783DD4">
        <w:t>.</w:t>
      </w:r>
    </w:p>
    <w:p w14:paraId="51E2B13D" w14:textId="5A8C1E74" w:rsidR="00783DD4" w:rsidRDefault="00F35703" w:rsidP="0018225F">
      <w:pPr>
        <w:pStyle w:val="ListParagraph"/>
        <w:numPr>
          <w:ilvl w:val="0"/>
          <w:numId w:val="11"/>
        </w:numPr>
        <w:spacing w:line="360" w:lineRule="auto"/>
      </w:pPr>
      <w:r w:rsidRPr="00F35703">
        <w:t xml:space="preserve">Transform </w:t>
      </w:r>
      <w:r w:rsidR="004B0D32">
        <w:t>the</w:t>
      </w:r>
      <w:r w:rsidRPr="00F35703">
        <w:t xml:space="preserve"> matrix to a common factor to accomplish diﬀerential expression. When measuring distances and sample similarities,</w:t>
      </w:r>
      <w:r>
        <w:t xml:space="preserve"> </w:t>
      </w:r>
      <w:r w:rsidRPr="00F35703">
        <w:t>it is better to apply normalizations like regularized-logarithm transformation (</w:t>
      </w:r>
      <w:proofErr w:type="spellStart"/>
      <w:r w:rsidRPr="00F35703">
        <w:t>rlog</w:t>
      </w:r>
      <w:proofErr w:type="spellEnd"/>
      <w:r w:rsidRPr="00F35703">
        <w:t xml:space="preserve">) or </w:t>
      </w:r>
      <w:proofErr w:type="spellStart"/>
      <w:r w:rsidRPr="00F35703">
        <w:t>DESeq</w:t>
      </w:r>
      <w:proofErr w:type="spellEnd"/>
      <w:r w:rsidRPr="00F35703">
        <w:t>, which uses a negative binomial distribution.</w:t>
      </w:r>
    </w:p>
    <w:p w14:paraId="31AE7CF5" w14:textId="42D9C20D" w:rsidR="00F35703" w:rsidRDefault="00C320F5" w:rsidP="0018225F">
      <w:pPr>
        <w:pStyle w:val="ListParagraph"/>
        <w:numPr>
          <w:ilvl w:val="0"/>
          <w:numId w:val="11"/>
        </w:numPr>
        <w:spacing w:line="360" w:lineRule="auto"/>
      </w:pPr>
      <w:r w:rsidRPr="00C320F5">
        <w:t>Compute the distance on the r log/log 2 transformed data, Principal Component Analysis to assess sample/treatment similarity and visualize using heat maps.</w:t>
      </w:r>
      <w:r>
        <w:t xml:space="preserve"> </w:t>
      </w:r>
      <w:r w:rsidRPr="00C320F5">
        <w:t>With the transformed matrix, we can describe the dissimilarity between samples/replicates/experiments by means of clustering analysis.</w:t>
      </w:r>
    </w:p>
    <w:p w14:paraId="36F64883" w14:textId="2ECA68BC" w:rsidR="00C320F5" w:rsidRDefault="00454323" w:rsidP="0018225F">
      <w:pPr>
        <w:pStyle w:val="ListParagraph"/>
        <w:numPr>
          <w:ilvl w:val="0"/>
          <w:numId w:val="11"/>
        </w:numPr>
        <w:spacing w:line="360" w:lineRule="auto"/>
      </w:pPr>
      <w:r w:rsidRPr="00454323">
        <w:t>Perform the diﬀerential expression analysis. In this point, we need to calculate the log 2-fold changes between our treatments (control vs. experiment).</w:t>
      </w:r>
    </w:p>
    <w:p w14:paraId="2620C4FF" w14:textId="6FEF4C7D" w:rsidR="00454323" w:rsidRDefault="00E7436A" w:rsidP="0018225F">
      <w:pPr>
        <w:pStyle w:val="ListParagraph"/>
        <w:numPr>
          <w:ilvl w:val="0"/>
          <w:numId w:val="11"/>
        </w:numPr>
        <w:spacing w:line="360" w:lineRule="auto"/>
      </w:pPr>
      <w:r w:rsidRPr="00E7436A">
        <w:t>Perform multiple testing correction, to calculate the amount of false discovery rate (FDR) and then assess the signiﬁcance of</w:t>
      </w:r>
      <w:r>
        <w:t xml:space="preserve"> </w:t>
      </w:r>
      <w:r w:rsidRPr="00E7436A">
        <w:t>the adjusted p-value.</w:t>
      </w:r>
      <w:r>
        <w:t xml:space="preserve"> </w:t>
      </w:r>
      <w:r w:rsidRPr="00E7436A">
        <w:t>This is to derive how much of false positives could be accepted.</w:t>
      </w:r>
    </w:p>
    <w:p w14:paraId="4A56530B" w14:textId="1162A60E" w:rsidR="00E7436A" w:rsidRDefault="00BB5136" w:rsidP="0018225F">
      <w:pPr>
        <w:pStyle w:val="ListParagraph"/>
        <w:numPr>
          <w:ilvl w:val="0"/>
          <w:numId w:val="11"/>
        </w:numPr>
        <w:spacing w:line="360" w:lineRule="auto"/>
      </w:pPr>
      <w:r w:rsidRPr="00BB5136">
        <w:t>Visualize the amount of signiﬁcant diﬀerentially expressed genes. We can do this by means of Volcano plots, and heatmaps.</w:t>
      </w:r>
    </w:p>
    <w:p w14:paraId="108932D7" w14:textId="3ABF6359" w:rsidR="00BB5136" w:rsidRDefault="00CE0048" w:rsidP="0018225F">
      <w:pPr>
        <w:pStyle w:val="ListParagraph"/>
        <w:numPr>
          <w:ilvl w:val="0"/>
          <w:numId w:val="11"/>
        </w:numPr>
        <w:spacing w:line="360" w:lineRule="auto"/>
      </w:pPr>
      <w:r w:rsidRPr="00CE0048">
        <w:t>Using Ontology tools like SEED, COG, GO, KO, connect the most abundant features with its annotation.</w:t>
      </w:r>
    </w:p>
    <w:p w14:paraId="5B531A95" w14:textId="140D935B" w:rsidR="00CE0048" w:rsidRDefault="00331081" w:rsidP="0018225F">
      <w:pPr>
        <w:pStyle w:val="ListParagraph"/>
        <w:numPr>
          <w:ilvl w:val="0"/>
          <w:numId w:val="11"/>
        </w:numPr>
        <w:spacing w:line="360" w:lineRule="auto"/>
      </w:pPr>
      <w:r w:rsidRPr="00331081">
        <w:t xml:space="preserve">Make sense of the known and annotated genes to derive new working hypothesis about their gene expression under the </w:t>
      </w:r>
      <w:r>
        <w:t>experimental</w:t>
      </w:r>
      <w:r w:rsidRPr="00331081">
        <w:t xml:space="preserve"> circumstances.</w:t>
      </w:r>
      <w:r>
        <w:t xml:space="preserve"> </w:t>
      </w:r>
      <w:r w:rsidRPr="00331081">
        <w:t>The whole dataset of signiﬁcant genes could be divided into two main groups: genes with known functions, and genes with unknown functions.</w:t>
      </w:r>
      <w:r>
        <w:t xml:space="preserve">  </w:t>
      </w:r>
    </w:p>
    <w:p w14:paraId="67DACFAA" w14:textId="3C4705FF" w:rsidR="00331081" w:rsidRDefault="001C1B02" w:rsidP="0018225F">
      <w:pPr>
        <w:pStyle w:val="ListParagraph"/>
        <w:numPr>
          <w:ilvl w:val="0"/>
          <w:numId w:val="11"/>
        </w:numPr>
        <w:spacing w:line="360" w:lineRule="auto"/>
      </w:pPr>
      <w:r>
        <w:t>For the genes with a known function, a process of data mining will be necessary to comprehend the functions and processes involving their participation.</w:t>
      </w:r>
      <w:r w:rsidR="00157C3A">
        <w:t xml:space="preserve"> </w:t>
      </w:r>
      <w:r w:rsidR="00157C3A" w:rsidRPr="00157C3A">
        <w:t xml:space="preserve">Upload </w:t>
      </w:r>
      <w:r w:rsidR="004B0D32">
        <w:t>the</w:t>
      </w:r>
      <w:r w:rsidR="00157C3A" w:rsidRPr="00157C3A">
        <w:t xml:space="preserve"> RNA-seq experiments to appropriate databases and repositories.</w:t>
      </w:r>
    </w:p>
    <w:p w14:paraId="0A184EA0" w14:textId="366F2659" w:rsidR="001C1B02" w:rsidRDefault="001C1B02" w:rsidP="0018225F">
      <w:pPr>
        <w:pStyle w:val="ListParagraph"/>
        <w:numPr>
          <w:ilvl w:val="0"/>
          <w:numId w:val="11"/>
        </w:numPr>
        <w:spacing w:line="360" w:lineRule="auto"/>
      </w:pPr>
      <w:r>
        <w:t xml:space="preserve">For the genes with unknown function, </w:t>
      </w:r>
      <w:r w:rsidRPr="001C1B02">
        <w:t>design further experiments to discover their function (mutants,</w:t>
      </w:r>
      <w:r>
        <w:t xml:space="preserve"> </w:t>
      </w:r>
      <w:r w:rsidRPr="001C1B02">
        <w:t>heterologous expression, etc.)</w:t>
      </w:r>
    </w:p>
    <w:p w14:paraId="611EF554" w14:textId="38E3E15D" w:rsidR="001C1B02" w:rsidRDefault="001C1B02" w:rsidP="00157C3A">
      <w:pPr>
        <w:pStyle w:val="ListParagraph"/>
      </w:pPr>
    </w:p>
    <w:p w14:paraId="19497B8A" w14:textId="33150CF0" w:rsidR="0018225F" w:rsidRDefault="0018225F" w:rsidP="00157C3A">
      <w:pPr>
        <w:pStyle w:val="ListParagraph"/>
      </w:pPr>
    </w:p>
    <w:p w14:paraId="499E28AE" w14:textId="538B7EB7" w:rsidR="0018225F" w:rsidRDefault="0018225F" w:rsidP="00157C3A">
      <w:pPr>
        <w:pStyle w:val="ListParagraph"/>
      </w:pPr>
    </w:p>
    <w:p w14:paraId="298914B7" w14:textId="0AEC68FB" w:rsidR="0018225F" w:rsidRDefault="0018225F" w:rsidP="00157C3A">
      <w:pPr>
        <w:pStyle w:val="ListParagraph"/>
      </w:pPr>
    </w:p>
    <w:p w14:paraId="2A841703" w14:textId="2D19F82D" w:rsidR="0018225F" w:rsidRDefault="00307BDB" w:rsidP="00307BDB">
      <w:pPr>
        <w:rPr>
          <w:b/>
          <w:bCs/>
        </w:rPr>
      </w:pPr>
      <w:r w:rsidRPr="00307BDB">
        <w:rPr>
          <w:b/>
          <w:bCs/>
        </w:rPr>
        <w:lastRenderedPageBreak/>
        <w:t xml:space="preserve">Typical workflow of Metatranscriptomics: </w:t>
      </w:r>
    </w:p>
    <w:p w14:paraId="5852B37B" w14:textId="77777777" w:rsidR="005A74A5" w:rsidRPr="00307BDB" w:rsidRDefault="005A74A5" w:rsidP="00307BDB">
      <w:pPr>
        <w:rPr>
          <w:b/>
          <w:bCs/>
        </w:rPr>
      </w:pPr>
    </w:p>
    <w:p w14:paraId="6B696085" w14:textId="77777777" w:rsidR="00307BDB" w:rsidRPr="003C2413" w:rsidRDefault="00307BDB" w:rsidP="00307BDB"/>
    <w:p w14:paraId="0D96EC36" w14:textId="0E89292D" w:rsidR="00E40412" w:rsidRDefault="00307BDB" w:rsidP="00E40412">
      <w:pPr>
        <w:ind w:firstLine="720"/>
      </w:pPr>
      <w:r w:rsidRPr="00307BDB">
        <w:rPr>
          <w:noProof/>
        </w:rPr>
        <w:drawing>
          <wp:inline distT="0" distB="0" distL="0" distR="0" wp14:anchorId="246430C3" wp14:editId="32AF6A2E">
            <wp:extent cx="4124901" cy="4915586"/>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4901" cy="4915586"/>
                    </a:xfrm>
                    <a:prstGeom prst="rect">
                      <a:avLst/>
                    </a:prstGeom>
                  </pic:spPr>
                </pic:pic>
              </a:graphicData>
            </a:graphic>
          </wp:inline>
        </w:drawing>
      </w:r>
    </w:p>
    <w:p w14:paraId="2BEE0806" w14:textId="77777777" w:rsidR="00307BDB" w:rsidRDefault="00307BDB" w:rsidP="00E40412">
      <w:pPr>
        <w:ind w:firstLine="720"/>
        <w:rPr>
          <w:sz w:val="16"/>
          <w:szCs w:val="16"/>
        </w:rPr>
      </w:pPr>
    </w:p>
    <w:p w14:paraId="3EFD5B3F" w14:textId="30C5B643" w:rsidR="00307BDB" w:rsidRPr="00307BDB" w:rsidRDefault="00307BDB" w:rsidP="00AE58B6">
      <w:pPr>
        <w:ind w:left="1440"/>
        <w:rPr>
          <w:sz w:val="16"/>
          <w:szCs w:val="16"/>
        </w:rPr>
      </w:pPr>
      <w:r w:rsidRPr="00307BDB">
        <w:rPr>
          <w:sz w:val="16"/>
          <w:szCs w:val="16"/>
        </w:rPr>
        <w:t>Figure 3.1 A typical workflow for Metatranscriptomics analysis [13]</w:t>
      </w:r>
    </w:p>
    <w:p w14:paraId="3627969D" w14:textId="23BDD510" w:rsidR="00E40412" w:rsidRDefault="00E40412" w:rsidP="00E40412">
      <w:pPr>
        <w:ind w:firstLine="720"/>
      </w:pPr>
    </w:p>
    <w:p w14:paraId="44A39710" w14:textId="52E708E5" w:rsidR="00677FE7" w:rsidRDefault="00677FE7" w:rsidP="00E40412">
      <w:pPr>
        <w:ind w:firstLine="720"/>
      </w:pPr>
    </w:p>
    <w:p w14:paraId="044D08FE" w14:textId="1A5EBCE9" w:rsidR="00677FE7" w:rsidRDefault="00677FE7" w:rsidP="00E40412">
      <w:pPr>
        <w:ind w:firstLine="720"/>
      </w:pPr>
    </w:p>
    <w:p w14:paraId="3F81F8CE" w14:textId="7832DF95" w:rsidR="00677FE7" w:rsidRDefault="00677FE7" w:rsidP="00E40412">
      <w:pPr>
        <w:ind w:firstLine="720"/>
      </w:pPr>
    </w:p>
    <w:p w14:paraId="52B854C8" w14:textId="04996E07" w:rsidR="00677FE7" w:rsidRDefault="00677FE7" w:rsidP="00E40412">
      <w:pPr>
        <w:ind w:firstLine="720"/>
      </w:pPr>
    </w:p>
    <w:p w14:paraId="0D1EAF34" w14:textId="6D341B41" w:rsidR="00677FE7" w:rsidRDefault="00677FE7" w:rsidP="00E40412">
      <w:pPr>
        <w:ind w:firstLine="720"/>
      </w:pPr>
    </w:p>
    <w:p w14:paraId="030683C1" w14:textId="76CFC4E5" w:rsidR="00677FE7" w:rsidRDefault="00677FE7" w:rsidP="00677FE7">
      <w:pPr>
        <w:pStyle w:val="Heading1"/>
        <w:numPr>
          <w:ilvl w:val="0"/>
          <w:numId w:val="1"/>
        </w:numPr>
        <w:rPr>
          <w:rFonts w:ascii="Times New Roman" w:hAnsi="Times New Roman" w:cs="Times New Roman"/>
          <w:color w:val="auto"/>
        </w:rPr>
      </w:pPr>
      <w:bookmarkStart w:id="18" w:name="_Toc71916045"/>
      <w:r w:rsidRPr="00677FE7">
        <w:rPr>
          <w:rFonts w:ascii="Times New Roman" w:hAnsi="Times New Roman" w:cs="Times New Roman"/>
          <w:color w:val="auto"/>
        </w:rPr>
        <w:lastRenderedPageBreak/>
        <w:t>Scope</w:t>
      </w:r>
      <w:bookmarkEnd w:id="18"/>
    </w:p>
    <w:p w14:paraId="1BC18625" w14:textId="6A440425" w:rsidR="00677FE7" w:rsidRDefault="00677FE7" w:rsidP="00677FE7"/>
    <w:p w14:paraId="4909F871" w14:textId="68728CBB" w:rsidR="00677FE7" w:rsidRDefault="00677FE7" w:rsidP="00677FE7">
      <w:pPr>
        <w:ind w:left="720"/>
      </w:pPr>
      <w:r>
        <w:t>Below is the short description of Metagenomics and Metatranscriptomics to outline the difference in their scopes.</w:t>
      </w:r>
    </w:p>
    <w:p w14:paraId="0D8DC37E" w14:textId="12917F49" w:rsidR="00677FE7" w:rsidRDefault="00677FE7" w:rsidP="00677FE7">
      <w:pPr>
        <w:ind w:left="720"/>
      </w:pPr>
    </w:p>
    <w:p w14:paraId="45F61CF6" w14:textId="3841D8CE" w:rsidR="00677FE7" w:rsidRDefault="00677FE7" w:rsidP="00677FE7">
      <w:pPr>
        <w:ind w:left="720"/>
      </w:pPr>
      <w:r w:rsidRPr="00383830">
        <w:rPr>
          <w:b/>
          <w:bCs/>
        </w:rPr>
        <w:t>Metagenomics:</w:t>
      </w:r>
      <w:r>
        <w:t xml:space="preserve"> It is more about the taxonomical and functional analysis. Analysis that says which microbial species are accounted in the environmental sample. Mostly deals with DNA.</w:t>
      </w:r>
    </w:p>
    <w:p w14:paraId="3700F603" w14:textId="6945EA95" w:rsidR="00677FE7" w:rsidRDefault="00677FE7" w:rsidP="00677FE7">
      <w:pPr>
        <w:ind w:left="720"/>
      </w:pPr>
      <w:r w:rsidRPr="00383830">
        <w:rPr>
          <w:b/>
          <w:bCs/>
        </w:rPr>
        <w:t>Metatranscriptomics:</w:t>
      </w:r>
      <w:r>
        <w:t xml:space="preserve"> This is the study of the gene expression and activity of each species that were categorized under metagenomic analysis. Depends on comprehending mRNA of all the species involved in the environmental sample.</w:t>
      </w:r>
    </w:p>
    <w:p w14:paraId="3A454C4B" w14:textId="05782A9F" w:rsidR="00677FE7" w:rsidRDefault="00677FE7" w:rsidP="00677FE7">
      <w:pPr>
        <w:ind w:left="720"/>
      </w:pPr>
    </w:p>
    <w:p w14:paraId="6E07D872" w14:textId="05AD4901" w:rsidR="00383830" w:rsidRPr="00383830" w:rsidRDefault="00383830" w:rsidP="00677FE7">
      <w:pPr>
        <w:ind w:left="720"/>
        <w:rPr>
          <w:b/>
          <w:bCs/>
        </w:rPr>
      </w:pPr>
      <w:r w:rsidRPr="00383830">
        <w:rPr>
          <w:b/>
          <w:bCs/>
        </w:rPr>
        <w:t>Microbial communities:</w:t>
      </w:r>
    </w:p>
    <w:p w14:paraId="2091A944" w14:textId="63D65E63" w:rsidR="00677FE7" w:rsidRDefault="00383830" w:rsidP="00383830">
      <w:pPr>
        <w:ind w:left="720"/>
        <w:jc w:val="right"/>
      </w:pPr>
      <w:r w:rsidRPr="00383830">
        <w:rPr>
          <w:noProof/>
        </w:rPr>
        <w:drawing>
          <wp:inline distT="0" distB="0" distL="0" distR="0" wp14:anchorId="001F3745" wp14:editId="5C74BCB4">
            <wp:extent cx="5503333" cy="3095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04579" cy="3096326"/>
                    </a:xfrm>
                    <a:prstGeom prst="rect">
                      <a:avLst/>
                    </a:prstGeom>
                  </pic:spPr>
                </pic:pic>
              </a:graphicData>
            </a:graphic>
          </wp:inline>
        </w:drawing>
      </w:r>
    </w:p>
    <w:p w14:paraId="31EFF08E" w14:textId="448D2883" w:rsidR="00383830" w:rsidRPr="00CD4934" w:rsidRDefault="00383830" w:rsidP="00383830">
      <w:pPr>
        <w:ind w:left="720"/>
        <w:rPr>
          <w:sz w:val="16"/>
          <w:szCs w:val="16"/>
        </w:rPr>
      </w:pPr>
      <w:r w:rsidRPr="00CD4934">
        <w:rPr>
          <w:sz w:val="16"/>
          <w:szCs w:val="16"/>
        </w:rPr>
        <w:t>Figure 4.1 Brief scope of each microbial community [4]</w:t>
      </w:r>
    </w:p>
    <w:p w14:paraId="72CCC412" w14:textId="5AFA0DF3" w:rsidR="00677FE7" w:rsidRPr="00677FE7" w:rsidRDefault="00677FE7" w:rsidP="00677FE7">
      <w:pPr>
        <w:ind w:left="720"/>
      </w:pPr>
      <w:r>
        <w:t xml:space="preserve"> </w:t>
      </w:r>
    </w:p>
    <w:p w14:paraId="37401511" w14:textId="34D32C64" w:rsidR="00AE388D" w:rsidRDefault="00AE388D" w:rsidP="00AE388D">
      <w:r>
        <w:t xml:space="preserve"> </w:t>
      </w:r>
    </w:p>
    <w:p w14:paraId="245AD0E5" w14:textId="4B0CAF7E" w:rsidR="0079480F" w:rsidRDefault="0079480F" w:rsidP="00AE388D"/>
    <w:p w14:paraId="40B5477F" w14:textId="05849AFF" w:rsidR="0079480F" w:rsidRDefault="0079480F" w:rsidP="00AE388D"/>
    <w:p w14:paraId="4B3AE388" w14:textId="2D37A968" w:rsidR="0079480F" w:rsidRDefault="0079480F" w:rsidP="00AE388D"/>
    <w:p w14:paraId="4B6ABBD2" w14:textId="58B4343D" w:rsidR="0079480F" w:rsidRDefault="0079480F" w:rsidP="00AE388D"/>
    <w:p w14:paraId="1444F6E8" w14:textId="380793FE" w:rsidR="0079480F" w:rsidRDefault="0079480F" w:rsidP="0079480F">
      <w:pPr>
        <w:pStyle w:val="Heading2"/>
        <w:numPr>
          <w:ilvl w:val="1"/>
          <w:numId w:val="1"/>
        </w:numPr>
        <w:rPr>
          <w:rFonts w:ascii="Times New Roman" w:hAnsi="Times New Roman" w:cs="Times New Roman"/>
          <w:color w:val="auto"/>
          <w:sz w:val="32"/>
          <w:szCs w:val="32"/>
        </w:rPr>
      </w:pPr>
      <w:bookmarkStart w:id="19" w:name="_Toc71916046"/>
      <w:r w:rsidRPr="0079480F">
        <w:rPr>
          <w:rFonts w:ascii="Times New Roman" w:hAnsi="Times New Roman" w:cs="Times New Roman"/>
          <w:color w:val="auto"/>
          <w:sz w:val="32"/>
          <w:szCs w:val="32"/>
        </w:rPr>
        <w:lastRenderedPageBreak/>
        <w:t>Applications</w:t>
      </w:r>
      <w:bookmarkEnd w:id="19"/>
    </w:p>
    <w:p w14:paraId="15C53C23" w14:textId="4AA0BB6B" w:rsidR="0079480F" w:rsidRDefault="0079480F" w:rsidP="0079480F"/>
    <w:p w14:paraId="1342D443" w14:textId="7F91FEBD" w:rsidR="0079480F" w:rsidRDefault="0079480F" w:rsidP="0079480F">
      <w:pPr>
        <w:ind w:left="720"/>
      </w:pPr>
      <w:r>
        <w:t>Following are some of the applications of Metagenomics and Metatranscriptomics,</w:t>
      </w:r>
    </w:p>
    <w:p w14:paraId="1521A822" w14:textId="1EE68AC7" w:rsidR="0079480F" w:rsidRDefault="0079480F" w:rsidP="0079480F"/>
    <w:p w14:paraId="0D66C059" w14:textId="3B18DC5E" w:rsidR="0079480F" w:rsidRDefault="00FA1434" w:rsidP="0079480F">
      <w:r w:rsidRPr="000272D2">
        <w:rPr>
          <w:b/>
          <w:bCs/>
        </w:rPr>
        <w:t>Human health:</w:t>
      </w:r>
      <w:r>
        <w:t xml:space="preserve"> </w:t>
      </w:r>
      <w:r w:rsidRPr="00FA1434">
        <w:t>Symbiotic bacteria (normal flora) play a key role in protecting us from pathogens, but under certain conditions they</w:t>
      </w:r>
      <w:r>
        <w:t xml:space="preserve"> </w:t>
      </w:r>
      <w:r w:rsidRPr="00FA1434">
        <w:t>can overcome protective host responses and trigger pathological effects. Microbial population analysis can be used as an</w:t>
      </w:r>
      <w:r>
        <w:t xml:space="preserve"> </w:t>
      </w:r>
      <w:r w:rsidRPr="00FA1434">
        <w:t>indicator of an individual's health status and as a powerful tool for the prevention, diagnosis, and treatment of specific diseases.</w:t>
      </w:r>
    </w:p>
    <w:p w14:paraId="5663D4A4" w14:textId="43CACB81" w:rsidR="00FA1434" w:rsidRDefault="00FA1434" w:rsidP="0079480F"/>
    <w:p w14:paraId="55EDE708" w14:textId="737450B9" w:rsidR="00FA1434" w:rsidRDefault="004A16C5" w:rsidP="0079480F">
      <w:r w:rsidRPr="000272D2">
        <w:rPr>
          <w:b/>
          <w:bCs/>
        </w:rPr>
        <w:t>Immune reactions:</w:t>
      </w:r>
      <w:r>
        <w:t xml:space="preserve"> </w:t>
      </w:r>
      <w:r w:rsidRPr="004A16C5">
        <w:t>The effects of microbiota on the mucosal immune system are thought to be key to affect host physiology.</w:t>
      </w:r>
      <w:r>
        <w:t xml:space="preserve"> </w:t>
      </w:r>
      <w:r w:rsidRPr="004A16C5">
        <w:t>A study of toll-like receptor 5 (TLR5) knockout (KO) mice is an interesting example of the use of</w:t>
      </w:r>
      <w:r>
        <w:t xml:space="preserve"> Metatranscriptomics</w:t>
      </w:r>
      <w:r w:rsidRPr="004A16C5">
        <w:t xml:space="preserve"> to complement metagenomic characterization and 16S rRNA gene profiling of this microbial immune interaction.</w:t>
      </w:r>
    </w:p>
    <w:p w14:paraId="5049AE23" w14:textId="35AA41F8" w:rsidR="004A16C5" w:rsidRDefault="004A16C5" w:rsidP="0079480F"/>
    <w:p w14:paraId="5FB184FC" w14:textId="6905729C" w:rsidR="004A16C5" w:rsidRDefault="007669C0" w:rsidP="0079480F">
      <w:r w:rsidRPr="000272D2">
        <w:rPr>
          <w:b/>
          <w:bCs/>
        </w:rPr>
        <w:t>Environmental remediation:</w:t>
      </w:r>
      <w:r>
        <w:t xml:space="preserve"> </w:t>
      </w:r>
      <w:r w:rsidRPr="007669C0">
        <w:t>Metagenomics can improve strategies for monitoring the impact of pollutants on ecosystems and for cleaning up contaminated environments.</w:t>
      </w:r>
      <w:r>
        <w:t xml:space="preserve"> </w:t>
      </w:r>
      <w:r w:rsidRPr="007669C0">
        <w:t>Increased understanding of how microbial communities cope with pollutants improves assessments of the potential of contaminated sites to</w:t>
      </w:r>
      <w:r>
        <w:t xml:space="preserve"> </w:t>
      </w:r>
      <w:r w:rsidRPr="007669C0">
        <w:t>recover from pollution and increases the chances of bioaugmentation or bio stimulation trials to succeed.</w:t>
      </w:r>
    </w:p>
    <w:p w14:paraId="110AB84C" w14:textId="634CE51E" w:rsidR="00EE1B0D" w:rsidRDefault="00EE1B0D" w:rsidP="0079480F"/>
    <w:p w14:paraId="17FEA1DE" w14:textId="4C8D7CC3" w:rsidR="00EE1B0D" w:rsidRDefault="001368E5" w:rsidP="0079480F">
      <w:r w:rsidRPr="000272D2">
        <w:rPr>
          <w:b/>
          <w:bCs/>
        </w:rPr>
        <w:t>Food industry:</w:t>
      </w:r>
      <w:r>
        <w:t xml:space="preserve"> </w:t>
      </w:r>
      <w:r w:rsidRPr="001368E5">
        <w:t xml:space="preserve">Metagenomics and </w:t>
      </w:r>
      <w:r>
        <w:t>M</w:t>
      </w:r>
      <w:r w:rsidRPr="001368E5">
        <w:t>etatranscriptomics methods can be used to improve food quality, function, and safety, and provide information related to metabolic activities of microbial communities.</w:t>
      </w:r>
    </w:p>
    <w:p w14:paraId="3B6984B4" w14:textId="5A14BF10" w:rsidR="001368E5" w:rsidRDefault="001368E5" w:rsidP="0079480F"/>
    <w:p w14:paraId="68F2A233" w14:textId="3F45731E" w:rsidR="001368E5" w:rsidRDefault="001368E5" w:rsidP="0079480F"/>
    <w:p w14:paraId="665E11A6" w14:textId="7A6F305C" w:rsidR="001368E5" w:rsidRPr="001368E5" w:rsidRDefault="001368E5" w:rsidP="001368E5">
      <w:pPr>
        <w:pStyle w:val="Heading1"/>
        <w:rPr>
          <w:rFonts w:ascii="Times New Roman" w:hAnsi="Times New Roman" w:cs="Times New Roman"/>
          <w:color w:val="auto"/>
        </w:rPr>
      </w:pPr>
      <w:bookmarkStart w:id="20" w:name="_Toc71916047"/>
      <w:r w:rsidRPr="001368E5">
        <w:rPr>
          <w:rFonts w:ascii="Times New Roman" w:hAnsi="Times New Roman" w:cs="Times New Roman"/>
          <w:color w:val="auto"/>
        </w:rPr>
        <w:t>Conclusion</w:t>
      </w:r>
      <w:bookmarkEnd w:id="20"/>
      <w:r w:rsidRPr="001368E5">
        <w:rPr>
          <w:rFonts w:ascii="Times New Roman" w:hAnsi="Times New Roman" w:cs="Times New Roman"/>
          <w:color w:val="auto"/>
        </w:rPr>
        <w:t xml:space="preserve"> </w:t>
      </w:r>
    </w:p>
    <w:p w14:paraId="5A836224" w14:textId="1FBDF6F6" w:rsidR="001368E5" w:rsidRDefault="001368E5" w:rsidP="0079480F">
      <w:r>
        <w:tab/>
      </w:r>
    </w:p>
    <w:p w14:paraId="55B7F283" w14:textId="6055D02D" w:rsidR="001368E5" w:rsidRDefault="001368E5" w:rsidP="0079480F">
      <w:r>
        <w:tab/>
      </w:r>
      <w:r w:rsidR="00E12BC0">
        <w:t xml:space="preserve">On an average 40 billion bacteria live on and </w:t>
      </w:r>
      <w:r w:rsidR="002B2E70">
        <w:t>within</w:t>
      </w:r>
      <w:r w:rsidR="00E12BC0">
        <w:t xml:space="preserve"> us which is approximately equal to the total number of cells in our body [8] and a human intestinal microbial ecosystem expresses 100 times more genes than the human host. These points emphasize the importance of taxonomical analysis and gene expression of a microbiome. Metagenomics and Metatranscriptomics together offer a great deal of insight in to the microbial eco system in an environmental sample. We have seen different steps in each process to get a glimpse of these areas and understand the scope of each area.  </w:t>
      </w:r>
    </w:p>
    <w:p w14:paraId="7EB320D1" w14:textId="77777777" w:rsidR="004A16C5" w:rsidRDefault="004A16C5" w:rsidP="0079480F"/>
    <w:p w14:paraId="3BC5B0A7" w14:textId="77777777" w:rsidR="00FA1434" w:rsidRDefault="00FA1434" w:rsidP="0079480F"/>
    <w:p w14:paraId="34AA0D18" w14:textId="770815A8" w:rsidR="0079480F" w:rsidRDefault="00E12BC0" w:rsidP="00E12BC0">
      <w:pPr>
        <w:pStyle w:val="Heading1"/>
        <w:rPr>
          <w:rFonts w:ascii="Times New Roman" w:hAnsi="Times New Roman" w:cs="Times New Roman"/>
          <w:color w:val="auto"/>
        </w:rPr>
      </w:pPr>
      <w:bookmarkStart w:id="21" w:name="_Toc71916048"/>
      <w:r w:rsidRPr="00E12BC0">
        <w:rPr>
          <w:rFonts w:ascii="Times New Roman" w:hAnsi="Times New Roman" w:cs="Times New Roman"/>
          <w:color w:val="auto"/>
        </w:rPr>
        <w:lastRenderedPageBreak/>
        <w:t>References</w:t>
      </w:r>
      <w:bookmarkEnd w:id="21"/>
    </w:p>
    <w:p w14:paraId="0C33D32F" w14:textId="3B395D02" w:rsidR="00E12BC0" w:rsidRDefault="00E12BC0" w:rsidP="00E12BC0"/>
    <w:p w14:paraId="2099C3F5" w14:textId="6E9B6977" w:rsidR="00E12BC0" w:rsidRDefault="00E12BC0" w:rsidP="00E12BC0">
      <w:r>
        <w:t>[1]</w:t>
      </w:r>
      <w:hyperlink r:id="rId15" w:history="1">
        <w:r w:rsidRPr="008E7A49">
          <w:rPr>
            <w:rStyle w:val="Hyperlink"/>
          </w:rPr>
          <w:t>https://en.wikipedia.org/wiki/Metagenomics</w:t>
        </w:r>
      </w:hyperlink>
      <w:r>
        <w:t xml:space="preserve"> </w:t>
      </w:r>
    </w:p>
    <w:p w14:paraId="45FF411B" w14:textId="13DF2D5D" w:rsidR="00E12BC0" w:rsidRDefault="00E12BC0" w:rsidP="00E12BC0">
      <w:r>
        <w:t>[2]</w:t>
      </w:r>
      <w:hyperlink r:id="rId16" w:history="1">
        <w:r w:rsidRPr="008E7A49">
          <w:rPr>
            <w:rStyle w:val="Hyperlink"/>
          </w:rPr>
          <w:t>https://arxiv.org/ftp/arxiv/papers/1911/1911.11304.pdf</w:t>
        </w:r>
      </w:hyperlink>
      <w:r>
        <w:t xml:space="preserve"> </w:t>
      </w:r>
    </w:p>
    <w:p w14:paraId="6C717E00" w14:textId="2F794BB0" w:rsidR="00E12BC0" w:rsidRDefault="00E12BC0" w:rsidP="00E12BC0">
      <w:r>
        <w:t>[3]</w:t>
      </w:r>
      <w:hyperlink r:id="rId17" w:history="1">
        <w:r w:rsidRPr="008E7A49">
          <w:rPr>
            <w:rStyle w:val="Hyperlink"/>
          </w:rPr>
          <w:t>https://www.ncbi.nlm.nih.gov/pmc/articles/PMC4869604/</w:t>
        </w:r>
      </w:hyperlink>
      <w:r>
        <w:t xml:space="preserve"> </w:t>
      </w:r>
    </w:p>
    <w:p w14:paraId="58FBB3FE" w14:textId="15DCD888" w:rsidR="00E12BC0" w:rsidRDefault="00E12BC0" w:rsidP="00E12BC0">
      <w:r>
        <w:t>[4]</w:t>
      </w:r>
      <w:hyperlink r:id="rId18" w:history="1">
        <w:r w:rsidRPr="008E7A49">
          <w:rPr>
            <w:rStyle w:val="Hyperlink"/>
          </w:rPr>
          <w:t>https://www.sdstate.edu/sites/default/files/Metagenomics%20and%20Metatranscriptomics.pdf</w:t>
        </w:r>
      </w:hyperlink>
      <w:r>
        <w:t xml:space="preserve"> </w:t>
      </w:r>
    </w:p>
    <w:p w14:paraId="4B3509FD" w14:textId="42C79DE8" w:rsidR="00E12BC0" w:rsidRDefault="00E12BC0" w:rsidP="00E12BC0">
      <w:r>
        <w:t>[5]</w:t>
      </w:r>
      <w:hyperlink r:id="rId19" w:history="1">
        <w:r w:rsidRPr="008E7A49">
          <w:rPr>
            <w:rStyle w:val="Hyperlink"/>
          </w:rPr>
          <w:t>https://www.biorxiv.org/content/10.1101/307157v1.full.pdf</w:t>
        </w:r>
      </w:hyperlink>
      <w:r>
        <w:t xml:space="preserve"> </w:t>
      </w:r>
    </w:p>
    <w:p w14:paraId="4CCD0C45" w14:textId="309EC67F" w:rsidR="00E12BC0" w:rsidRDefault="00E12BC0" w:rsidP="00E12BC0">
      <w:r>
        <w:t>[6]</w:t>
      </w:r>
      <w:hyperlink r:id="rId20" w:history="1">
        <w:r w:rsidRPr="008E7A49">
          <w:rPr>
            <w:rStyle w:val="Hyperlink"/>
          </w:rPr>
          <w:t>http://users.metu.edu.tr/bicgen/research/envt.html</w:t>
        </w:r>
      </w:hyperlink>
      <w:r>
        <w:t xml:space="preserve"> </w:t>
      </w:r>
    </w:p>
    <w:p w14:paraId="715C9957" w14:textId="299EB47F" w:rsidR="00E12BC0" w:rsidRDefault="00E12BC0" w:rsidP="00E12BC0">
      <w:r>
        <w:t>[7]</w:t>
      </w:r>
      <w:hyperlink r:id="rId21" w:history="1">
        <w:r w:rsidRPr="008E7A49">
          <w:rPr>
            <w:rStyle w:val="Hyperlink"/>
          </w:rPr>
          <w:t>http://www.actabp.pl/pdf/1_2015/151.pdf</w:t>
        </w:r>
      </w:hyperlink>
      <w:r>
        <w:t xml:space="preserve"> </w:t>
      </w:r>
    </w:p>
    <w:p w14:paraId="08739C7D" w14:textId="105A231D" w:rsidR="00E12BC0" w:rsidRDefault="00E12BC0" w:rsidP="00E12BC0">
      <w:r>
        <w:t>[8]</w:t>
      </w:r>
      <w:hyperlink r:id="rId22" w:history="1">
        <w:r w:rsidRPr="008E7A49">
          <w:rPr>
            <w:rStyle w:val="Hyperlink"/>
          </w:rPr>
          <w:t>https://www.researchgate.net/publication/316740956_An_introduction_to_metagenomic_data_generation_analysis_visualization_and_interpretation</w:t>
        </w:r>
      </w:hyperlink>
      <w:r>
        <w:t xml:space="preserve"> </w:t>
      </w:r>
    </w:p>
    <w:p w14:paraId="564720E1" w14:textId="5EAEC3A3" w:rsidR="00E12BC0" w:rsidRDefault="00E12BC0" w:rsidP="00E12BC0">
      <w:r>
        <w:t>[9]</w:t>
      </w:r>
      <w:hyperlink r:id="rId23" w:history="1">
        <w:r w:rsidRPr="008E7A49">
          <w:rPr>
            <w:rStyle w:val="Hyperlink"/>
          </w:rPr>
          <w:t>https://blog.microbiomeinsights.com/16s-rrna-sequencing-vs-shotgun-metagenomic-sequencing</w:t>
        </w:r>
      </w:hyperlink>
      <w:r>
        <w:t xml:space="preserve"> </w:t>
      </w:r>
    </w:p>
    <w:p w14:paraId="01C53DCB" w14:textId="37330942" w:rsidR="00E12BC0" w:rsidRDefault="00E12BC0" w:rsidP="00E12BC0">
      <w:r>
        <w:t xml:space="preserve">[10] </w:t>
      </w:r>
      <w:hyperlink r:id="rId24" w:history="1">
        <w:r w:rsidRPr="008E7A49">
          <w:rPr>
            <w:rStyle w:val="Hyperlink"/>
          </w:rPr>
          <w:t>https://www.ncbi.nlm.nih.gov/pmc/articles/PMC4839964/</w:t>
        </w:r>
      </w:hyperlink>
      <w:r>
        <w:t xml:space="preserve"> </w:t>
      </w:r>
    </w:p>
    <w:p w14:paraId="06E0575C" w14:textId="79C83256" w:rsidR="00E12BC0" w:rsidRDefault="00E12BC0" w:rsidP="00E12BC0">
      <w:r>
        <w:t xml:space="preserve">[11] </w:t>
      </w:r>
      <w:hyperlink r:id="rId25" w:history="1">
        <w:r w:rsidRPr="008E7A49">
          <w:rPr>
            <w:rStyle w:val="Hyperlink"/>
          </w:rPr>
          <w:t>https://www.labome.com/method/RNA-Extraction.html</w:t>
        </w:r>
      </w:hyperlink>
      <w:r>
        <w:t xml:space="preserve"> </w:t>
      </w:r>
    </w:p>
    <w:p w14:paraId="67842A41" w14:textId="5D2F0493" w:rsidR="00E12BC0" w:rsidRDefault="00E12BC0" w:rsidP="00E12BC0">
      <w:r>
        <w:t xml:space="preserve">[12] </w:t>
      </w:r>
      <w:hyperlink r:id="rId26" w:history="1">
        <w:r w:rsidRPr="008E7A49">
          <w:rPr>
            <w:rStyle w:val="Hyperlink"/>
          </w:rPr>
          <w:t>https://www.ncbi.nlm.nih.gov/pmc/articles/PMC4148917/</w:t>
        </w:r>
      </w:hyperlink>
      <w:r>
        <w:t xml:space="preserve"> </w:t>
      </w:r>
    </w:p>
    <w:p w14:paraId="22B1F2A4" w14:textId="2F2EF696" w:rsidR="00E12BC0" w:rsidRPr="00E12BC0" w:rsidRDefault="00E12BC0" w:rsidP="00E12BC0">
      <w:r>
        <w:t xml:space="preserve">[13] </w:t>
      </w:r>
      <w:hyperlink r:id="rId27" w:history="1">
        <w:r w:rsidRPr="008E7A49">
          <w:rPr>
            <w:rStyle w:val="Hyperlink"/>
          </w:rPr>
          <w:t>https://www.cd-genomics.com/the-principles-workflow-and-applications-of-metatranscriptomic-sequencing.html</w:t>
        </w:r>
      </w:hyperlink>
      <w:r>
        <w:t xml:space="preserve"> </w:t>
      </w:r>
    </w:p>
    <w:sectPr w:rsidR="00E12BC0" w:rsidRPr="00E12BC0" w:rsidSect="005773BC">
      <w:headerReference w:type="default" r:id="rId28"/>
      <w:footerReference w:type="default" r:id="rId2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7326D" w14:textId="77777777" w:rsidR="0073437D" w:rsidRDefault="0073437D" w:rsidP="00C5126F">
      <w:pPr>
        <w:spacing w:after="0" w:line="240" w:lineRule="auto"/>
      </w:pPr>
      <w:r>
        <w:separator/>
      </w:r>
    </w:p>
  </w:endnote>
  <w:endnote w:type="continuationSeparator" w:id="0">
    <w:p w14:paraId="6939D687" w14:textId="77777777" w:rsidR="0073437D" w:rsidRDefault="0073437D" w:rsidP="00C512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0924938"/>
      <w:docPartObj>
        <w:docPartGallery w:val="Page Numbers (Bottom of Page)"/>
        <w:docPartUnique/>
      </w:docPartObj>
    </w:sdtPr>
    <w:sdtEndPr>
      <w:rPr>
        <w:noProof/>
      </w:rPr>
    </w:sdtEndPr>
    <w:sdtContent>
      <w:p w14:paraId="3B0E686E" w14:textId="66A628DF" w:rsidR="00C5126F" w:rsidRDefault="00C5126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7CA02A" w14:textId="77777777" w:rsidR="00C5126F" w:rsidRDefault="00C512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861E2" w14:textId="77777777" w:rsidR="0073437D" w:rsidRDefault="0073437D" w:rsidP="00C5126F">
      <w:pPr>
        <w:spacing w:after="0" w:line="240" w:lineRule="auto"/>
      </w:pPr>
      <w:r>
        <w:separator/>
      </w:r>
    </w:p>
  </w:footnote>
  <w:footnote w:type="continuationSeparator" w:id="0">
    <w:p w14:paraId="3DA0FAE9" w14:textId="77777777" w:rsidR="0073437D" w:rsidRDefault="0073437D" w:rsidP="00C512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A5512" w14:textId="371F6F0F" w:rsidR="00C5126F" w:rsidRPr="00C5126F" w:rsidRDefault="00C5126F" w:rsidP="00C5126F">
    <w:pPr>
      <w:pStyle w:val="Header"/>
      <w:jc w:val="right"/>
      <w:rPr>
        <w:i/>
        <w:iCs/>
      </w:rPr>
    </w:pPr>
    <w:r w:rsidRPr="00C5126F">
      <w:rPr>
        <w:i/>
        <w:iCs/>
      </w:rPr>
      <w:t>EECS 730 Mini review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07EB1"/>
    <w:multiLevelType w:val="hybridMultilevel"/>
    <w:tmpl w:val="4CB88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855543"/>
    <w:multiLevelType w:val="hybridMultilevel"/>
    <w:tmpl w:val="707CC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BA0A09"/>
    <w:multiLevelType w:val="hybridMultilevel"/>
    <w:tmpl w:val="5F863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777C93"/>
    <w:multiLevelType w:val="multilevel"/>
    <w:tmpl w:val="EBC0C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841743"/>
    <w:multiLevelType w:val="hybridMultilevel"/>
    <w:tmpl w:val="54325A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E220DA6"/>
    <w:multiLevelType w:val="multilevel"/>
    <w:tmpl w:val="E782F60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EB5229F"/>
    <w:multiLevelType w:val="hybridMultilevel"/>
    <w:tmpl w:val="B128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461257"/>
    <w:multiLevelType w:val="hybridMultilevel"/>
    <w:tmpl w:val="78FE3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7E509E"/>
    <w:multiLevelType w:val="hybridMultilevel"/>
    <w:tmpl w:val="EE420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884FCB"/>
    <w:multiLevelType w:val="hybridMultilevel"/>
    <w:tmpl w:val="D17E5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441082"/>
    <w:multiLevelType w:val="hybridMultilevel"/>
    <w:tmpl w:val="EF38F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9"/>
  </w:num>
  <w:num w:numId="4">
    <w:abstractNumId w:val="3"/>
  </w:num>
  <w:num w:numId="5">
    <w:abstractNumId w:val="1"/>
  </w:num>
  <w:num w:numId="6">
    <w:abstractNumId w:val="8"/>
  </w:num>
  <w:num w:numId="7">
    <w:abstractNumId w:val="6"/>
  </w:num>
  <w:num w:numId="8">
    <w:abstractNumId w:val="10"/>
  </w:num>
  <w:num w:numId="9">
    <w:abstractNumId w:val="2"/>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023"/>
    <w:rsid w:val="000272D2"/>
    <w:rsid w:val="00031F2F"/>
    <w:rsid w:val="00043A92"/>
    <w:rsid w:val="00055D05"/>
    <w:rsid w:val="00060E32"/>
    <w:rsid w:val="00071AB2"/>
    <w:rsid w:val="000A1652"/>
    <w:rsid w:val="000B0F46"/>
    <w:rsid w:val="000B66DB"/>
    <w:rsid w:val="000C2039"/>
    <w:rsid w:val="000D0C7D"/>
    <w:rsid w:val="000E4918"/>
    <w:rsid w:val="00105332"/>
    <w:rsid w:val="00114973"/>
    <w:rsid w:val="00131388"/>
    <w:rsid w:val="0013645D"/>
    <w:rsid w:val="001368E5"/>
    <w:rsid w:val="001431DE"/>
    <w:rsid w:val="00157C3A"/>
    <w:rsid w:val="001601FA"/>
    <w:rsid w:val="00177956"/>
    <w:rsid w:val="0018225F"/>
    <w:rsid w:val="001A0DB2"/>
    <w:rsid w:val="001A116C"/>
    <w:rsid w:val="001A48AC"/>
    <w:rsid w:val="001A49C6"/>
    <w:rsid w:val="001B084F"/>
    <w:rsid w:val="001C12AD"/>
    <w:rsid w:val="001C1B02"/>
    <w:rsid w:val="001C5A74"/>
    <w:rsid w:val="001D46F9"/>
    <w:rsid w:val="002075C8"/>
    <w:rsid w:val="00211750"/>
    <w:rsid w:val="00211B6D"/>
    <w:rsid w:val="00221656"/>
    <w:rsid w:val="002314C8"/>
    <w:rsid w:val="00231A9C"/>
    <w:rsid w:val="00237E55"/>
    <w:rsid w:val="00242FBB"/>
    <w:rsid w:val="00255579"/>
    <w:rsid w:val="002617B9"/>
    <w:rsid w:val="00262D4F"/>
    <w:rsid w:val="00274962"/>
    <w:rsid w:val="002A3D4C"/>
    <w:rsid w:val="002B2E70"/>
    <w:rsid w:val="002C0F8F"/>
    <w:rsid w:val="002C2B38"/>
    <w:rsid w:val="002D271F"/>
    <w:rsid w:val="002F2971"/>
    <w:rsid w:val="002F7D86"/>
    <w:rsid w:val="003075EA"/>
    <w:rsid w:val="00307BDB"/>
    <w:rsid w:val="00311FE2"/>
    <w:rsid w:val="00315FAF"/>
    <w:rsid w:val="00330CC8"/>
    <w:rsid w:val="00331081"/>
    <w:rsid w:val="003349D1"/>
    <w:rsid w:val="00347A5B"/>
    <w:rsid w:val="00352F11"/>
    <w:rsid w:val="00367DBC"/>
    <w:rsid w:val="003833FB"/>
    <w:rsid w:val="00383830"/>
    <w:rsid w:val="00395076"/>
    <w:rsid w:val="003A7291"/>
    <w:rsid w:val="003B06AE"/>
    <w:rsid w:val="003B282E"/>
    <w:rsid w:val="003B3F32"/>
    <w:rsid w:val="003C2413"/>
    <w:rsid w:val="003C5961"/>
    <w:rsid w:val="003D0375"/>
    <w:rsid w:val="003D4AA8"/>
    <w:rsid w:val="003D5756"/>
    <w:rsid w:val="003E1E57"/>
    <w:rsid w:val="00402082"/>
    <w:rsid w:val="00413116"/>
    <w:rsid w:val="00426EEC"/>
    <w:rsid w:val="0043713B"/>
    <w:rsid w:val="00440362"/>
    <w:rsid w:val="00453DD2"/>
    <w:rsid w:val="00454323"/>
    <w:rsid w:val="00467CC8"/>
    <w:rsid w:val="00476A7D"/>
    <w:rsid w:val="00492C9B"/>
    <w:rsid w:val="004A16C5"/>
    <w:rsid w:val="004A7BDF"/>
    <w:rsid w:val="004B0D32"/>
    <w:rsid w:val="004C2BCA"/>
    <w:rsid w:val="004D00D1"/>
    <w:rsid w:val="004D4342"/>
    <w:rsid w:val="004D7C82"/>
    <w:rsid w:val="004E053B"/>
    <w:rsid w:val="004E5380"/>
    <w:rsid w:val="004F0550"/>
    <w:rsid w:val="00503C97"/>
    <w:rsid w:val="00504738"/>
    <w:rsid w:val="00544023"/>
    <w:rsid w:val="00546D7E"/>
    <w:rsid w:val="00570CFE"/>
    <w:rsid w:val="00574FDA"/>
    <w:rsid w:val="005773BC"/>
    <w:rsid w:val="00587102"/>
    <w:rsid w:val="005917EC"/>
    <w:rsid w:val="005A74A5"/>
    <w:rsid w:val="005B29C7"/>
    <w:rsid w:val="005C3125"/>
    <w:rsid w:val="005C38F3"/>
    <w:rsid w:val="006065D6"/>
    <w:rsid w:val="00613EC7"/>
    <w:rsid w:val="00617F52"/>
    <w:rsid w:val="00624C18"/>
    <w:rsid w:val="00624FEF"/>
    <w:rsid w:val="006250AC"/>
    <w:rsid w:val="0064539A"/>
    <w:rsid w:val="00660366"/>
    <w:rsid w:val="006608AF"/>
    <w:rsid w:val="006675DA"/>
    <w:rsid w:val="00667864"/>
    <w:rsid w:val="00667D9E"/>
    <w:rsid w:val="00677FE7"/>
    <w:rsid w:val="0069469D"/>
    <w:rsid w:val="00695F9F"/>
    <w:rsid w:val="006A340E"/>
    <w:rsid w:val="006A594D"/>
    <w:rsid w:val="006B4811"/>
    <w:rsid w:val="006C238F"/>
    <w:rsid w:val="006D6FF2"/>
    <w:rsid w:val="006E5FE2"/>
    <w:rsid w:val="0070261D"/>
    <w:rsid w:val="00712B42"/>
    <w:rsid w:val="00724417"/>
    <w:rsid w:val="0073437D"/>
    <w:rsid w:val="007450B0"/>
    <w:rsid w:val="007509EA"/>
    <w:rsid w:val="00753ECA"/>
    <w:rsid w:val="0075548C"/>
    <w:rsid w:val="00762A7F"/>
    <w:rsid w:val="00764E66"/>
    <w:rsid w:val="007669C0"/>
    <w:rsid w:val="00783DD4"/>
    <w:rsid w:val="007841DC"/>
    <w:rsid w:val="0079480F"/>
    <w:rsid w:val="007D3A86"/>
    <w:rsid w:val="007E2D90"/>
    <w:rsid w:val="0080010D"/>
    <w:rsid w:val="00811933"/>
    <w:rsid w:val="00814C54"/>
    <w:rsid w:val="00843AC0"/>
    <w:rsid w:val="00846A4A"/>
    <w:rsid w:val="008745C4"/>
    <w:rsid w:val="00885378"/>
    <w:rsid w:val="008A6C9F"/>
    <w:rsid w:val="008D5FBA"/>
    <w:rsid w:val="008E184F"/>
    <w:rsid w:val="008E2670"/>
    <w:rsid w:val="008F6DD7"/>
    <w:rsid w:val="00904730"/>
    <w:rsid w:val="00915FA4"/>
    <w:rsid w:val="00927BFB"/>
    <w:rsid w:val="009367F9"/>
    <w:rsid w:val="00964251"/>
    <w:rsid w:val="00972E19"/>
    <w:rsid w:val="009A56CC"/>
    <w:rsid w:val="009B370C"/>
    <w:rsid w:val="009C06BE"/>
    <w:rsid w:val="009C26B3"/>
    <w:rsid w:val="009E4BAC"/>
    <w:rsid w:val="009E5086"/>
    <w:rsid w:val="00A43EB7"/>
    <w:rsid w:val="00A57358"/>
    <w:rsid w:val="00A830E1"/>
    <w:rsid w:val="00A85368"/>
    <w:rsid w:val="00A918ED"/>
    <w:rsid w:val="00AC4D05"/>
    <w:rsid w:val="00AE0E48"/>
    <w:rsid w:val="00AE2B8A"/>
    <w:rsid w:val="00AE388D"/>
    <w:rsid w:val="00AE58B6"/>
    <w:rsid w:val="00AE5CFC"/>
    <w:rsid w:val="00AF3C6C"/>
    <w:rsid w:val="00AF42F7"/>
    <w:rsid w:val="00B04A41"/>
    <w:rsid w:val="00B05A64"/>
    <w:rsid w:val="00B31769"/>
    <w:rsid w:val="00B61216"/>
    <w:rsid w:val="00B856F0"/>
    <w:rsid w:val="00BB179A"/>
    <w:rsid w:val="00BB18D4"/>
    <w:rsid w:val="00BB5136"/>
    <w:rsid w:val="00BC20DE"/>
    <w:rsid w:val="00BC343D"/>
    <w:rsid w:val="00BD480E"/>
    <w:rsid w:val="00BE3471"/>
    <w:rsid w:val="00BF26E7"/>
    <w:rsid w:val="00BF6499"/>
    <w:rsid w:val="00C04A9A"/>
    <w:rsid w:val="00C07B36"/>
    <w:rsid w:val="00C320F5"/>
    <w:rsid w:val="00C40B93"/>
    <w:rsid w:val="00C46BFD"/>
    <w:rsid w:val="00C50EF1"/>
    <w:rsid w:val="00C5126F"/>
    <w:rsid w:val="00C859D2"/>
    <w:rsid w:val="00C954DF"/>
    <w:rsid w:val="00CB715E"/>
    <w:rsid w:val="00CC31FA"/>
    <w:rsid w:val="00CC6A7E"/>
    <w:rsid w:val="00CD4934"/>
    <w:rsid w:val="00CE0048"/>
    <w:rsid w:val="00CE20C3"/>
    <w:rsid w:val="00D05A7F"/>
    <w:rsid w:val="00D05F89"/>
    <w:rsid w:val="00D350CA"/>
    <w:rsid w:val="00D430E2"/>
    <w:rsid w:val="00D45291"/>
    <w:rsid w:val="00D63799"/>
    <w:rsid w:val="00D65C59"/>
    <w:rsid w:val="00D8076E"/>
    <w:rsid w:val="00D81377"/>
    <w:rsid w:val="00DA6BC3"/>
    <w:rsid w:val="00DB728F"/>
    <w:rsid w:val="00DC155D"/>
    <w:rsid w:val="00DD56B2"/>
    <w:rsid w:val="00DD7898"/>
    <w:rsid w:val="00E12BC0"/>
    <w:rsid w:val="00E17DE3"/>
    <w:rsid w:val="00E218E9"/>
    <w:rsid w:val="00E23CD9"/>
    <w:rsid w:val="00E3100E"/>
    <w:rsid w:val="00E40412"/>
    <w:rsid w:val="00E7436A"/>
    <w:rsid w:val="00EA36BE"/>
    <w:rsid w:val="00EB11EE"/>
    <w:rsid w:val="00ED0826"/>
    <w:rsid w:val="00ED1F82"/>
    <w:rsid w:val="00EE0654"/>
    <w:rsid w:val="00EE1B0D"/>
    <w:rsid w:val="00EF342B"/>
    <w:rsid w:val="00EF7760"/>
    <w:rsid w:val="00F025E1"/>
    <w:rsid w:val="00F331BF"/>
    <w:rsid w:val="00F35503"/>
    <w:rsid w:val="00F35703"/>
    <w:rsid w:val="00F524B3"/>
    <w:rsid w:val="00F53163"/>
    <w:rsid w:val="00F5662D"/>
    <w:rsid w:val="00F90636"/>
    <w:rsid w:val="00F9198E"/>
    <w:rsid w:val="00FA1434"/>
    <w:rsid w:val="00FA4BA6"/>
    <w:rsid w:val="00FC0820"/>
    <w:rsid w:val="00FD3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94D26"/>
  <w15:chartTrackingRefBased/>
  <w15:docId w15:val="{67ED7917-3B2B-49ED-AAD6-00F91E76D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4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7F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2B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49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5126F"/>
    <w:pPr>
      <w:tabs>
        <w:tab w:val="center" w:pos="4680"/>
        <w:tab w:val="right" w:pos="9360"/>
      </w:tabs>
      <w:spacing w:after="0" w:line="240" w:lineRule="auto"/>
    </w:pPr>
  </w:style>
  <w:style w:type="paragraph" w:styleId="Index1">
    <w:name w:val="index 1"/>
    <w:basedOn w:val="Normal"/>
    <w:next w:val="Normal"/>
    <w:autoRedefine/>
    <w:uiPriority w:val="99"/>
    <w:semiHidden/>
    <w:unhideWhenUsed/>
    <w:rsid w:val="00846A4A"/>
    <w:pPr>
      <w:spacing w:after="0" w:line="240" w:lineRule="auto"/>
      <w:ind w:left="220" w:hanging="220"/>
    </w:pPr>
  </w:style>
  <w:style w:type="character" w:customStyle="1" w:styleId="HeaderChar">
    <w:name w:val="Header Char"/>
    <w:basedOn w:val="DefaultParagraphFont"/>
    <w:link w:val="Header"/>
    <w:uiPriority w:val="99"/>
    <w:rsid w:val="00C5126F"/>
  </w:style>
  <w:style w:type="paragraph" w:styleId="Footer">
    <w:name w:val="footer"/>
    <w:basedOn w:val="Normal"/>
    <w:link w:val="FooterChar"/>
    <w:uiPriority w:val="99"/>
    <w:unhideWhenUsed/>
    <w:rsid w:val="00C512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126F"/>
  </w:style>
  <w:style w:type="paragraph" w:styleId="TOCHeading">
    <w:name w:val="TOC Heading"/>
    <w:basedOn w:val="Heading1"/>
    <w:next w:val="Normal"/>
    <w:uiPriority w:val="39"/>
    <w:unhideWhenUsed/>
    <w:qFormat/>
    <w:rsid w:val="00FA4BA6"/>
    <w:pPr>
      <w:outlineLvl w:val="9"/>
    </w:pPr>
  </w:style>
  <w:style w:type="paragraph" w:styleId="TOC1">
    <w:name w:val="toc 1"/>
    <w:basedOn w:val="Normal"/>
    <w:next w:val="Normal"/>
    <w:autoRedefine/>
    <w:uiPriority w:val="39"/>
    <w:unhideWhenUsed/>
    <w:rsid w:val="00FA4BA6"/>
    <w:pPr>
      <w:spacing w:after="100"/>
    </w:pPr>
  </w:style>
  <w:style w:type="character" w:styleId="Hyperlink">
    <w:name w:val="Hyperlink"/>
    <w:basedOn w:val="DefaultParagraphFont"/>
    <w:uiPriority w:val="99"/>
    <w:unhideWhenUsed/>
    <w:rsid w:val="00FA4BA6"/>
    <w:rPr>
      <w:color w:val="0563C1" w:themeColor="hyperlink"/>
      <w:u w:val="single"/>
    </w:rPr>
  </w:style>
  <w:style w:type="character" w:customStyle="1" w:styleId="Heading2Char">
    <w:name w:val="Heading 2 Char"/>
    <w:basedOn w:val="DefaultParagraphFont"/>
    <w:link w:val="Heading2"/>
    <w:uiPriority w:val="9"/>
    <w:rsid w:val="00617F5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E0E48"/>
    <w:pPr>
      <w:spacing w:after="100"/>
      <w:ind w:left="220"/>
    </w:pPr>
  </w:style>
  <w:style w:type="paragraph" w:styleId="ListParagraph">
    <w:name w:val="List Paragraph"/>
    <w:basedOn w:val="Normal"/>
    <w:uiPriority w:val="34"/>
    <w:qFormat/>
    <w:rsid w:val="00177956"/>
    <w:pPr>
      <w:ind w:left="720"/>
      <w:contextualSpacing/>
    </w:pPr>
  </w:style>
  <w:style w:type="character" w:customStyle="1" w:styleId="Heading3Char">
    <w:name w:val="Heading 3 Char"/>
    <w:basedOn w:val="DefaultParagraphFont"/>
    <w:link w:val="Heading3"/>
    <w:uiPriority w:val="9"/>
    <w:rsid w:val="00712B4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05A7F"/>
    <w:pPr>
      <w:spacing w:after="100"/>
      <w:ind w:left="440"/>
    </w:pPr>
  </w:style>
  <w:style w:type="character" w:styleId="UnresolvedMention">
    <w:name w:val="Unresolved Mention"/>
    <w:basedOn w:val="DefaultParagraphFont"/>
    <w:uiPriority w:val="99"/>
    <w:semiHidden/>
    <w:unhideWhenUsed/>
    <w:rsid w:val="00E12BC0"/>
    <w:rPr>
      <w:color w:val="605E5C"/>
      <w:shd w:val="clear" w:color="auto" w:fill="E1DFDD"/>
    </w:rPr>
  </w:style>
  <w:style w:type="paragraph" w:styleId="NoSpacing">
    <w:name w:val="No Spacing"/>
    <w:link w:val="NoSpacingChar"/>
    <w:uiPriority w:val="1"/>
    <w:qFormat/>
    <w:rsid w:val="005773BC"/>
    <w:pPr>
      <w:spacing w:after="0" w:line="240" w:lineRule="auto"/>
    </w:pPr>
    <w:rPr>
      <w:rFonts w:eastAsiaTheme="minorEastAsia"/>
    </w:rPr>
  </w:style>
  <w:style w:type="character" w:customStyle="1" w:styleId="NoSpacingChar">
    <w:name w:val="No Spacing Char"/>
    <w:basedOn w:val="DefaultParagraphFont"/>
    <w:link w:val="NoSpacing"/>
    <w:uiPriority w:val="1"/>
    <w:rsid w:val="005773B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33121">
      <w:bodyDiv w:val="1"/>
      <w:marLeft w:val="0"/>
      <w:marRight w:val="0"/>
      <w:marTop w:val="0"/>
      <w:marBottom w:val="0"/>
      <w:divBdr>
        <w:top w:val="none" w:sz="0" w:space="0" w:color="auto"/>
        <w:left w:val="none" w:sz="0" w:space="0" w:color="auto"/>
        <w:bottom w:val="none" w:sz="0" w:space="0" w:color="auto"/>
        <w:right w:val="none" w:sz="0" w:space="0" w:color="auto"/>
      </w:divBdr>
    </w:div>
    <w:div w:id="84575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sdstate.edu/sites/default/files/Metagenomics%20and%20Metatranscriptomics.pdf" TargetMode="External"/><Relationship Id="rId26" Type="http://schemas.openxmlformats.org/officeDocument/2006/relationships/hyperlink" Target="https://www.ncbi.nlm.nih.gov/pmc/articles/PMC4148917/" TargetMode="External"/><Relationship Id="rId3" Type="http://schemas.openxmlformats.org/officeDocument/2006/relationships/numbering" Target="numbering.xml"/><Relationship Id="rId21" Type="http://schemas.openxmlformats.org/officeDocument/2006/relationships/hyperlink" Target="http://www.actabp.pl/pdf/1_2015/151.pdf"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ncbi.nlm.nih.gov/pmc/articles/PMC4869604/" TargetMode="External"/><Relationship Id="rId25" Type="http://schemas.openxmlformats.org/officeDocument/2006/relationships/hyperlink" Target="https://www.labome.com/method/RNA-Extraction.html" TargetMode="External"/><Relationship Id="rId2" Type="http://schemas.openxmlformats.org/officeDocument/2006/relationships/customXml" Target="../customXml/item2.xml"/><Relationship Id="rId16" Type="http://schemas.openxmlformats.org/officeDocument/2006/relationships/hyperlink" Target="https://arxiv.org/ftp/arxiv/papers/1911/1911.11304.pdf" TargetMode="External"/><Relationship Id="rId20" Type="http://schemas.openxmlformats.org/officeDocument/2006/relationships/hyperlink" Target="http://users.metu.edu.tr/bicgen/research/envt.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ncbi.nlm.nih.gov/pmc/articles/PMC4839964/" TargetMode="External"/><Relationship Id="rId5" Type="http://schemas.openxmlformats.org/officeDocument/2006/relationships/settings" Target="settings.xml"/><Relationship Id="rId15" Type="http://schemas.openxmlformats.org/officeDocument/2006/relationships/hyperlink" Target="https://en.wikipedia.org/wiki/Metagenomics" TargetMode="External"/><Relationship Id="rId23" Type="http://schemas.openxmlformats.org/officeDocument/2006/relationships/hyperlink" Target="https://blog.microbiomeinsights.com/16s-rrna-sequencing-vs-shotgun-metagenomic-sequencing" TargetMode="Externa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www.biorxiv.org/content/10.1101/307157v1.full.pdf"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researchgate.net/publication/316740956_An_introduction_to_metagenomic_data_generation_analysis_visualization_and_interpretation" TargetMode="External"/><Relationship Id="rId27" Type="http://schemas.openxmlformats.org/officeDocument/2006/relationships/hyperlink" Target="https://www.cd-genomics.com/the-principles-workflow-and-applications-of-metatranscriptomic-sequencing.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8450DB-BD5C-4EC9-BC3E-B3135D3F6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1822</TotalTime>
  <Pages>17</Pages>
  <Words>4451</Words>
  <Characters>25375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Metagenomics &amp; Metatranscriptomics</dc:title>
  <dc:subject>EECS 730 Mini review</dc:subject>
  <dc:creator>Peduri Madhu</dc:creator>
  <cp:keywords/>
  <dc:description/>
  <cp:lastModifiedBy>Peduri Madhu</cp:lastModifiedBy>
  <cp:revision>244</cp:revision>
  <dcterms:created xsi:type="dcterms:W3CDTF">2021-05-09T04:32:00Z</dcterms:created>
  <dcterms:modified xsi:type="dcterms:W3CDTF">2021-05-15T01:45:00Z</dcterms:modified>
</cp:coreProperties>
</file>