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71EF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>4. Inputs</w:t>
      </w:r>
    </w:p>
    <w:p w14:paraId="0E4E8E15" w14:textId="77777777" w:rsidR="00926566" w:rsidRPr="00926566" w:rsidRDefault="00926566" w:rsidP="00926566">
      <w:r w:rsidRPr="00926566">
        <w:t xml:space="preserve">Le processus d’automatisation repose sur un dossier </w:t>
      </w:r>
      <w:r w:rsidRPr="00926566">
        <w:rPr>
          <w:b/>
          <w:bCs/>
        </w:rPr>
        <w:t>inputs</w:t>
      </w:r>
      <w:r w:rsidRPr="00926566">
        <w:t xml:space="preserve"> structuré, qui contient les éléments nécessaires à la collecte, au traitement des données et à la génération des livrables.</w:t>
      </w:r>
    </w:p>
    <w:p w14:paraId="76AD6E34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 xml:space="preserve">Fichier </w:t>
      </w:r>
      <w:proofErr w:type="spellStart"/>
      <w:r w:rsidRPr="00926566">
        <w:rPr>
          <w:b/>
          <w:bCs/>
        </w:rPr>
        <w:t>variable_mapping</w:t>
      </w:r>
      <w:proofErr w:type="spellEnd"/>
    </w:p>
    <w:p w14:paraId="7669B208" w14:textId="77777777" w:rsidR="00926566" w:rsidRPr="00926566" w:rsidRDefault="00926566" w:rsidP="00926566">
      <w:r w:rsidRPr="00926566">
        <w:t xml:space="preserve">Ce fichier de configuration centralise la </w:t>
      </w:r>
      <w:r w:rsidRPr="00926566">
        <w:rPr>
          <w:b/>
          <w:bCs/>
        </w:rPr>
        <w:t>liste des variables</w:t>
      </w:r>
      <w:r w:rsidRPr="00926566">
        <w:t xml:space="preserve"> nécessaires au calcul des indicateurs </w:t>
      </w:r>
      <w:r w:rsidRPr="00926566">
        <w:rPr>
          <w:b/>
          <w:bCs/>
        </w:rPr>
        <w:t>PD</w:t>
      </w:r>
      <w:r w:rsidRPr="00926566">
        <w:t xml:space="preserve"> et </w:t>
      </w:r>
      <w:r w:rsidRPr="00926566">
        <w:rPr>
          <w:b/>
          <w:bCs/>
        </w:rPr>
        <w:t>LGD</w:t>
      </w:r>
      <w:r w:rsidRPr="00926566">
        <w:t xml:space="preserve">, ainsi que les </w:t>
      </w:r>
      <w:r w:rsidRPr="00926566">
        <w:rPr>
          <w:b/>
          <w:bCs/>
        </w:rPr>
        <w:t>tables de données associées</w:t>
      </w:r>
      <w:r w:rsidRPr="00926566">
        <w:t xml:space="preserve">. Il sert de </w:t>
      </w:r>
      <w:r w:rsidRPr="00926566">
        <w:rPr>
          <w:b/>
          <w:bCs/>
        </w:rPr>
        <w:t>point d’entrée configurable</w:t>
      </w:r>
      <w:r w:rsidRPr="00926566">
        <w:t xml:space="preserve"> pour l’outil, facilitant l’adaptation à l’évolution des sources de données.</w:t>
      </w:r>
    </w:p>
    <w:p w14:paraId="4FDFC189" w14:textId="77777777" w:rsidR="00926566" w:rsidRPr="00926566" w:rsidRDefault="00926566" w:rsidP="00926566">
      <w:pPr>
        <w:numPr>
          <w:ilvl w:val="0"/>
          <w:numId w:val="41"/>
        </w:numPr>
      </w:pPr>
      <w:r w:rsidRPr="00926566">
        <w:t xml:space="preserve">Il doit être </w:t>
      </w:r>
      <w:r w:rsidRPr="00926566">
        <w:rPr>
          <w:b/>
          <w:bCs/>
        </w:rPr>
        <w:t>mis à jour régulièrement</w:t>
      </w:r>
      <w:r w:rsidRPr="00926566">
        <w:t xml:space="preserve"> si la structure des données évolue (modification de noms de colonnes ou de tables).</w:t>
      </w:r>
    </w:p>
    <w:p w14:paraId="56107C82" w14:textId="77777777" w:rsidR="00926566" w:rsidRPr="00926566" w:rsidRDefault="00926566" w:rsidP="00926566">
      <w:pPr>
        <w:numPr>
          <w:ilvl w:val="0"/>
          <w:numId w:val="41"/>
        </w:numPr>
      </w:pPr>
      <w:r w:rsidRPr="00926566">
        <w:t xml:space="preserve">En cas de </w:t>
      </w:r>
      <w:r w:rsidRPr="00926566">
        <w:rPr>
          <w:b/>
          <w:bCs/>
        </w:rPr>
        <w:t>variable ou de table manquante</w:t>
      </w:r>
      <w:r w:rsidRPr="00926566">
        <w:t xml:space="preserve">, l’outil génère une </w:t>
      </w:r>
      <w:r w:rsidRPr="00926566">
        <w:rPr>
          <w:b/>
          <w:bCs/>
        </w:rPr>
        <w:t>alerte</w:t>
      </w:r>
      <w:r w:rsidRPr="00926566">
        <w:t xml:space="preserve"> précisant les éléments absents.</w:t>
      </w:r>
    </w:p>
    <w:p w14:paraId="51857BF7" w14:textId="77777777" w:rsidR="00926566" w:rsidRPr="00926566" w:rsidRDefault="00926566" w:rsidP="00926566">
      <w:pPr>
        <w:rPr>
          <w:b/>
          <w:bCs/>
        </w:rPr>
      </w:pPr>
      <w:r w:rsidRPr="00926566">
        <w:rPr>
          <w:b/>
          <w:bCs/>
        </w:rPr>
        <w:t>Sous-dossiers du dossier inputs</w:t>
      </w:r>
    </w:p>
    <w:p w14:paraId="08F18C6C" w14:textId="77777777" w:rsidR="00926566" w:rsidRPr="00926566" w:rsidRDefault="00926566" w:rsidP="00926566">
      <w:r w:rsidRPr="00926566">
        <w:t>Le dossier contient quatre sous-dossiers principaux :</w:t>
      </w:r>
    </w:p>
    <w:p w14:paraId="35A4CEF8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pd</w:t>
      </w:r>
      <w:proofErr w:type="spellEnd"/>
      <w:r w:rsidRPr="00926566">
        <w:rPr>
          <w:b/>
          <w:bCs/>
        </w:rPr>
        <w:t>/</w:t>
      </w:r>
      <w:r w:rsidRPr="00926566">
        <w:t xml:space="preserve"> : contient les bases de données nécessaires au calcul des indicateurs PD, telles que définies dans le fichier </w:t>
      </w:r>
      <w:proofErr w:type="spellStart"/>
      <w:r w:rsidRPr="00926566">
        <w:t>variable_mapping</w:t>
      </w:r>
      <w:proofErr w:type="spellEnd"/>
      <w:r w:rsidRPr="00926566">
        <w:t>.</w:t>
      </w:r>
    </w:p>
    <w:p w14:paraId="0EA4E1BB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lgd</w:t>
      </w:r>
      <w:proofErr w:type="spellEnd"/>
      <w:r w:rsidRPr="00926566">
        <w:rPr>
          <w:b/>
          <w:bCs/>
        </w:rPr>
        <w:t>/</w:t>
      </w:r>
      <w:r w:rsidRPr="00926566">
        <w:t xml:space="preserve"> : contient les bases de données nécessaires au calcul des indicateurs LGD.</w:t>
      </w:r>
    </w:p>
    <w:p w14:paraId="66746A0B" w14:textId="77777777" w:rsidR="00926566" w:rsidRPr="00926566" w:rsidRDefault="00926566" w:rsidP="00926566">
      <w:pPr>
        <w:numPr>
          <w:ilvl w:val="0"/>
          <w:numId w:val="42"/>
        </w:numPr>
      </w:pPr>
      <w:r w:rsidRPr="00926566">
        <w:rPr>
          <w:b/>
          <w:bCs/>
        </w:rPr>
        <w:t>model/</w:t>
      </w:r>
      <w:r w:rsidRPr="00926566">
        <w:t xml:space="preserve"> : contient les </w:t>
      </w:r>
      <w:proofErr w:type="spellStart"/>
      <w:r w:rsidRPr="00926566">
        <w:rPr>
          <w:b/>
          <w:bCs/>
        </w:rPr>
        <w:t>templates</w:t>
      </w:r>
      <w:proofErr w:type="spellEnd"/>
      <w:r w:rsidRPr="00926566">
        <w:rPr>
          <w:b/>
          <w:bCs/>
        </w:rPr>
        <w:t xml:space="preserve"> Excel</w:t>
      </w:r>
      <w:r w:rsidRPr="00926566">
        <w:t xml:space="preserve"> utilisés pour :</w:t>
      </w:r>
    </w:p>
    <w:p w14:paraId="1B152128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t xml:space="preserve">les </w:t>
      </w:r>
      <w:r w:rsidRPr="00926566">
        <w:rPr>
          <w:b/>
          <w:bCs/>
        </w:rPr>
        <w:t>datapacks au format investisseur</w:t>
      </w:r>
      <w:r w:rsidRPr="00926566">
        <w:t>,</w:t>
      </w:r>
    </w:p>
    <w:p w14:paraId="14A5CA5C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t xml:space="preserve">la </w:t>
      </w:r>
      <w:r w:rsidRPr="00926566">
        <w:rPr>
          <w:b/>
          <w:bCs/>
        </w:rPr>
        <w:t xml:space="preserve">gap </w:t>
      </w:r>
      <w:proofErr w:type="spellStart"/>
      <w:r w:rsidRPr="00926566">
        <w:rPr>
          <w:b/>
          <w:bCs/>
        </w:rPr>
        <w:t>analysis</w:t>
      </w:r>
      <w:proofErr w:type="spellEnd"/>
      <w:r w:rsidRPr="00926566">
        <w:t xml:space="preserve"> (comparaison entre les transactions N et N-1).</w:t>
      </w:r>
      <w:r w:rsidRPr="00926566">
        <w:br/>
        <w:t>Ces modèles sont automatiquement remplis par l’outil à partir des indicateurs calculés.</w:t>
      </w:r>
    </w:p>
    <w:p w14:paraId="3750E232" w14:textId="77777777" w:rsidR="00926566" w:rsidRPr="00926566" w:rsidRDefault="00926566" w:rsidP="00926566">
      <w:pPr>
        <w:numPr>
          <w:ilvl w:val="0"/>
          <w:numId w:val="42"/>
        </w:numPr>
      </w:pPr>
      <w:proofErr w:type="spellStart"/>
      <w:r w:rsidRPr="00926566">
        <w:rPr>
          <w:b/>
          <w:bCs/>
        </w:rPr>
        <w:t>ext</w:t>
      </w:r>
      <w:proofErr w:type="spellEnd"/>
      <w:r w:rsidRPr="00926566">
        <w:rPr>
          <w:b/>
          <w:bCs/>
        </w:rPr>
        <w:t>/</w:t>
      </w:r>
      <w:r w:rsidRPr="00926566">
        <w:t xml:space="preserve"> : contient des </w:t>
      </w:r>
      <w:r w:rsidRPr="00926566">
        <w:rPr>
          <w:b/>
          <w:bCs/>
        </w:rPr>
        <w:t>données complémentaires externes</w:t>
      </w:r>
      <w:r w:rsidRPr="00926566">
        <w:t xml:space="preserve"> :</w:t>
      </w:r>
    </w:p>
    <w:p w14:paraId="3502698A" w14:textId="77777777" w:rsidR="00926566" w:rsidRPr="00926566" w:rsidRDefault="00926566" w:rsidP="00926566">
      <w:pPr>
        <w:numPr>
          <w:ilvl w:val="1"/>
          <w:numId w:val="42"/>
        </w:numPr>
      </w:pPr>
      <w:proofErr w:type="spellStart"/>
      <w:r w:rsidRPr="00926566">
        <w:rPr>
          <w:b/>
          <w:bCs/>
        </w:rPr>
        <w:t>prepayments</w:t>
      </w:r>
      <w:proofErr w:type="spellEnd"/>
      <w:r w:rsidRPr="00926566">
        <w:t>,</w:t>
      </w:r>
    </w:p>
    <w:p w14:paraId="389790A6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rPr>
          <w:b/>
          <w:bCs/>
        </w:rPr>
        <w:t>volumes d’origination</w:t>
      </w:r>
      <w:r w:rsidRPr="00926566">
        <w:t>,</w:t>
      </w:r>
    </w:p>
    <w:p w14:paraId="29950F04" w14:textId="77777777" w:rsidR="00926566" w:rsidRPr="00926566" w:rsidRDefault="00926566" w:rsidP="00926566">
      <w:pPr>
        <w:numPr>
          <w:ilvl w:val="1"/>
          <w:numId w:val="42"/>
        </w:numPr>
      </w:pPr>
      <w:r w:rsidRPr="00926566">
        <w:rPr>
          <w:b/>
          <w:bCs/>
        </w:rPr>
        <w:t>pertes et provisions</w:t>
      </w:r>
      <w:r w:rsidRPr="00926566">
        <w:t>.</w:t>
      </w:r>
    </w:p>
    <w:p w14:paraId="10978B96" w14:textId="4695B3C9" w:rsidR="00FC3BA0" w:rsidRDefault="00926566" w:rsidP="00DE6118">
      <w:r w:rsidRPr="00926566">
        <w:rPr>
          <w:rFonts w:ascii="Segoe UI Emoji" w:hAnsi="Segoe UI Emoji" w:cs="Segoe UI Emoji"/>
        </w:rPr>
        <w:t>⚠️</w:t>
      </w:r>
      <w:r w:rsidRPr="00926566">
        <w:t xml:space="preserve"> Ces fichiers sont fournis </w:t>
      </w:r>
      <w:r w:rsidRPr="00926566">
        <w:rPr>
          <w:b/>
          <w:bCs/>
        </w:rPr>
        <w:t>en l’état</w:t>
      </w:r>
      <w:r w:rsidRPr="00926566">
        <w:t xml:space="preserve"> via </w:t>
      </w:r>
      <w:r w:rsidRPr="00926566">
        <w:rPr>
          <w:b/>
          <w:bCs/>
        </w:rPr>
        <w:t>copier-coller de fichiers plats</w:t>
      </w:r>
      <w:r w:rsidRPr="00926566">
        <w:t>.</w:t>
      </w:r>
      <w:r w:rsidRPr="00926566">
        <w:br/>
        <w:t>Aucun contrôle de qualité, transformation ou calcul n’est effectué sur ces données.</w:t>
      </w:r>
      <w:r w:rsidRPr="00926566">
        <w:br/>
        <w:t xml:space="preserve">La </w:t>
      </w:r>
      <w:r w:rsidRPr="00926566">
        <w:rPr>
          <w:b/>
          <w:bCs/>
        </w:rPr>
        <w:t>méthodologie de calcul des indicateurs P&amp;L</w:t>
      </w:r>
      <w:r w:rsidRPr="00926566">
        <w:t xml:space="preserve"> associés est fournie exclusivement par </w:t>
      </w:r>
      <w:r w:rsidRPr="00926566">
        <w:rPr>
          <w:b/>
          <w:bCs/>
        </w:rPr>
        <w:t>DFIN</w:t>
      </w:r>
      <w:r w:rsidRPr="00926566">
        <w:t>.</w:t>
      </w:r>
      <w:r w:rsidRPr="00926566">
        <w:br/>
      </w:r>
      <w:r w:rsidRPr="00926566">
        <w:rPr>
          <w:b/>
          <w:bCs/>
        </w:rPr>
        <w:t>MDL/DAT n’engage aucune responsabilité</w:t>
      </w:r>
      <w:r w:rsidRPr="00926566">
        <w:t xml:space="preserve"> sur la qualité, l’exactitude ou la méthodologie associée à ces données externes.</w:t>
      </w:r>
    </w:p>
    <w:p w14:paraId="771A54E3" w14:textId="77777777" w:rsidR="00182D2F" w:rsidRDefault="00182D2F" w:rsidP="00DE6118"/>
    <w:p w14:paraId="6B148048" w14:textId="77777777" w:rsidR="00F17057" w:rsidRDefault="00F17057" w:rsidP="00182D2F">
      <w:pPr>
        <w:rPr>
          <w:b/>
          <w:bCs/>
        </w:rPr>
      </w:pPr>
    </w:p>
    <w:p w14:paraId="7BD2313C" w14:textId="7D98D446" w:rsidR="00182D2F" w:rsidRPr="00182D2F" w:rsidRDefault="00182D2F" w:rsidP="00182D2F">
      <w:pPr>
        <w:rPr>
          <w:b/>
          <w:bCs/>
        </w:rPr>
      </w:pPr>
      <w:proofErr w:type="spellStart"/>
      <w:r w:rsidRPr="00182D2F">
        <w:rPr>
          <w:b/>
          <w:bCs/>
        </w:rPr>
        <w:lastRenderedPageBreak/>
        <w:t>ext</w:t>
      </w:r>
      <w:proofErr w:type="spellEnd"/>
      <w:r w:rsidRPr="00182D2F">
        <w:rPr>
          <w:b/>
          <w:bCs/>
        </w:rPr>
        <w:t>/ – Données complémentaires externes</w:t>
      </w:r>
    </w:p>
    <w:p w14:paraId="49B7B9FD" w14:textId="77777777" w:rsidR="00182D2F" w:rsidRPr="00182D2F" w:rsidRDefault="00182D2F" w:rsidP="00182D2F">
      <w:r w:rsidRPr="00182D2F">
        <w:t xml:space="preserve">Ce sous-dossier contient des </w:t>
      </w:r>
      <w:r w:rsidRPr="00182D2F">
        <w:rPr>
          <w:b/>
          <w:bCs/>
        </w:rPr>
        <w:t>fichiers Excel plats</w:t>
      </w:r>
      <w:r w:rsidRPr="00182D2F">
        <w:t>, utilisés pour intégrer des données externes au périmètre d’analyse. Il inclut notamment :</w:t>
      </w:r>
    </w:p>
    <w:p w14:paraId="28670E08" w14:textId="77777777" w:rsidR="00182D2F" w:rsidRPr="00182D2F" w:rsidRDefault="00182D2F" w:rsidP="00182D2F">
      <w:pPr>
        <w:numPr>
          <w:ilvl w:val="0"/>
          <w:numId w:val="44"/>
        </w:numPr>
      </w:pPr>
      <w:r w:rsidRPr="00182D2F">
        <w:t xml:space="preserve">les </w:t>
      </w:r>
      <w:proofErr w:type="spellStart"/>
      <w:r w:rsidRPr="00182D2F">
        <w:rPr>
          <w:b/>
          <w:bCs/>
        </w:rPr>
        <w:t>prepayments</w:t>
      </w:r>
      <w:proofErr w:type="spellEnd"/>
      <w:r w:rsidRPr="00182D2F">
        <w:t xml:space="preserve"> (remboursements anticipés),</w:t>
      </w:r>
    </w:p>
    <w:p w14:paraId="14920AB2" w14:textId="77777777" w:rsidR="00182D2F" w:rsidRPr="00182D2F" w:rsidRDefault="00182D2F" w:rsidP="00182D2F">
      <w:pPr>
        <w:numPr>
          <w:ilvl w:val="0"/>
          <w:numId w:val="44"/>
        </w:numPr>
      </w:pPr>
      <w:r w:rsidRPr="00182D2F">
        <w:t xml:space="preserve">les </w:t>
      </w:r>
      <w:r w:rsidRPr="00182D2F">
        <w:rPr>
          <w:b/>
          <w:bCs/>
        </w:rPr>
        <w:t>volumes d’origination</w:t>
      </w:r>
      <w:r w:rsidRPr="00182D2F">
        <w:t>,</w:t>
      </w:r>
    </w:p>
    <w:p w14:paraId="41B11493" w14:textId="77777777" w:rsidR="00182D2F" w:rsidRPr="00182D2F" w:rsidRDefault="00182D2F" w:rsidP="00182D2F">
      <w:pPr>
        <w:numPr>
          <w:ilvl w:val="0"/>
          <w:numId w:val="44"/>
        </w:numPr>
      </w:pPr>
      <w:r w:rsidRPr="00182D2F">
        <w:t xml:space="preserve">les </w:t>
      </w:r>
      <w:r w:rsidRPr="00182D2F">
        <w:rPr>
          <w:b/>
          <w:bCs/>
        </w:rPr>
        <w:t>pertes et provisions</w:t>
      </w:r>
      <w:r w:rsidRPr="00182D2F">
        <w:t>.</w:t>
      </w:r>
    </w:p>
    <w:p w14:paraId="416F10F0" w14:textId="77777777" w:rsidR="00182D2F" w:rsidRPr="00182D2F" w:rsidRDefault="00182D2F" w:rsidP="00182D2F">
      <w:r w:rsidRPr="00182D2F">
        <w:rPr>
          <w:rFonts w:ascii="Segoe UI Emoji" w:hAnsi="Segoe UI Emoji" w:cs="Segoe UI Emoji"/>
        </w:rPr>
        <w:t>⚠️</w:t>
      </w:r>
      <w:r w:rsidRPr="00182D2F">
        <w:t xml:space="preserve"> Ces fichiers doivent </w:t>
      </w:r>
      <w:r w:rsidRPr="00182D2F">
        <w:rPr>
          <w:b/>
          <w:bCs/>
        </w:rPr>
        <w:t>strictement respecter un format prédéfini</w:t>
      </w:r>
      <w:r w:rsidRPr="00182D2F">
        <w:t xml:space="preserve"> (structure, nom des feuilles, colonnes attendues).</w:t>
      </w:r>
      <w:r w:rsidRPr="00182D2F">
        <w:br/>
        <w:t xml:space="preserve">En cas de </w:t>
      </w:r>
      <w:r w:rsidRPr="00182D2F">
        <w:rPr>
          <w:b/>
          <w:bCs/>
        </w:rPr>
        <w:t>modification du format</w:t>
      </w:r>
      <w:r w:rsidRPr="00182D2F">
        <w:t>, l’</w:t>
      </w:r>
      <w:r w:rsidRPr="00182D2F">
        <w:rPr>
          <w:b/>
          <w:bCs/>
        </w:rPr>
        <w:t>algorithme de récupération devra être ajusté</w:t>
      </w:r>
      <w:r w:rsidRPr="00182D2F">
        <w:t xml:space="preserve"> en conséquence.</w:t>
      </w:r>
    </w:p>
    <w:p w14:paraId="5CE9903E" w14:textId="77777777" w:rsidR="00182D2F" w:rsidRPr="00182D2F" w:rsidRDefault="00182D2F" w:rsidP="00182D2F">
      <w:r w:rsidRPr="00182D2F">
        <w:t>Aucun traitement n’est effectué sur ces fichiers par l’outil :</w:t>
      </w:r>
    </w:p>
    <w:p w14:paraId="074F7830" w14:textId="77777777" w:rsidR="00182D2F" w:rsidRPr="00182D2F" w:rsidRDefault="00182D2F" w:rsidP="00182D2F">
      <w:pPr>
        <w:numPr>
          <w:ilvl w:val="0"/>
          <w:numId w:val="45"/>
        </w:numPr>
      </w:pPr>
      <w:r w:rsidRPr="00182D2F">
        <w:rPr>
          <w:b/>
          <w:bCs/>
        </w:rPr>
        <w:t>pas de contrôle de qualité</w:t>
      </w:r>
      <w:r w:rsidRPr="00182D2F">
        <w:t>,</w:t>
      </w:r>
    </w:p>
    <w:p w14:paraId="0EC27EDD" w14:textId="77777777" w:rsidR="00182D2F" w:rsidRPr="00182D2F" w:rsidRDefault="00182D2F" w:rsidP="00182D2F">
      <w:pPr>
        <w:numPr>
          <w:ilvl w:val="0"/>
          <w:numId w:val="45"/>
        </w:numPr>
      </w:pPr>
      <w:r w:rsidRPr="00182D2F">
        <w:rPr>
          <w:b/>
          <w:bCs/>
        </w:rPr>
        <w:t>pas de transformation</w:t>
      </w:r>
      <w:r w:rsidRPr="00182D2F">
        <w:t>,</w:t>
      </w:r>
    </w:p>
    <w:p w14:paraId="5689AB51" w14:textId="77777777" w:rsidR="00182D2F" w:rsidRPr="00182D2F" w:rsidRDefault="00182D2F" w:rsidP="00182D2F">
      <w:pPr>
        <w:numPr>
          <w:ilvl w:val="0"/>
          <w:numId w:val="45"/>
        </w:numPr>
      </w:pPr>
      <w:r w:rsidRPr="00182D2F">
        <w:rPr>
          <w:b/>
          <w:bCs/>
        </w:rPr>
        <w:t>aucun calcul</w:t>
      </w:r>
      <w:r w:rsidRPr="00182D2F">
        <w:t>.</w:t>
      </w:r>
    </w:p>
    <w:p w14:paraId="7A7E23C1" w14:textId="77777777" w:rsidR="00182D2F" w:rsidRPr="00182D2F" w:rsidRDefault="00182D2F" w:rsidP="00182D2F">
      <w:r w:rsidRPr="00182D2F">
        <w:t xml:space="preserve">La </w:t>
      </w:r>
      <w:r w:rsidRPr="00182D2F">
        <w:rPr>
          <w:b/>
          <w:bCs/>
        </w:rPr>
        <w:t>méthodologie de calcul des indicateurs de type P&amp;L</w:t>
      </w:r>
      <w:r w:rsidRPr="00182D2F">
        <w:t xml:space="preserve"> est fournie par </w:t>
      </w:r>
      <w:r w:rsidRPr="00182D2F">
        <w:rPr>
          <w:b/>
          <w:bCs/>
        </w:rPr>
        <w:t>DFIN</w:t>
      </w:r>
      <w:r w:rsidRPr="00182D2F">
        <w:t>.</w:t>
      </w:r>
      <w:r w:rsidRPr="00182D2F">
        <w:br/>
      </w:r>
      <w:r w:rsidRPr="00182D2F">
        <w:rPr>
          <w:b/>
          <w:bCs/>
        </w:rPr>
        <w:t>MDL/DAT n’engage aucune responsabilité</w:t>
      </w:r>
      <w:r w:rsidRPr="00182D2F">
        <w:t xml:space="preserve"> sur ces données externes.</w:t>
      </w:r>
    </w:p>
    <w:p w14:paraId="147785F9" w14:textId="77777777" w:rsidR="00182D2F" w:rsidRPr="005E6C9E" w:rsidRDefault="00182D2F" w:rsidP="00DE6118"/>
    <w:sectPr w:rsidR="00182D2F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61109" w14:textId="77777777" w:rsidR="00F77505" w:rsidRDefault="00F77505" w:rsidP="00F77505">
      <w:pPr>
        <w:spacing w:after="0" w:line="240" w:lineRule="auto"/>
      </w:pPr>
      <w:r>
        <w:separator/>
      </w:r>
    </w:p>
  </w:endnote>
  <w:endnote w:type="continuationSeparator" w:id="0">
    <w:p w14:paraId="12FDD6CE" w14:textId="77777777" w:rsidR="00F77505" w:rsidRDefault="00F77505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EndPr/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894E2" w14:textId="77777777" w:rsidR="00F77505" w:rsidRDefault="00F77505" w:rsidP="00F77505">
      <w:pPr>
        <w:spacing w:after="0" w:line="240" w:lineRule="auto"/>
      </w:pPr>
      <w:r>
        <w:separator/>
      </w:r>
    </w:p>
  </w:footnote>
  <w:footnote w:type="continuationSeparator" w:id="0">
    <w:p w14:paraId="1365E411" w14:textId="77777777" w:rsidR="00F77505" w:rsidRDefault="00F77505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18"/>
  </w:num>
  <w:num w:numId="2" w16cid:durableId="832916484">
    <w:abstractNumId w:val="38"/>
  </w:num>
  <w:num w:numId="3" w16cid:durableId="1703705502">
    <w:abstractNumId w:val="3"/>
  </w:num>
  <w:num w:numId="4" w16cid:durableId="1017274082">
    <w:abstractNumId w:val="12"/>
  </w:num>
  <w:num w:numId="5" w16cid:durableId="486944312">
    <w:abstractNumId w:val="0"/>
  </w:num>
  <w:num w:numId="6" w16cid:durableId="1434396150">
    <w:abstractNumId w:val="20"/>
  </w:num>
  <w:num w:numId="7" w16cid:durableId="1726754344">
    <w:abstractNumId w:val="5"/>
  </w:num>
  <w:num w:numId="8" w16cid:durableId="1463309710">
    <w:abstractNumId w:val="31"/>
  </w:num>
  <w:num w:numId="9" w16cid:durableId="1934707219">
    <w:abstractNumId w:val="10"/>
  </w:num>
  <w:num w:numId="10" w16cid:durableId="367147953">
    <w:abstractNumId w:val="44"/>
  </w:num>
  <w:num w:numId="11" w16cid:durableId="828594184">
    <w:abstractNumId w:val="15"/>
  </w:num>
  <w:num w:numId="12" w16cid:durableId="1230262882">
    <w:abstractNumId w:val="13"/>
  </w:num>
  <w:num w:numId="13" w16cid:durableId="1867525674">
    <w:abstractNumId w:val="16"/>
  </w:num>
  <w:num w:numId="14" w16cid:durableId="249972834">
    <w:abstractNumId w:val="11"/>
  </w:num>
  <w:num w:numId="15" w16cid:durableId="1192449603">
    <w:abstractNumId w:val="6"/>
  </w:num>
  <w:num w:numId="16" w16cid:durableId="404377741">
    <w:abstractNumId w:val="43"/>
  </w:num>
  <w:num w:numId="17" w16cid:durableId="102845890">
    <w:abstractNumId w:val="26"/>
  </w:num>
  <w:num w:numId="18" w16cid:durableId="1010527614">
    <w:abstractNumId w:val="23"/>
  </w:num>
  <w:num w:numId="19" w16cid:durableId="1110858853">
    <w:abstractNumId w:val="33"/>
  </w:num>
  <w:num w:numId="20" w16cid:durableId="1703746618">
    <w:abstractNumId w:val="7"/>
  </w:num>
  <w:num w:numId="21" w16cid:durableId="1799713275">
    <w:abstractNumId w:val="39"/>
  </w:num>
  <w:num w:numId="22" w16cid:durableId="1102653255">
    <w:abstractNumId w:val="4"/>
  </w:num>
  <w:num w:numId="23" w16cid:durableId="439374312">
    <w:abstractNumId w:val="8"/>
  </w:num>
  <w:num w:numId="24" w16cid:durableId="1252856247">
    <w:abstractNumId w:val="22"/>
  </w:num>
  <w:num w:numId="25" w16cid:durableId="2024277658">
    <w:abstractNumId w:val="37"/>
  </w:num>
  <w:num w:numId="26" w16cid:durableId="1798454845">
    <w:abstractNumId w:val="41"/>
  </w:num>
  <w:num w:numId="27" w16cid:durableId="540215885">
    <w:abstractNumId w:val="25"/>
  </w:num>
  <w:num w:numId="28" w16cid:durableId="379399946">
    <w:abstractNumId w:val="29"/>
  </w:num>
  <w:num w:numId="29" w16cid:durableId="1279487558">
    <w:abstractNumId w:val="14"/>
  </w:num>
  <w:num w:numId="30" w16cid:durableId="1994873250">
    <w:abstractNumId w:val="32"/>
  </w:num>
  <w:num w:numId="31" w16cid:durableId="1408962159">
    <w:abstractNumId w:val="36"/>
  </w:num>
  <w:num w:numId="32" w16cid:durableId="1641761109">
    <w:abstractNumId w:val="1"/>
  </w:num>
  <w:num w:numId="33" w16cid:durableId="2108647822">
    <w:abstractNumId w:val="24"/>
  </w:num>
  <w:num w:numId="34" w16cid:durableId="2008360120">
    <w:abstractNumId w:val="35"/>
  </w:num>
  <w:num w:numId="35" w16cid:durableId="1343166156">
    <w:abstractNumId w:val="28"/>
  </w:num>
  <w:num w:numId="36" w16cid:durableId="91437508">
    <w:abstractNumId w:val="21"/>
  </w:num>
  <w:num w:numId="37" w16cid:durableId="1804350459">
    <w:abstractNumId w:val="27"/>
  </w:num>
  <w:num w:numId="38" w16cid:durableId="1657495523">
    <w:abstractNumId w:val="9"/>
  </w:num>
  <w:num w:numId="39" w16cid:durableId="231232652">
    <w:abstractNumId w:val="17"/>
  </w:num>
  <w:num w:numId="40" w16cid:durableId="1382679388">
    <w:abstractNumId w:val="19"/>
  </w:num>
  <w:num w:numId="41" w16cid:durableId="2056268484">
    <w:abstractNumId w:val="40"/>
  </w:num>
  <w:num w:numId="42" w16cid:durableId="528227470">
    <w:abstractNumId w:val="34"/>
  </w:num>
  <w:num w:numId="43" w16cid:durableId="798449793">
    <w:abstractNumId w:val="42"/>
  </w:num>
  <w:num w:numId="44" w16cid:durableId="763232337">
    <w:abstractNumId w:val="2"/>
  </w:num>
  <w:num w:numId="45" w16cid:durableId="11970862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182D2F"/>
    <w:rsid w:val="001C602A"/>
    <w:rsid w:val="005E6C9E"/>
    <w:rsid w:val="00926566"/>
    <w:rsid w:val="00B01E41"/>
    <w:rsid w:val="00BB7720"/>
    <w:rsid w:val="00C7158D"/>
    <w:rsid w:val="00DD1320"/>
    <w:rsid w:val="00DE6118"/>
    <w:rsid w:val="00E56275"/>
    <w:rsid w:val="00E66270"/>
    <w:rsid w:val="00F17057"/>
    <w:rsid w:val="00F34378"/>
    <w:rsid w:val="00F77505"/>
    <w:rsid w:val="00F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12</cp:revision>
  <dcterms:created xsi:type="dcterms:W3CDTF">2025-01-09T11:08:00Z</dcterms:created>
  <dcterms:modified xsi:type="dcterms:W3CDTF">2025-04-15T16:51:00Z</dcterms:modified>
</cp:coreProperties>
</file>