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892A" w14:textId="6B4B5CD7" w:rsidR="002C1148" w:rsidRPr="002C1148" w:rsidRDefault="002C1148" w:rsidP="00EC1D63">
      <w:r w:rsidRPr="002C1148">
        <w:t xml:space="preserve">La production des indicateurs de risque de crédit repose sur un certain nombre de </w:t>
      </w:r>
      <w:r w:rsidRPr="002C1148">
        <w:rPr>
          <w:b/>
          <w:bCs/>
        </w:rPr>
        <w:t>tables sources</w:t>
      </w:r>
      <w:r w:rsidRPr="002C1148">
        <w:t xml:space="preserve"> spécifiques, collectées et préparées via la classe Data. Ces tables sont classées selon les deux grandes familles d’indicateurs : </w:t>
      </w:r>
      <w:r w:rsidRPr="002C1148">
        <w:rPr>
          <w:b/>
          <w:bCs/>
        </w:rPr>
        <w:t>PD (</w:t>
      </w:r>
      <w:proofErr w:type="spellStart"/>
      <w:r w:rsidRPr="002C1148">
        <w:rPr>
          <w:b/>
          <w:bCs/>
        </w:rPr>
        <w:t>Probability</w:t>
      </w:r>
      <w:proofErr w:type="spellEnd"/>
      <w:r w:rsidRPr="002C1148">
        <w:rPr>
          <w:b/>
          <w:bCs/>
        </w:rPr>
        <w:t xml:space="preserve"> of Default)</w:t>
      </w:r>
      <w:r w:rsidRPr="002C1148">
        <w:t xml:space="preserve"> et </w:t>
      </w:r>
      <w:r w:rsidRPr="002C1148">
        <w:rPr>
          <w:b/>
          <w:bCs/>
        </w:rPr>
        <w:t>LGD (</w:t>
      </w:r>
      <w:proofErr w:type="spellStart"/>
      <w:r w:rsidRPr="002C1148">
        <w:rPr>
          <w:b/>
          <w:bCs/>
        </w:rPr>
        <w:t>Loss</w:t>
      </w:r>
      <w:proofErr w:type="spellEnd"/>
      <w:r w:rsidRPr="002C1148">
        <w:rPr>
          <w:b/>
          <w:bCs/>
        </w:rPr>
        <w:t xml:space="preserve"> </w:t>
      </w:r>
      <w:proofErr w:type="spellStart"/>
      <w:r w:rsidRPr="002C1148">
        <w:rPr>
          <w:b/>
          <w:bCs/>
        </w:rPr>
        <w:t>Given</w:t>
      </w:r>
      <w:proofErr w:type="spellEnd"/>
      <w:r w:rsidRPr="002C1148">
        <w:rPr>
          <w:b/>
          <w:bCs/>
        </w:rPr>
        <w:t xml:space="preserve"> Default)</w:t>
      </w:r>
      <w:r w:rsidRPr="002C1148">
        <w:t>.</w:t>
      </w:r>
    </w:p>
    <w:p w14:paraId="114BFD48" w14:textId="77777777" w:rsidR="002C1148" w:rsidRPr="002C1148" w:rsidRDefault="002C1148" w:rsidP="002C1148">
      <w:pPr>
        <w:rPr>
          <w:b/>
          <w:bCs/>
          <w:lang w:val="en-US"/>
        </w:rPr>
      </w:pPr>
      <w:r w:rsidRPr="002C1148">
        <w:rPr>
          <w:b/>
          <w:bCs/>
          <w:lang w:val="en-US"/>
        </w:rPr>
        <w:t>Tables PD (Probability of Default)</w:t>
      </w:r>
    </w:p>
    <w:p w14:paraId="2B4071A6" w14:textId="77777777" w:rsidR="002C1148" w:rsidRPr="002C1148" w:rsidRDefault="002C1148" w:rsidP="002C1148">
      <w:r w:rsidRPr="002C1148">
        <w:t>Les données utilisées pour calculer les indicateurs PD sont principalement liées à l’historique des contrats et des contreparties. On distingue notamment :</w:t>
      </w:r>
    </w:p>
    <w:p w14:paraId="6254B383" w14:textId="77777777" w:rsidR="002C1148" w:rsidRPr="002C1148" w:rsidRDefault="002C1148" w:rsidP="002C1148">
      <w:pPr>
        <w:numPr>
          <w:ilvl w:val="0"/>
          <w:numId w:val="75"/>
        </w:numPr>
      </w:pPr>
      <w:proofErr w:type="spellStart"/>
      <w:r w:rsidRPr="002C1148">
        <w:rPr>
          <w:b/>
          <w:bCs/>
        </w:rPr>
        <w:t>origination_data</w:t>
      </w:r>
      <w:proofErr w:type="spellEnd"/>
      <w:r w:rsidRPr="002C1148">
        <w:t xml:space="preserve"> : informations à l’entrée du contrat (montant initial, rating initial, date de départ…)</w:t>
      </w:r>
    </w:p>
    <w:p w14:paraId="667789FF" w14:textId="77777777" w:rsidR="002C1148" w:rsidRPr="002C1148" w:rsidRDefault="002C1148" w:rsidP="002C1148">
      <w:pPr>
        <w:numPr>
          <w:ilvl w:val="0"/>
          <w:numId w:val="75"/>
        </w:numPr>
      </w:pPr>
      <w:proofErr w:type="spellStart"/>
      <w:r w:rsidRPr="002C1148">
        <w:rPr>
          <w:b/>
          <w:bCs/>
        </w:rPr>
        <w:t>default_data</w:t>
      </w:r>
      <w:proofErr w:type="spellEnd"/>
      <w:r w:rsidRPr="002C1148">
        <w:t xml:space="preserve"> : événements de défaut observés dans l’année</w:t>
      </w:r>
    </w:p>
    <w:p w14:paraId="12F5DA93" w14:textId="77777777" w:rsidR="002C1148" w:rsidRPr="002C1148" w:rsidRDefault="002C1148" w:rsidP="002C1148">
      <w:pPr>
        <w:numPr>
          <w:ilvl w:val="0"/>
          <w:numId w:val="75"/>
        </w:numPr>
      </w:pPr>
      <w:proofErr w:type="spellStart"/>
      <w:r w:rsidRPr="002C1148">
        <w:rPr>
          <w:b/>
          <w:bCs/>
        </w:rPr>
        <w:t>rating_data</w:t>
      </w:r>
      <w:proofErr w:type="spellEnd"/>
      <w:r w:rsidRPr="002C1148">
        <w:t xml:space="preserve"> : historique des notations internes (notamment utile pour les matrices de migration)</w:t>
      </w:r>
    </w:p>
    <w:p w14:paraId="7CCEF232" w14:textId="77777777" w:rsidR="002C1148" w:rsidRPr="002C1148" w:rsidRDefault="002C1148" w:rsidP="002C1148">
      <w:pPr>
        <w:numPr>
          <w:ilvl w:val="0"/>
          <w:numId w:val="75"/>
        </w:numPr>
      </w:pPr>
      <w:proofErr w:type="spellStart"/>
      <w:r w:rsidRPr="002C1148">
        <w:rPr>
          <w:b/>
          <w:bCs/>
        </w:rPr>
        <w:t>obligor_data</w:t>
      </w:r>
      <w:proofErr w:type="spellEnd"/>
      <w:r w:rsidRPr="002C1148">
        <w:t xml:space="preserve"> : caractéristiques typologiques des contreparties (secteur, taille, zone géographique…)</w:t>
      </w:r>
    </w:p>
    <w:p w14:paraId="2A2E5C3B" w14:textId="77777777" w:rsidR="002C1148" w:rsidRPr="002C1148" w:rsidRDefault="002C1148" w:rsidP="002C1148">
      <w:pPr>
        <w:numPr>
          <w:ilvl w:val="0"/>
          <w:numId w:val="75"/>
        </w:numPr>
      </w:pPr>
      <w:proofErr w:type="spellStart"/>
      <w:r w:rsidRPr="002C1148">
        <w:rPr>
          <w:b/>
          <w:bCs/>
        </w:rPr>
        <w:t>external_default_data</w:t>
      </w:r>
      <w:proofErr w:type="spellEnd"/>
      <w:r w:rsidRPr="002C1148">
        <w:t xml:space="preserve"> : défauts observés en dehors du périmètre interne (si disponible)</w:t>
      </w:r>
    </w:p>
    <w:p w14:paraId="4F9504D8" w14:textId="77777777" w:rsidR="002C1148" w:rsidRPr="002C1148" w:rsidRDefault="002C1148" w:rsidP="002C1148">
      <w:r w:rsidRPr="002C1148">
        <w:t xml:space="preserve">Ces données sont filtrées et organisées par système de notation (SME, LC, etc.) pour permettre un calcul affiné des </w:t>
      </w:r>
      <w:r w:rsidRPr="002C1148">
        <w:rPr>
          <w:b/>
          <w:bCs/>
        </w:rPr>
        <w:t>taux de défaut</w:t>
      </w:r>
      <w:r w:rsidRPr="002C1148">
        <w:t xml:space="preserve">, </w:t>
      </w:r>
      <w:r w:rsidRPr="002C1148">
        <w:rPr>
          <w:b/>
          <w:bCs/>
        </w:rPr>
        <w:t>matrices de migration observée</w:t>
      </w:r>
      <w:r w:rsidRPr="002C1148">
        <w:t xml:space="preserve"> ou encore </w:t>
      </w:r>
      <w:r w:rsidRPr="002C1148">
        <w:rPr>
          <w:b/>
          <w:bCs/>
        </w:rPr>
        <w:t>back-in-bonis</w:t>
      </w:r>
      <w:r w:rsidRPr="002C1148">
        <w:t>.</w:t>
      </w:r>
    </w:p>
    <w:p w14:paraId="22E7C244" w14:textId="77777777" w:rsidR="002C1148" w:rsidRPr="002C1148" w:rsidRDefault="002C1148" w:rsidP="002C1148">
      <w:r w:rsidRPr="002C1148">
        <w:pict w14:anchorId="077393CE">
          <v:rect id="_x0000_i1050" style="width:0;height:1.5pt" o:hralign="center" o:hrstd="t" o:hr="t" fillcolor="#a0a0a0" stroked="f"/>
        </w:pict>
      </w:r>
    </w:p>
    <w:p w14:paraId="30145E7B" w14:textId="77777777" w:rsidR="002C1148" w:rsidRPr="002C1148" w:rsidRDefault="002C1148" w:rsidP="002C1148">
      <w:pPr>
        <w:rPr>
          <w:b/>
          <w:bCs/>
          <w:lang w:val="en-US"/>
        </w:rPr>
      </w:pPr>
      <w:r w:rsidRPr="002C1148">
        <w:rPr>
          <w:b/>
          <w:bCs/>
          <w:lang w:val="en-US"/>
        </w:rPr>
        <w:t>Tables LGD (Loss Given Default)</w:t>
      </w:r>
    </w:p>
    <w:p w14:paraId="18795BDE" w14:textId="77777777" w:rsidR="002C1148" w:rsidRPr="002C1148" w:rsidRDefault="002C1148" w:rsidP="002C1148">
      <w:r w:rsidRPr="002C1148">
        <w:t xml:space="preserve">Les indicateurs LGD nécessitent un suivi plus poussé des </w:t>
      </w:r>
      <w:r w:rsidRPr="002C1148">
        <w:rPr>
          <w:b/>
          <w:bCs/>
        </w:rPr>
        <w:t>phases post-défaut</w:t>
      </w:r>
      <w:r w:rsidRPr="002C1148">
        <w:t>. Les principales tables mobilisées sont :</w:t>
      </w:r>
    </w:p>
    <w:p w14:paraId="02C61C8F" w14:textId="77777777" w:rsidR="002C1148" w:rsidRPr="002C1148" w:rsidRDefault="002C1148" w:rsidP="002C1148">
      <w:pPr>
        <w:numPr>
          <w:ilvl w:val="0"/>
          <w:numId w:val="76"/>
        </w:numPr>
      </w:pPr>
      <w:proofErr w:type="spellStart"/>
      <w:r w:rsidRPr="002C1148">
        <w:rPr>
          <w:b/>
          <w:bCs/>
        </w:rPr>
        <w:t>default_event_data</w:t>
      </w:r>
      <w:proofErr w:type="spellEnd"/>
      <w:r w:rsidRPr="002C1148">
        <w:t xml:space="preserve"> : caractéristiques du défaut (date, exposition, garanties, recouvrements)</w:t>
      </w:r>
    </w:p>
    <w:p w14:paraId="05424350" w14:textId="77777777" w:rsidR="002C1148" w:rsidRPr="002C1148" w:rsidRDefault="002C1148" w:rsidP="002C1148">
      <w:pPr>
        <w:numPr>
          <w:ilvl w:val="0"/>
          <w:numId w:val="76"/>
        </w:numPr>
      </w:pPr>
      <w:proofErr w:type="spellStart"/>
      <w:r w:rsidRPr="002C1148">
        <w:rPr>
          <w:b/>
          <w:bCs/>
        </w:rPr>
        <w:t>ead_data</w:t>
      </w:r>
      <w:proofErr w:type="spellEnd"/>
      <w:r w:rsidRPr="002C1148">
        <w:t xml:space="preserve"> : exposition au moment du défaut (</w:t>
      </w:r>
      <w:proofErr w:type="spellStart"/>
      <w:r w:rsidRPr="002C1148">
        <w:t>Exposure</w:t>
      </w:r>
      <w:proofErr w:type="spellEnd"/>
      <w:r w:rsidRPr="002C1148">
        <w:t xml:space="preserve"> At Default)</w:t>
      </w:r>
    </w:p>
    <w:p w14:paraId="5A1D11BB" w14:textId="77777777" w:rsidR="002C1148" w:rsidRPr="002C1148" w:rsidRDefault="002C1148" w:rsidP="002C1148">
      <w:pPr>
        <w:numPr>
          <w:ilvl w:val="0"/>
          <w:numId w:val="76"/>
        </w:numPr>
      </w:pPr>
      <w:proofErr w:type="spellStart"/>
      <w:r w:rsidRPr="002C1148">
        <w:rPr>
          <w:b/>
          <w:bCs/>
        </w:rPr>
        <w:t>recovery_data</w:t>
      </w:r>
      <w:proofErr w:type="spellEnd"/>
      <w:r w:rsidRPr="002C1148">
        <w:t xml:space="preserve"> : détail des flux de recouvrement (montant, date, nature du flux…)</w:t>
      </w:r>
    </w:p>
    <w:p w14:paraId="283E1036" w14:textId="77777777" w:rsidR="002C1148" w:rsidRPr="002C1148" w:rsidRDefault="002C1148" w:rsidP="002C1148">
      <w:pPr>
        <w:numPr>
          <w:ilvl w:val="0"/>
          <w:numId w:val="76"/>
        </w:numPr>
      </w:pPr>
      <w:proofErr w:type="spellStart"/>
      <w:r w:rsidRPr="002C1148">
        <w:rPr>
          <w:b/>
          <w:bCs/>
        </w:rPr>
        <w:t>provision_data</w:t>
      </w:r>
      <w:proofErr w:type="spellEnd"/>
      <w:r w:rsidRPr="002C1148">
        <w:t xml:space="preserve"> : provisions passées sur les défauts (si utilisées pour le calcul LGD net)</w:t>
      </w:r>
    </w:p>
    <w:p w14:paraId="7000B7A3" w14:textId="77777777" w:rsidR="002C1148" w:rsidRPr="002C1148" w:rsidRDefault="002C1148" w:rsidP="002C1148">
      <w:pPr>
        <w:numPr>
          <w:ilvl w:val="0"/>
          <w:numId w:val="76"/>
        </w:numPr>
      </w:pPr>
      <w:proofErr w:type="spellStart"/>
      <w:r w:rsidRPr="002C1148">
        <w:rPr>
          <w:b/>
          <w:bCs/>
        </w:rPr>
        <w:t>collateral_data</w:t>
      </w:r>
      <w:proofErr w:type="spellEnd"/>
      <w:r w:rsidRPr="002C1148">
        <w:t xml:space="preserve"> : détails sur les sûretés associées aux expositions</w:t>
      </w:r>
    </w:p>
    <w:p w14:paraId="6691E81E" w14:textId="77777777" w:rsidR="002C1148" w:rsidRPr="002C1148" w:rsidRDefault="002C1148" w:rsidP="002C1148">
      <w:pPr>
        <w:numPr>
          <w:ilvl w:val="0"/>
          <w:numId w:val="76"/>
        </w:numPr>
      </w:pPr>
      <w:proofErr w:type="spellStart"/>
      <w:r w:rsidRPr="002C1148">
        <w:rPr>
          <w:b/>
          <w:bCs/>
        </w:rPr>
        <w:t>write_off_data</w:t>
      </w:r>
      <w:proofErr w:type="spellEnd"/>
      <w:r w:rsidRPr="002C1148">
        <w:t xml:space="preserve"> : montants passés en perte</w:t>
      </w:r>
    </w:p>
    <w:p w14:paraId="0682A324" w14:textId="77777777" w:rsidR="002C1148" w:rsidRPr="002C1148" w:rsidRDefault="002C1148" w:rsidP="002C1148">
      <w:r w:rsidRPr="002C1148">
        <w:t>Ces données permettent notamment de calculer :</w:t>
      </w:r>
    </w:p>
    <w:p w14:paraId="5CB94031" w14:textId="77777777" w:rsidR="002C1148" w:rsidRPr="002C1148" w:rsidRDefault="002C1148" w:rsidP="002C1148">
      <w:pPr>
        <w:numPr>
          <w:ilvl w:val="0"/>
          <w:numId w:val="77"/>
        </w:numPr>
      </w:pPr>
      <w:r w:rsidRPr="002C1148">
        <w:t xml:space="preserve">les </w:t>
      </w:r>
      <w:r w:rsidRPr="002C1148">
        <w:rPr>
          <w:b/>
          <w:bCs/>
        </w:rPr>
        <w:t>taux de recouvrement</w:t>
      </w:r>
    </w:p>
    <w:p w14:paraId="49E086C5" w14:textId="77777777" w:rsidR="002C1148" w:rsidRPr="002C1148" w:rsidRDefault="002C1148" w:rsidP="002C1148">
      <w:pPr>
        <w:numPr>
          <w:ilvl w:val="0"/>
          <w:numId w:val="77"/>
        </w:numPr>
      </w:pPr>
      <w:r w:rsidRPr="002C1148">
        <w:t xml:space="preserve">les </w:t>
      </w:r>
      <w:r w:rsidRPr="002C1148">
        <w:rPr>
          <w:b/>
          <w:bCs/>
        </w:rPr>
        <w:t>taux de perte net</w:t>
      </w:r>
    </w:p>
    <w:p w14:paraId="459F0DC8" w14:textId="77777777" w:rsidR="002C1148" w:rsidRPr="002C1148" w:rsidRDefault="002C1148" w:rsidP="002C1148">
      <w:pPr>
        <w:numPr>
          <w:ilvl w:val="0"/>
          <w:numId w:val="77"/>
        </w:numPr>
      </w:pPr>
      <w:r w:rsidRPr="002C1148">
        <w:t>des analyses typologiques (par type de collatéral, par durée de recouvrement…)</w:t>
      </w:r>
    </w:p>
    <w:p w14:paraId="16636D12" w14:textId="77777777" w:rsidR="00466565" w:rsidRPr="005E6C9E" w:rsidRDefault="00466565" w:rsidP="00DE6118"/>
    <w:sectPr w:rsidR="00466565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6E56" w14:textId="77777777" w:rsidR="009D6DE6" w:rsidRDefault="009D6DE6" w:rsidP="00F77505">
      <w:pPr>
        <w:spacing w:after="0" w:line="240" w:lineRule="auto"/>
      </w:pPr>
      <w:r>
        <w:separator/>
      </w:r>
    </w:p>
  </w:endnote>
  <w:endnote w:type="continuationSeparator" w:id="0">
    <w:p w14:paraId="7E6F7564" w14:textId="77777777" w:rsidR="009D6DE6" w:rsidRDefault="009D6DE6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0768F" w14:textId="77777777" w:rsidR="009D6DE6" w:rsidRDefault="009D6DE6" w:rsidP="00F77505">
      <w:pPr>
        <w:spacing w:after="0" w:line="240" w:lineRule="auto"/>
      </w:pPr>
      <w:r>
        <w:separator/>
      </w:r>
    </w:p>
  </w:footnote>
  <w:footnote w:type="continuationSeparator" w:id="0">
    <w:p w14:paraId="6923989B" w14:textId="77777777" w:rsidR="009D6DE6" w:rsidRDefault="009D6DE6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F7F"/>
    <w:multiLevelType w:val="multilevel"/>
    <w:tmpl w:val="A9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543C0"/>
    <w:multiLevelType w:val="multilevel"/>
    <w:tmpl w:val="ACD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304"/>
    <w:multiLevelType w:val="hybridMultilevel"/>
    <w:tmpl w:val="672C7C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6617F"/>
    <w:multiLevelType w:val="multilevel"/>
    <w:tmpl w:val="07E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42271B"/>
    <w:multiLevelType w:val="hybridMultilevel"/>
    <w:tmpl w:val="FD6A6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C227C7"/>
    <w:multiLevelType w:val="multilevel"/>
    <w:tmpl w:val="6B3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37D8F"/>
    <w:multiLevelType w:val="multilevel"/>
    <w:tmpl w:val="470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F65BF5"/>
    <w:multiLevelType w:val="multilevel"/>
    <w:tmpl w:val="FE9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14D5094"/>
    <w:multiLevelType w:val="hybridMultilevel"/>
    <w:tmpl w:val="EB162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E4623"/>
    <w:multiLevelType w:val="multilevel"/>
    <w:tmpl w:val="C2D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9682195"/>
    <w:multiLevelType w:val="multilevel"/>
    <w:tmpl w:val="FE6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3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A96913"/>
    <w:multiLevelType w:val="hybridMultilevel"/>
    <w:tmpl w:val="BC3A9D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6578CB"/>
    <w:multiLevelType w:val="multilevel"/>
    <w:tmpl w:val="C94A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847463"/>
    <w:multiLevelType w:val="multilevel"/>
    <w:tmpl w:val="768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0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7E6BAF"/>
    <w:multiLevelType w:val="hybridMultilevel"/>
    <w:tmpl w:val="CAD026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6154">
    <w:abstractNumId w:val="32"/>
  </w:num>
  <w:num w:numId="2" w16cid:durableId="832916484">
    <w:abstractNumId w:val="65"/>
  </w:num>
  <w:num w:numId="3" w16cid:durableId="1703705502">
    <w:abstractNumId w:val="3"/>
  </w:num>
  <w:num w:numId="4" w16cid:durableId="1017274082">
    <w:abstractNumId w:val="23"/>
  </w:num>
  <w:num w:numId="5" w16cid:durableId="486944312">
    <w:abstractNumId w:val="0"/>
  </w:num>
  <w:num w:numId="6" w16cid:durableId="1434396150">
    <w:abstractNumId w:val="34"/>
  </w:num>
  <w:num w:numId="7" w16cid:durableId="1726754344">
    <w:abstractNumId w:val="7"/>
  </w:num>
  <w:num w:numId="8" w16cid:durableId="1463309710">
    <w:abstractNumId w:val="54"/>
  </w:num>
  <w:num w:numId="9" w16cid:durableId="1934707219">
    <w:abstractNumId w:val="20"/>
  </w:num>
  <w:num w:numId="10" w16cid:durableId="367147953">
    <w:abstractNumId w:val="75"/>
  </w:num>
  <w:num w:numId="11" w16cid:durableId="828594184">
    <w:abstractNumId w:val="28"/>
  </w:num>
  <w:num w:numId="12" w16cid:durableId="1230262882">
    <w:abstractNumId w:val="24"/>
  </w:num>
  <w:num w:numId="13" w16cid:durableId="1867525674">
    <w:abstractNumId w:val="29"/>
  </w:num>
  <w:num w:numId="14" w16cid:durableId="249972834">
    <w:abstractNumId w:val="22"/>
  </w:num>
  <w:num w:numId="15" w16cid:durableId="1192449603">
    <w:abstractNumId w:val="11"/>
  </w:num>
  <w:num w:numId="16" w16cid:durableId="404377741">
    <w:abstractNumId w:val="72"/>
  </w:num>
  <w:num w:numId="17" w16cid:durableId="102845890">
    <w:abstractNumId w:val="43"/>
  </w:num>
  <w:num w:numId="18" w16cid:durableId="1010527614">
    <w:abstractNumId w:val="39"/>
  </w:num>
  <w:num w:numId="19" w16cid:durableId="1110858853">
    <w:abstractNumId w:val="58"/>
  </w:num>
  <w:num w:numId="20" w16cid:durableId="1703746618">
    <w:abstractNumId w:val="13"/>
  </w:num>
  <w:num w:numId="21" w16cid:durableId="1799713275">
    <w:abstractNumId w:val="67"/>
  </w:num>
  <w:num w:numId="22" w16cid:durableId="1102653255">
    <w:abstractNumId w:val="6"/>
  </w:num>
  <w:num w:numId="23" w16cid:durableId="439374312">
    <w:abstractNumId w:val="17"/>
  </w:num>
  <w:num w:numId="24" w16cid:durableId="1252856247">
    <w:abstractNumId w:val="38"/>
  </w:num>
  <w:num w:numId="25" w16cid:durableId="2024277658">
    <w:abstractNumId w:val="62"/>
  </w:num>
  <w:num w:numId="26" w16cid:durableId="1798454845">
    <w:abstractNumId w:val="70"/>
  </w:num>
  <w:num w:numId="27" w16cid:durableId="540215885">
    <w:abstractNumId w:val="42"/>
  </w:num>
  <w:num w:numId="28" w16cid:durableId="379399946">
    <w:abstractNumId w:val="51"/>
  </w:num>
  <w:num w:numId="29" w16cid:durableId="1279487558">
    <w:abstractNumId w:val="25"/>
  </w:num>
  <w:num w:numId="30" w16cid:durableId="1994873250">
    <w:abstractNumId w:val="57"/>
  </w:num>
  <w:num w:numId="31" w16cid:durableId="1408962159">
    <w:abstractNumId w:val="61"/>
  </w:num>
  <w:num w:numId="32" w16cid:durableId="1641761109">
    <w:abstractNumId w:val="1"/>
  </w:num>
  <w:num w:numId="33" w16cid:durableId="2108647822">
    <w:abstractNumId w:val="41"/>
  </w:num>
  <w:num w:numId="34" w16cid:durableId="2008360120">
    <w:abstractNumId w:val="60"/>
  </w:num>
  <w:num w:numId="35" w16cid:durableId="1343166156">
    <w:abstractNumId w:val="49"/>
  </w:num>
  <w:num w:numId="36" w16cid:durableId="91437508">
    <w:abstractNumId w:val="37"/>
  </w:num>
  <w:num w:numId="37" w16cid:durableId="1804350459">
    <w:abstractNumId w:val="46"/>
  </w:num>
  <w:num w:numId="38" w16cid:durableId="1657495523">
    <w:abstractNumId w:val="18"/>
  </w:num>
  <w:num w:numId="39" w16cid:durableId="231232652">
    <w:abstractNumId w:val="31"/>
  </w:num>
  <w:num w:numId="40" w16cid:durableId="1382679388">
    <w:abstractNumId w:val="33"/>
  </w:num>
  <w:num w:numId="41" w16cid:durableId="2056268484">
    <w:abstractNumId w:val="68"/>
  </w:num>
  <w:num w:numId="42" w16cid:durableId="528227470">
    <w:abstractNumId w:val="59"/>
  </w:num>
  <w:num w:numId="43" w16cid:durableId="798449793">
    <w:abstractNumId w:val="71"/>
  </w:num>
  <w:num w:numId="44" w16cid:durableId="763232337">
    <w:abstractNumId w:val="2"/>
  </w:num>
  <w:num w:numId="45" w16cid:durableId="1197086289">
    <w:abstractNumId w:val="53"/>
  </w:num>
  <w:num w:numId="46" w16cid:durableId="624654846">
    <w:abstractNumId w:val="66"/>
  </w:num>
  <w:num w:numId="47" w16cid:durableId="565918910">
    <w:abstractNumId w:val="69"/>
  </w:num>
  <w:num w:numId="48" w16cid:durableId="1864853456">
    <w:abstractNumId w:val="15"/>
  </w:num>
  <w:num w:numId="49" w16cid:durableId="1884243682">
    <w:abstractNumId w:val="16"/>
  </w:num>
  <w:num w:numId="50" w16cid:durableId="1678072579">
    <w:abstractNumId w:val="48"/>
  </w:num>
  <w:num w:numId="51" w16cid:durableId="652829604">
    <w:abstractNumId w:val="35"/>
  </w:num>
  <w:num w:numId="52" w16cid:durableId="1612937654">
    <w:abstractNumId w:val="74"/>
  </w:num>
  <w:num w:numId="53" w16cid:durableId="1590189971">
    <w:abstractNumId w:val="9"/>
  </w:num>
  <w:num w:numId="54" w16cid:durableId="328873327">
    <w:abstractNumId w:val="27"/>
  </w:num>
  <w:num w:numId="55" w16cid:durableId="54671697">
    <w:abstractNumId w:val="40"/>
  </w:num>
  <w:num w:numId="56" w16cid:durableId="846940675">
    <w:abstractNumId w:val="52"/>
  </w:num>
  <w:num w:numId="57" w16cid:durableId="1356689812">
    <w:abstractNumId w:val="63"/>
  </w:num>
  <w:num w:numId="58" w16cid:durableId="1357923807">
    <w:abstractNumId w:val="26"/>
  </w:num>
  <w:num w:numId="59" w16cid:durableId="1210727752">
    <w:abstractNumId w:val="30"/>
  </w:num>
  <w:num w:numId="60" w16cid:durableId="17781563">
    <w:abstractNumId w:val="45"/>
  </w:num>
  <w:num w:numId="61" w16cid:durableId="969944176">
    <w:abstractNumId w:val="4"/>
  </w:num>
  <w:num w:numId="62" w16cid:durableId="17393630">
    <w:abstractNumId w:val="73"/>
  </w:num>
  <w:num w:numId="63" w16cid:durableId="1643733981">
    <w:abstractNumId w:val="44"/>
  </w:num>
  <w:num w:numId="64" w16cid:durableId="997155044">
    <w:abstractNumId w:val="55"/>
  </w:num>
  <w:num w:numId="65" w16cid:durableId="1677339347">
    <w:abstractNumId w:val="21"/>
  </w:num>
  <w:num w:numId="66" w16cid:durableId="257562075">
    <w:abstractNumId w:val="14"/>
  </w:num>
  <w:num w:numId="67" w16cid:durableId="42825939">
    <w:abstractNumId w:val="76"/>
  </w:num>
  <w:num w:numId="68" w16cid:durableId="227420115">
    <w:abstractNumId w:val="10"/>
  </w:num>
  <w:num w:numId="69" w16cid:durableId="1763061400">
    <w:abstractNumId w:val="64"/>
  </w:num>
  <w:num w:numId="70" w16cid:durableId="738791852">
    <w:abstractNumId w:val="50"/>
  </w:num>
  <w:num w:numId="71" w16cid:durableId="1758819646">
    <w:abstractNumId w:val="36"/>
  </w:num>
  <w:num w:numId="72" w16cid:durableId="2075659918">
    <w:abstractNumId w:val="12"/>
  </w:num>
  <w:num w:numId="73" w16cid:durableId="1462193414">
    <w:abstractNumId w:val="5"/>
  </w:num>
  <w:num w:numId="74" w16cid:durableId="275217649">
    <w:abstractNumId w:val="19"/>
  </w:num>
  <w:num w:numId="75" w16cid:durableId="146744641">
    <w:abstractNumId w:val="56"/>
  </w:num>
  <w:num w:numId="76" w16cid:durableId="706754877">
    <w:abstractNumId w:val="47"/>
  </w:num>
  <w:num w:numId="77" w16cid:durableId="674723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D7430"/>
    <w:rsid w:val="000F51ED"/>
    <w:rsid w:val="0016783D"/>
    <w:rsid w:val="00182D2F"/>
    <w:rsid w:val="001C602A"/>
    <w:rsid w:val="001D212E"/>
    <w:rsid w:val="00282258"/>
    <w:rsid w:val="002C1148"/>
    <w:rsid w:val="003214E0"/>
    <w:rsid w:val="00345189"/>
    <w:rsid w:val="0035580D"/>
    <w:rsid w:val="003B14FC"/>
    <w:rsid w:val="00444B1B"/>
    <w:rsid w:val="0044730B"/>
    <w:rsid w:val="00466565"/>
    <w:rsid w:val="005947E9"/>
    <w:rsid w:val="005E6C9E"/>
    <w:rsid w:val="00602424"/>
    <w:rsid w:val="00667167"/>
    <w:rsid w:val="006E1D97"/>
    <w:rsid w:val="006E2213"/>
    <w:rsid w:val="007C56D2"/>
    <w:rsid w:val="00926566"/>
    <w:rsid w:val="009D6DE6"/>
    <w:rsid w:val="00A36C43"/>
    <w:rsid w:val="00A77E76"/>
    <w:rsid w:val="00A93A50"/>
    <w:rsid w:val="00AD0AB3"/>
    <w:rsid w:val="00B01E41"/>
    <w:rsid w:val="00B37871"/>
    <w:rsid w:val="00B4052A"/>
    <w:rsid w:val="00BB7720"/>
    <w:rsid w:val="00C178EB"/>
    <w:rsid w:val="00C7158D"/>
    <w:rsid w:val="00CC3173"/>
    <w:rsid w:val="00CC4A5C"/>
    <w:rsid w:val="00CF6697"/>
    <w:rsid w:val="00D46F35"/>
    <w:rsid w:val="00DD1320"/>
    <w:rsid w:val="00DE6118"/>
    <w:rsid w:val="00E15208"/>
    <w:rsid w:val="00E50650"/>
    <w:rsid w:val="00E56275"/>
    <w:rsid w:val="00E66270"/>
    <w:rsid w:val="00E74C6C"/>
    <w:rsid w:val="00EC1D63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3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34</cp:revision>
  <dcterms:created xsi:type="dcterms:W3CDTF">2025-01-09T11:08:00Z</dcterms:created>
  <dcterms:modified xsi:type="dcterms:W3CDTF">2025-04-25T15:08:00Z</dcterms:modified>
</cp:coreProperties>
</file>