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6515D" w14:textId="77777777" w:rsidR="00F77505" w:rsidRPr="00063559" w:rsidRDefault="00F77505" w:rsidP="00F77505">
      <w:pPr>
        <w:pStyle w:val="Titre1"/>
        <w:jc w:val="both"/>
        <w:rPr>
          <w:rFonts w:cs="Segoe UI"/>
        </w:rPr>
      </w:pPr>
      <w:bookmarkStart w:id="0" w:name="_Toc195168714"/>
      <w:r w:rsidRPr="00063559">
        <w:rPr>
          <w:rFonts w:cs="Segoe UI"/>
        </w:rPr>
        <w:t>Contexte et objectif</w:t>
      </w:r>
      <w:bookmarkEnd w:id="0"/>
    </w:p>
    <w:p w14:paraId="6C0C1CEC" w14:textId="77777777" w:rsidR="00F77505" w:rsidRDefault="00F77505" w:rsidP="00F77505">
      <w:pPr>
        <w:jc w:val="both"/>
        <w:rPr>
          <w:b/>
          <w:bCs/>
        </w:rPr>
      </w:pPr>
      <w:r w:rsidRPr="00ED763D">
        <w:rPr>
          <w:b/>
          <w:bCs/>
        </w:rPr>
        <w:t>Contexte</w:t>
      </w:r>
    </w:p>
    <w:p w14:paraId="27BE7628" w14:textId="77777777" w:rsidR="00F77505" w:rsidRPr="005B2F44" w:rsidRDefault="00F77505" w:rsidP="00F77505">
      <w:pPr>
        <w:jc w:val="both"/>
      </w:pPr>
      <w:r w:rsidRPr="005B2F44">
        <w:t>Le projet vise à automatiser la production des datapacks utilisés pour la titrisation synthétique, afin de répondre aux exigences réglementaires et de fournir des données fiables aux investisseurs. Des problèmes actuels incluent des erreurs dans l’identification des entités, des incohérences de segmentation, un taux élevé de données manquantes et la présence d’</w:t>
      </w:r>
      <w:proofErr w:type="spellStart"/>
      <w:r w:rsidRPr="005B2F44">
        <w:t>outliers</w:t>
      </w:r>
      <w:proofErr w:type="spellEnd"/>
      <w:r w:rsidRPr="005B2F44">
        <w:t>.</w:t>
      </w:r>
    </w:p>
    <w:p w14:paraId="50C7B013" w14:textId="77777777" w:rsidR="00F77505" w:rsidRPr="00ED763D" w:rsidRDefault="00F77505" w:rsidP="00F77505">
      <w:pPr>
        <w:rPr>
          <w:b/>
          <w:bCs/>
        </w:rPr>
      </w:pPr>
      <w:r>
        <w:rPr>
          <w:b/>
          <w:bCs/>
        </w:rPr>
        <w:t>Objectifs</w:t>
      </w:r>
    </w:p>
    <w:p w14:paraId="17BAB70D" w14:textId="77777777" w:rsidR="00F77505" w:rsidRDefault="00F77505" w:rsidP="00F77505">
      <w:r w:rsidRPr="00667BD0">
        <w:t>Automatiser la collecte, le traitement et la production des indicateurs et datapacks, ainsi que la réalisation d’analyses de gap (comparaison entre résultats N et N-1). Le périmètre wholesale (gammes RACER et JUNON) est priorisé.</w:t>
      </w:r>
    </w:p>
    <w:p w14:paraId="710D21A5" w14:textId="77777777" w:rsidR="00F77505" w:rsidRDefault="00F77505" w:rsidP="00F77505">
      <w:r w:rsidRPr="00022083">
        <w:rPr>
          <w:b/>
          <w:bCs/>
        </w:rPr>
        <w:t>Cible</w:t>
      </w:r>
      <w:r>
        <w:rPr>
          <w:b/>
          <w:bCs/>
        </w:rPr>
        <w:t xml:space="preserve"> </w:t>
      </w:r>
    </w:p>
    <w:p w14:paraId="1FD0B26D" w14:textId="77777777" w:rsidR="00F77505" w:rsidRDefault="00F77505" w:rsidP="00F77505">
      <w:pPr>
        <w:jc w:val="both"/>
      </w:pPr>
      <w:r w:rsidRPr="00A00E85">
        <w:t xml:space="preserve">Utilisation d’un environnement de données </w:t>
      </w:r>
      <w:r>
        <w:t xml:space="preserve">fiable </w:t>
      </w:r>
      <w:r w:rsidRPr="00A00E85">
        <w:t xml:space="preserve">(UV MOD) et d’une solution basée sur Python/PySpark, intégrant les évolutions structurelles (nouvelle segmentation </w:t>
      </w:r>
      <w:r w:rsidRPr="009006E3">
        <w:t>IFRS9</w:t>
      </w:r>
      <w:r>
        <w:rPr>
          <w:rStyle w:val="Appelnotedebasdep"/>
        </w:rPr>
        <w:footnoteReference w:id="1"/>
      </w:r>
      <w:r>
        <w:t xml:space="preserve">, </w:t>
      </w:r>
      <w:r w:rsidRPr="00A00E85">
        <w:t>fusion des périmètres CDN et BDDF, nouveaux modèles PD, LGD, EAD).</w:t>
      </w:r>
    </w:p>
    <w:p w14:paraId="2459C043" w14:textId="77777777" w:rsidR="00F77505" w:rsidRDefault="00F77505" w:rsidP="00F77505">
      <w:pPr>
        <w:pStyle w:val="Titre1"/>
      </w:pPr>
      <w:bookmarkStart w:id="1" w:name="_Toc195090982"/>
      <w:bookmarkStart w:id="2" w:name="_Toc195168715"/>
      <w:r w:rsidRPr="00FE415E">
        <w:t>Rappel des Indicateurs</w:t>
      </w:r>
      <w:bookmarkEnd w:id="1"/>
      <w:bookmarkEnd w:id="2"/>
    </w:p>
    <w:p w14:paraId="22319AD1" w14:textId="77777777" w:rsidR="00F77505" w:rsidRDefault="00F77505" w:rsidP="00F77505">
      <w:pPr>
        <w:pStyle w:val="Titre2"/>
        <w:numPr>
          <w:ilvl w:val="0"/>
          <w:numId w:val="16"/>
        </w:numPr>
        <w:tabs>
          <w:tab w:val="num" w:pos="284"/>
          <w:tab w:val="num" w:pos="360"/>
        </w:tabs>
        <w:ind w:left="1077" w:hanging="357"/>
      </w:pPr>
      <w:bookmarkStart w:id="3" w:name="_Toc195090983"/>
      <w:bookmarkStart w:id="4" w:name="_Toc195168716"/>
      <w:r w:rsidRPr="00F46478">
        <w:t>Matrices de transition estimées sur un an (</w:t>
      </w:r>
      <w:proofErr w:type="spellStart"/>
      <w:r w:rsidRPr="00F46478">
        <w:t>Average</w:t>
      </w:r>
      <w:proofErr w:type="spellEnd"/>
      <w:r w:rsidRPr="00F46478">
        <w:t xml:space="preserve"> One-</w:t>
      </w:r>
      <w:proofErr w:type="spellStart"/>
      <w:r w:rsidRPr="00F46478">
        <w:t>Year</w:t>
      </w:r>
      <w:proofErr w:type="spellEnd"/>
      <w:r w:rsidRPr="00F46478">
        <w:t xml:space="preserve"> </w:t>
      </w:r>
      <w:proofErr w:type="spellStart"/>
      <w:r w:rsidRPr="00F46478">
        <w:t>Estimated</w:t>
      </w:r>
      <w:proofErr w:type="spellEnd"/>
      <w:r w:rsidRPr="00F46478">
        <w:t xml:space="preserve"> Transition Matrices)</w:t>
      </w:r>
      <w:bookmarkEnd w:id="3"/>
      <w:bookmarkEnd w:id="4"/>
    </w:p>
    <w:p w14:paraId="640CFA8C" w14:textId="77777777" w:rsidR="00F77505" w:rsidRPr="00725D2E" w:rsidRDefault="00F77505" w:rsidP="00F77505">
      <w:pPr>
        <w:jc w:val="both"/>
      </w:pPr>
      <w:r w:rsidRPr="00725D2E">
        <w:t>Les matrices de transition sont utilisées dans le cadre de la calibration IFRS 9 des provisions comptables. Elles reflètent les transitions de notation interne des portefeuilles SME et LC sur une période d’un an, en moyenne sur la période considérée.</w:t>
      </w:r>
    </w:p>
    <w:p w14:paraId="60F4B6A8" w14:textId="77777777" w:rsidR="00F77505" w:rsidRPr="008E5BA4" w:rsidRDefault="00F77505" w:rsidP="00F77505">
      <w:pPr>
        <w:pStyle w:val="Paragraphedeliste"/>
        <w:numPr>
          <w:ilvl w:val="0"/>
          <w:numId w:val="18"/>
        </w:numPr>
        <w:jc w:val="both"/>
      </w:pPr>
      <w:r w:rsidRPr="008E5BA4">
        <w:t>Pour RACER 3, la période de référence est T4 2007 à T3 2021.</w:t>
      </w:r>
    </w:p>
    <w:p w14:paraId="27103728" w14:textId="77777777" w:rsidR="00F77505" w:rsidRPr="008E5BA4" w:rsidRDefault="00F77505" w:rsidP="00F77505">
      <w:pPr>
        <w:pStyle w:val="Paragraphedeliste"/>
        <w:numPr>
          <w:ilvl w:val="0"/>
          <w:numId w:val="18"/>
        </w:numPr>
        <w:jc w:val="both"/>
      </w:pPr>
      <w:r w:rsidRPr="008E5BA4">
        <w:t>La définition du défaut utilisée est celle de Bâle (article 178 CRR), appliquée dans les systèmes internes de SG. Le défaut correspond à une notation interne de 8, 9 ou 10.</w:t>
      </w:r>
    </w:p>
    <w:p w14:paraId="3420B121" w14:textId="77777777" w:rsidR="00F77505" w:rsidRPr="008E5BA4" w:rsidRDefault="00F77505" w:rsidP="00F77505">
      <w:pPr>
        <w:pStyle w:val="Paragraphedeliste"/>
        <w:numPr>
          <w:ilvl w:val="0"/>
          <w:numId w:val="18"/>
        </w:numPr>
        <w:jc w:val="both"/>
      </w:pPr>
      <w:r w:rsidRPr="008E5BA4">
        <w:t>Les matrices présentent, pour les segments SME et LC, le pourcentage annuel moyen de transitions par nombre de contreparties (hors transitions vers des contreparties non notées).</w:t>
      </w:r>
    </w:p>
    <w:p w14:paraId="65381049" w14:textId="77777777" w:rsidR="00F77505" w:rsidRPr="00725D2E" w:rsidRDefault="00F77505" w:rsidP="00F77505">
      <w:pPr>
        <w:jc w:val="both"/>
      </w:pPr>
      <w:r w:rsidRPr="00725D2E">
        <w:t>Chaque matrice montre :</w:t>
      </w:r>
    </w:p>
    <w:p w14:paraId="32D59D6F" w14:textId="77777777" w:rsidR="00F77505" w:rsidRPr="008E5BA4" w:rsidRDefault="00F77505" w:rsidP="00F77505">
      <w:pPr>
        <w:pStyle w:val="Paragraphedeliste"/>
        <w:numPr>
          <w:ilvl w:val="0"/>
          <w:numId w:val="17"/>
        </w:numPr>
        <w:jc w:val="both"/>
      </w:pPr>
      <w:r w:rsidRPr="008E5BA4">
        <w:t>En ligne : la notation à la date d’observation initiale ;</w:t>
      </w:r>
    </w:p>
    <w:p w14:paraId="480567CB" w14:textId="77777777" w:rsidR="00F77505" w:rsidRPr="008E5BA4" w:rsidRDefault="00F77505" w:rsidP="00F77505">
      <w:pPr>
        <w:pStyle w:val="Paragraphedeliste"/>
        <w:numPr>
          <w:ilvl w:val="0"/>
          <w:numId w:val="17"/>
        </w:numPr>
        <w:jc w:val="both"/>
      </w:pPr>
      <w:r w:rsidRPr="008E5BA4">
        <w:t>En colonne : la notation après un an ;</w:t>
      </w:r>
    </w:p>
    <w:p w14:paraId="126BA0A1" w14:textId="77777777" w:rsidR="00F77505" w:rsidRPr="008E5BA4" w:rsidRDefault="00F77505" w:rsidP="00F77505">
      <w:pPr>
        <w:pStyle w:val="Paragraphedeliste"/>
        <w:numPr>
          <w:ilvl w:val="0"/>
          <w:numId w:val="17"/>
        </w:numPr>
        <w:jc w:val="both"/>
      </w:pPr>
      <w:r w:rsidRPr="008E5BA4">
        <w:t>Les notations vont de 1 à 20 (1 étant défaut) et correspondent aux notations internes</w:t>
      </w:r>
    </w:p>
    <w:p w14:paraId="45FDF7B6" w14:textId="77777777" w:rsidR="00F77505" w:rsidRPr="008E5BA4" w:rsidRDefault="00F77505" w:rsidP="00F77505">
      <w:pPr>
        <w:jc w:val="both"/>
      </w:pPr>
      <w:r w:rsidRPr="008E5BA4">
        <w:lastRenderedPageBreak/>
        <w:t>Veuillez noter que la taille de l’échantillon d’observation est plus faible pour les notations plus élevées.</w:t>
      </w:r>
    </w:p>
    <w:p w14:paraId="3B14D5F0" w14:textId="77777777" w:rsidR="00F77505" w:rsidRDefault="00F77505" w:rsidP="00F77505">
      <w:pPr>
        <w:pStyle w:val="Titre2"/>
        <w:numPr>
          <w:ilvl w:val="0"/>
          <w:numId w:val="16"/>
        </w:numPr>
        <w:tabs>
          <w:tab w:val="num" w:pos="284"/>
          <w:tab w:val="num" w:pos="360"/>
        </w:tabs>
        <w:ind w:left="1077" w:hanging="357"/>
      </w:pPr>
      <w:bookmarkStart w:id="5" w:name="_Toc195090984"/>
      <w:bookmarkStart w:id="6" w:name="_Toc195168717"/>
      <w:r w:rsidRPr="0085546D">
        <w:t>Matrices de transition estimées sur cinq ans (</w:t>
      </w:r>
      <w:proofErr w:type="spellStart"/>
      <w:r w:rsidRPr="0085546D">
        <w:t>Average</w:t>
      </w:r>
      <w:proofErr w:type="spellEnd"/>
      <w:r w:rsidRPr="0085546D">
        <w:t xml:space="preserve"> Five-</w:t>
      </w:r>
      <w:proofErr w:type="spellStart"/>
      <w:r w:rsidRPr="0085546D">
        <w:t>Year</w:t>
      </w:r>
      <w:proofErr w:type="spellEnd"/>
      <w:r w:rsidRPr="0085546D">
        <w:t xml:space="preserve"> </w:t>
      </w:r>
      <w:proofErr w:type="spellStart"/>
      <w:r w:rsidRPr="0085546D">
        <w:t>Estimated</w:t>
      </w:r>
      <w:proofErr w:type="spellEnd"/>
      <w:r w:rsidRPr="0085546D">
        <w:t xml:space="preserve"> Transition Matrices)</w:t>
      </w:r>
      <w:bookmarkEnd w:id="5"/>
      <w:bookmarkEnd w:id="6"/>
    </w:p>
    <w:p w14:paraId="29602358" w14:textId="77777777" w:rsidR="00F77505" w:rsidRDefault="00F77505" w:rsidP="00F77505">
      <w:r>
        <w:t>Des matrices de transition sont également fournies pour chaque segment (SME et LC) sur un horizon de cinq ans. Elles présentent les taux de transition moyens estimés sur cet horizon pour la période considérée.</w:t>
      </w:r>
    </w:p>
    <w:p w14:paraId="6838A190" w14:textId="77777777" w:rsidR="00F77505" w:rsidRDefault="00F77505" w:rsidP="00F77505">
      <w:pPr>
        <w:pStyle w:val="Titre2"/>
        <w:numPr>
          <w:ilvl w:val="0"/>
          <w:numId w:val="16"/>
        </w:numPr>
        <w:tabs>
          <w:tab w:val="num" w:pos="284"/>
          <w:tab w:val="num" w:pos="360"/>
        </w:tabs>
        <w:ind w:left="1077" w:hanging="357"/>
      </w:pPr>
      <w:bookmarkStart w:id="7" w:name="_Toc195090985"/>
      <w:bookmarkStart w:id="8" w:name="_Toc195168718"/>
      <w:r w:rsidRPr="004431E3">
        <w:t>Matrices de transition observées sur un an (One-</w:t>
      </w:r>
      <w:proofErr w:type="spellStart"/>
      <w:r w:rsidRPr="004431E3">
        <w:t>Year</w:t>
      </w:r>
      <w:proofErr w:type="spellEnd"/>
      <w:r w:rsidRPr="004431E3">
        <w:t xml:space="preserve"> </w:t>
      </w:r>
      <w:proofErr w:type="spellStart"/>
      <w:r w:rsidRPr="004431E3">
        <w:t>Observed</w:t>
      </w:r>
      <w:proofErr w:type="spellEnd"/>
      <w:r w:rsidRPr="004431E3">
        <w:t xml:space="preserve"> Transition Matrices)</w:t>
      </w:r>
      <w:bookmarkEnd w:id="7"/>
      <w:bookmarkEnd w:id="8"/>
    </w:p>
    <w:p w14:paraId="5F9AECCC" w14:textId="77777777" w:rsidR="00F77505" w:rsidRPr="008E5BA4" w:rsidRDefault="00F77505" w:rsidP="00F77505">
      <w:pPr>
        <w:jc w:val="both"/>
      </w:pPr>
      <w:r w:rsidRPr="008E5BA4">
        <w:t>En complément des matrices estimées, des matrices de transition observées annuellement sont calculées pour chaque année de la période disponible.</w:t>
      </w:r>
    </w:p>
    <w:p w14:paraId="557B45FE" w14:textId="77777777" w:rsidR="00F77505" w:rsidRPr="008E5BA4" w:rsidRDefault="00F77505" w:rsidP="00F77505">
      <w:pPr>
        <w:jc w:val="both"/>
      </w:pPr>
      <w:r w:rsidRPr="008E5BA4">
        <w:t>Par exemple, si la période couvre 10 années, alors 10 matrices de transition observées (une par année) doivent être fournies.</w:t>
      </w:r>
    </w:p>
    <w:p w14:paraId="75391316" w14:textId="77777777" w:rsidR="00F77505" w:rsidRPr="008E5BA4" w:rsidRDefault="00F77505" w:rsidP="00F77505">
      <w:pPr>
        <w:jc w:val="both"/>
      </w:pPr>
      <w:r w:rsidRPr="008E5BA4">
        <w:t>Ces matrices permettent de comparer les données réelles observées à celles estimées et d’analyser la stabilité des transitions dans le temps.</w:t>
      </w:r>
    </w:p>
    <w:p w14:paraId="299E2FD3" w14:textId="77777777" w:rsidR="00F77505" w:rsidRPr="00192B11" w:rsidRDefault="00F77505" w:rsidP="00F77505">
      <w:pPr>
        <w:pStyle w:val="Titre2"/>
        <w:numPr>
          <w:ilvl w:val="0"/>
          <w:numId w:val="16"/>
        </w:numPr>
        <w:tabs>
          <w:tab w:val="num" w:pos="284"/>
          <w:tab w:val="num" w:pos="360"/>
        </w:tabs>
        <w:ind w:left="1077" w:hanging="357"/>
      </w:pPr>
      <w:bookmarkStart w:id="9" w:name="_Toc195090986"/>
      <w:bookmarkStart w:id="10" w:name="_Toc195168719"/>
      <w:r w:rsidRPr="000716A8">
        <w:rPr>
          <w:b/>
          <w:bCs/>
        </w:rPr>
        <w:t>Taux de défaut cumulés moyens par millésime d'origine (</w:t>
      </w:r>
      <w:proofErr w:type="spellStart"/>
      <w:r w:rsidRPr="000716A8">
        <w:rPr>
          <w:b/>
          <w:bCs/>
        </w:rPr>
        <w:t>Average</w:t>
      </w:r>
      <w:proofErr w:type="spellEnd"/>
      <w:r w:rsidRPr="000716A8">
        <w:rPr>
          <w:b/>
          <w:bCs/>
        </w:rPr>
        <w:t xml:space="preserve"> Cumulative Default Rates by Origination Vintage, by </w:t>
      </w:r>
      <w:proofErr w:type="spellStart"/>
      <w:r w:rsidRPr="000716A8">
        <w:rPr>
          <w:b/>
          <w:bCs/>
        </w:rPr>
        <w:t>Number</w:t>
      </w:r>
      <w:proofErr w:type="spellEnd"/>
      <w:r w:rsidRPr="000716A8">
        <w:rPr>
          <w:b/>
          <w:bCs/>
        </w:rPr>
        <w:t xml:space="preserve"> of </w:t>
      </w:r>
      <w:proofErr w:type="spellStart"/>
      <w:r w:rsidRPr="000716A8">
        <w:rPr>
          <w:b/>
          <w:bCs/>
        </w:rPr>
        <w:t>Loans</w:t>
      </w:r>
      <w:proofErr w:type="spellEnd"/>
      <w:r w:rsidRPr="000716A8">
        <w:rPr>
          <w:b/>
          <w:bCs/>
        </w:rPr>
        <w:t>)</w:t>
      </w:r>
      <w:bookmarkEnd w:id="9"/>
      <w:bookmarkEnd w:id="10"/>
    </w:p>
    <w:p w14:paraId="349D7CCE" w14:textId="77777777" w:rsidR="00F77505" w:rsidRPr="000716A8" w:rsidRDefault="00F77505" w:rsidP="00F77505">
      <w:pPr>
        <w:jc w:val="both"/>
      </w:pPr>
      <w:r w:rsidRPr="000716A8">
        <w:t>Ces taux sont fournis pour les segments SME et LC. Ils correspondent aux taux de défaut cumulés historiques ventilés par année d'origine des prêts sur la période considérée (de 2008 à 2021 pour RACER 3).</w:t>
      </w:r>
    </w:p>
    <w:p w14:paraId="18C9CBCC" w14:textId="77777777" w:rsidR="00F77505" w:rsidRPr="000716A8" w:rsidRDefault="00F77505" w:rsidP="00F77505">
      <w:pPr>
        <w:jc w:val="both"/>
      </w:pPr>
      <w:r w:rsidRPr="000716A8">
        <w:t xml:space="preserve">Le taux est exprimé en nombre de prêts : il représente le nombre de prêts en défaut après </w:t>
      </w:r>
      <w:r w:rsidRPr="000716A8">
        <w:rPr>
          <w:i/>
          <w:iCs/>
        </w:rPr>
        <w:t>X</w:t>
      </w:r>
      <w:r w:rsidRPr="000716A8">
        <w:t xml:space="preserve"> trimestres rapporté au nombre total de prêts </w:t>
      </w:r>
      <w:proofErr w:type="spellStart"/>
      <w:r w:rsidRPr="000716A8">
        <w:t>originés</w:t>
      </w:r>
      <w:proofErr w:type="spellEnd"/>
      <w:r w:rsidRPr="000716A8">
        <w:t xml:space="preserve"> durant l’année concernée.</w:t>
      </w:r>
    </w:p>
    <w:p w14:paraId="109C063D" w14:textId="77777777" w:rsidR="00F77505" w:rsidRPr="000716A8" w:rsidRDefault="00F77505" w:rsidP="00F77505">
      <w:pPr>
        <w:jc w:val="both"/>
      </w:pPr>
      <w:r w:rsidRPr="000716A8">
        <w:t>L’ensemble des résultats est segmenté par type de portefeuille Bâle :</w:t>
      </w:r>
    </w:p>
    <w:p w14:paraId="4CA7FD52" w14:textId="77777777" w:rsidR="00F77505" w:rsidRPr="008E5BA4" w:rsidRDefault="00F77505" w:rsidP="00F77505">
      <w:pPr>
        <w:pStyle w:val="Paragraphedeliste"/>
        <w:numPr>
          <w:ilvl w:val="0"/>
          <w:numId w:val="19"/>
        </w:numPr>
        <w:jc w:val="both"/>
      </w:pPr>
      <w:r w:rsidRPr="008E5BA4">
        <w:t>P5 – SME</w:t>
      </w:r>
    </w:p>
    <w:p w14:paraId="63ADFE3D" w14:textId="77777777" w:rsidR="00F77505" w:rsidRPr="008E5BA4" w:rsidRDefault="00F77505" w:rsidP="00F77505">
      <w:pPr>
        <w:pStyle w:val="Paragraphedeliste"/>
        <w:numPr>
          <w:ilvl w:val="0"/>
          <w:numId w:val="19"/>
        </w:numPr>
        <w:jc w:val="both"/>
      </w:pPr>
      <w:r w:rsidRPr="008E5BA4">
        <w:t>P4 – LC</w:t>
      </w:r>
    </w:p>
    <w:p w14:paraId="24FF66FE" w14:textId="77777777" w:rsidR="00F77505" w:rsidRPr="000716A8" w:rsidRDefault="00F77505" w:rsidP="00F77505">
      <w:pPr>
        <w:jc w:val="both"/>
      </w:pPr>
      <w:r w:rsidRPr="000716A8">
        <w:t>Puis, une ventilation par tranche de notation interne est appliquée :</w:t>
      </w:r>
    </w:p>
    <w:p w14:paraId="751EE946" w14:textId="77777777" w:rsidR="00F77505" w:rsidRPr="008E5BA4" w:rsidRDefault="00F77505" w:rsidP="00F77505">
      <w:pPr>
        <w:pStyle w:val="Paragraphedeliste"/>
        <w:numPr>
          <w:ilvl w:val="0"/>
          <w:numId w:val="20"/>
        </w:numPr>
        <w:jc w:val="both"/>
      </w:pPr>
      <w:r w:rsidRPr="008E5BA4">
        <w:t>Toutes notations agrégées</w:t>
      </w:r>
    </w:p>
    <w:p w14:paraId="3DE81BD0" w14:textId="77777777" w:rsidR="00F77505" w:rsidRPr="008E5BA4" w:rsidRDefault="00F77505" w:rsidP="00F77505">
      <w:pPr>
        <w:pStyle w:val="Paragraphedeliste"/>
        <w:numPr>
          <w:ilvl w:val="0"/>
          <w:numId w:val="20"/>
        </w:numPr>
        <w:jc w:val="both"/>
      </w:pPr>
      <w:r w:rsidRPr="008E5BA4">
        <w:t>[1 à 3−]</w:t>
      </w:r>
    </w:p>
    <w:p w14:paraId="0C7FDE4C" w14:textId="77777777" w:rsidR="00F77505" w:rsidRPr="008E5BA4" w:rsidRDefault="00F77505" w:rsidP="00F77505">
      <w:pPr>
        <w:pStyle w:val="Paragraphedeliste"/>
        <w:numPr>
          <w:ilvl w:val="0"/>
          <w:numId w:val="20"/>
        </w:numPr>
        <w:jc w:val="both"/>
      </w:pPr>
      <w:r w:rsidRPr="008E5BA4">
        <w:t>[4+ à 5−]</w:t>
      </w:r>
    </w:p>
    <w:p w14:paraId="207FB405" w14:textId="77777777" w:rsidR="00F77505" w:rsidRPr="008E5BA4" w:rsidRDefault="00F77505" w:rsidP="00F77505">
      <w:pPr>
        <w:pStyle w:val="Paragraphedeliste"/>
        <w:numPr>
          <w:ilvl w:val="0"/>
          <w:numId w:val="20"/>
        </w:numPr>
        <w:jc w:val="both"/>
      </w:pPr>
      <w:r w:rsidRPr="008E5BA4">
        <w:t>[6+ à 7−]</w:t>
      </w:r>
    </w:p>
    <w:p w14:paraId="5E29F650" w14:textId="77777777" w:rsidR="00F77505" w:rsidRPr="00323670" w:rsidRDefault="00F77505" w:rsidP="00F77505">
      <w:pPr>
        <w:pStyle w:val="Titre2"/>
        <w:numPr>
          <w:ilvl w:val="0"/>
          <w:numId w:val="16"/>
        </w:numPr>
        <w:tabs>
          <w:tab w:val="num" w:pos="284"/>
          <w:tab w:val="num" w:pos="360"/>
        </w:tabs>
        <w:ind w:left="340" w:hanging="227"/>
        <w:rPr>
          <w:b/>
          <w:bCs/>
        </w:rPr>
      </w:pPr>
      <w:bookmarkStart w:id="11" w:name="_Toc195090987"/>
      <w:bookmarkStart w:id="12" w:name="_Toc195168720"/>
      <w:r w:rsidRPr="00323670">
        <w:rPr>
          <w:b/>
          <w:bCs/>
        </w:rPr>
        <w:lastRenderedPageBreak/>
        <w:t>Taux de défaut cumulés moyens par millésime d'origine, par montant (</w:t>
      </w:r>
      <w:proofErr w:type="spellStart"/>
      <w:r w:rsidRPr="00323670">
        <w:rPr>
          <w:b/>
          <w:bCs/>
        </w:rPr>
        <w:t>Average</w:t>
      </w:r>
      <w:proofErr w:type="spellEnd"/>
      <w:r w:rsidRPr="00323670">
        <w:rPr>
          <w:b/>
          <w:bCs/>
        </w:rPr>
        <w:t xml:space="preserve"> Cumulative Default Rates by Origination Vintage, by </w:t>
      </w:r>
      <w:proofErr w:type="spellStart"/>
      <w:r w:rsidRPr="00323670">
        <w:rPr>
          <w:b/>
          <w:bCs/>
        </w:rPr>
        <w:t>Amount</w:t>
      </w:r>
      <w:proofErr w:type="spellEnd"/>
      <w:r w:rsidRPr="00323670">
        <w:rPr>
          <w:b/>
          <w:bCs/>
        </w:rPr>
        <w:t>)</w:t>
      </w:r>
      <w:bookmarkEnd w:id="11"/>
      <w:bookmarkEnd w:id="12"/>
    </w:p>
    <w:p w14:paraId="0ADB3461" w14:textId="77777777" w:rsidR="00F77505" w:rsidRPr="00323670" w:rsidRDefault="00F77505" w:rsidP="00F77505">
      <w:pPr>
        <w:jc w:val="both"/>
      </w:pPr>
      <w:r w:rsidRPr="00323670">
        <w:t>Les mêmes taux de défaut cumulés historiques que ceux décrits en 2.4 sont ici calculés par montant.</w:t>
      </w:r>
      <w:r w:rsidRPr="00323670">
        <w:br/>
        <w:t>Pour une année d’origine donnée et un trimestre donné, le taux correspond au rapport entre :</w:t>
      </w:r>
    </w:p>
    <w:p w14:paraId="1675347F" w14:textId="77777777" w:rsidR="00F77505" w:rsidRPr="00B665F6" w:rsidRDefault="00F77505" w:rsidP="00F77505">
      <w:pPr>
        <w:pStyle w:val="Paragraphedeliste"/>
        <w:numPr>
          <w:ilvl w:val="0"/>
          <w:numId w:val="21"/>
        </w:numPr>
        <w:jc w:val="both"/>
      </w:pPr>
      <w:r w:rsidRPr="00B665F6">
        <w:t>la somme des expositions des prêts entrés en défaut sur l’horizon temporel considéré ;</w:t>
      </w:r>
    </w:p>
    <w:p w14:paraId="296BBC03" w14:textId="77777777" w:rsidR="00F77505" w:rsidRPr="00B665F6" w:rsidRDefault="00F77505" w:rsidP="00F77505">
      <w:pPr>
        <w:pStyle w:val="Paragraphedeliste"/>
        <w:numPr>
          <w:ilvl w:val="0"/>
          <w:numId w:val="21"/>
        </w:numPr>
        <w:jc w:val="both"/>
      </w:pPr>
      <w:r w:rsidRPr="00B665F6">
        <w:t xml:space="preserve">et (ii) la somme des expositions des prêts </w:t>
      </w:r>
      <w:proofErr w:type="spellStart"/>
      <w:r w:rsidRPr="00B665F6">
        <w:t>originés</w:t>
      </w:r>
      <w:proofErr w:type="spellEnd"/>
      <w:r w:rsidRPr="00B665F6">
        <w:t xml:space="preserve"> durant l’année concernée.</w:t>
      </w:r>
    </w:p>
    <w:p w14:paraId="25188AB2" w14:textId="77777777" w:rsidR="00F77505" w:rsidRPr="00680430" w:rsidRDefault="00F77505" w:rsidP="00F77505">
      <w:pPr>
        <w:pStyle w:val="Titre2"/>
        <w:numPr>
          <w:ilvl w:val="0"/>
          <w:numId w:val="16"/>
        </w:numPr>
        <w:tabs>
          <w:tab w:val="num" w:pos="284"/>
          <w:tab w:val="num" w:pos="360"/>
        </w:tabs>
        <w:ind w:left="340" w:hanging="227"/>
        <w:rPr>
          <w:b/>
          <w:bCs/>
        </w:rPr>
      </w:pPr>
      <w:bookmarkStart w:id="13" w:name="_Toc195090988"/>
      <w:bookmarkStart w:id="14" w:name="_Toc195168721"/>
      <w:r w:rsidRPr="00680430">
        <w:rPr>
          <w:b/>
          <w:bCs/>
        </w:rPr>
        <w:t>Taux de défaut cumulés moyens par millésime de notation, par nombre de contreparties (</w:t>
      </w:r>
      <w:proofErr w:type="spellStart"/>
      <w:r w:rsidRPr="00680430">
        <w:rPr>
          <w:b/>
          <w:bCs/>
        </w:rPr>
        <w:t>Average</w:t>
      </w:r>
      <w:proofErr w:type="spellEnd"/>
      <w:r w:rsidRPr="00680430">
        <w:rPr>
          <w:b/>
          <w:bCs/>
        </w:rPr>
        <w:t xml:space="preserve"> Cumulative Default Rates by Rating Vintage, by </w:t>
      </w:r>
      <w:proofErr w:type="spellStart"/>
      <w:r w:rsidRPr="00680430">
        <w:rPr>
          <w:b/>
          <w:bCs/>
        </w:rPr>
        <w:t>Number</w:t>
      </w:r>
      <w:proofErr w:type="spellEnd"/>
      <w:r w:rsidRPr="00680430">
        <w:rPr>
          <w:b/>
          <w:bCs/>
        </w:rPr>
        <w:t xml:space="preserve"> of </w:t>
      </w:r>
      <w:proofErr w:type="spellStart"/>
      <w:r w:rsidRPr="00680430">
        <w:rPr>
          <w:b/>
          <w:bCs/>
        </w:rPr>
        <w:t>Counterparties</w:t>
      </w:r>
      <w:proofErr w:type="spellEnd"/>
      <w:r w:rsidRPr="00680430">
        <w:rPr>
          <w:b/>
          <w:bCs/>
        </w:rPr>
        <w:t>)</w:t>
      </w:r>
      <w:bookmarkEnd w:id="13"/>
      <w:bookmarkEnd w:id="14"/>
    </w:p>
    <w:p w14:paraId="398D8CB5" w14:textId="77777777" w:rsidR="00F77505" w:rsidRPr="00680430" w:rsidRDefault="00F77505" w:rsidP="00F77505">
      <w:pPr>
        <w:jc w:val="both"/>
      </w:pPr>
      <w:r w:rsidRPr="00680430">
        <w:t>Ces taux sont fournis pour chaque segment (SME et LC) et correspondent aux taux de défaut cumulés moyens sur différents horizons temporels (de 1 trimestre à 32 trimestres, soit 8 ans) observés sur la période disponible (de Q1 2008 à Q3 2021 pour RACER 3).</w:t>
      </w:r>
    </w:p>
    <w:p w14:paraId="065BBE85" w14:textId="77777777" w:rsidR="00F77505" w:rsidRPr="009F23FB" w:rsidRDefault="00F77505" w:rsidP="00F77505">
      <w:pPr>
        <w:jc w:val="both"/>
      </w:pPr>
      <w:r w:rsidRPr="00680430">
        <w:t>Le calcul est réalisé par millésime de notation, c’est-à-dire selon la notation initiale des contreparties au début de l’horizon temporel.</w:t>
      </w:r>
    </w:p>
    <w:p w14:paraId="08A8A1BA" w14:textId="77777777" w:rsidR="00F77505" w:rsidRPr="00680430" w:rsidRDefault="00F77505" w:rsidP="00F77505">
      <w:pPr>
        <w:jc w:val="both"/>
      </w:pPr>
      <w:r w:rsidRPr="00680430">
        <w:t>Le taux est défini comme le rapport entre :</w:t>
      </w:r>
    </w:p>
    <w:p w14:paraId="485112E5" w14:textId="77777777" w:rsidR="00F77505" w:rsidRPr="009F23FB" w:rsidRDefault="00F77505" w:rsidP="00F77505">
      <w:pPr>
        <w:pStyle w:val="Paragraphedeliste"/>
        <w:numPr>
          <w:ilvl w:val="0"/>
          <w:numId w:val="22"/>
        </w:numPr>
        <w:jc w:val="both"/>
      </w:pPr>
      <w:r w:rsidRPr="009F23FB">
        <w:t>le nombre de contreparties tombées en défaut pendant l’horizon ;</w:t>
      </w:r>
    </w:p>
    <w:p w14:paraId="694EA91D" w14:textId="77777777" w:rsidR="00F77505" w:rsidRPr="009F23FB" w:rsidRDefault="00F77505" w:rsidP="00F77505">
      <w:pPr>
        <w:pStyle w:val="Paragraphedeliste"/>
        <w:numPr>
          <w:ilvl w:val="0"/>
          <w:numId w:val="22"/>
        </w:numPr>
        <w:jc w:val="both"/>
      </w:pPr>
      <w:r w:rsidRPr="009F23FB">
        <w:t>et (ii) le nombre de contreparties saines initiales dans la même tranche de notation.</w:t>
      </w:r>
    </w:p>
    <w:p w14:paraId="09BABA25" w14:textId="77777777" w:rsidR="00F77505" w:rsidRPr="009F23FB" w:rsidRDefault="00F77505" w:rsidP="00F77505">
      <w:pPr>
        <w:jc w:val="both"/>
      </w:pPr>
      <w:r w:rsidRPr="00680430">
        <w:t>Les taux sont agrégés via une combinaison de cohortes mensuelles de contreparties et de leur notation initiale.</w:t>
      </w:r>
      <w:r w:rsidRPr="009F23FB">
        <w:t xml:space="preserve"> </w:t>
      </w:r>
      <w:r w:rsidRPr="00680430">
        <w:t>Par exemple, pour un horizon de 32 trimestres, les données couvrent 36 cohortes (soit 3 ans) entre janvier 2008 et décembre 2010.</w:t>
      </w:r>
    </w:p>
    <w:p w14:paraId="5B83D38A" w14:textId="77777777" w:rsidR="00F77505" w:rsidRPr="00680430" w:rsidRDefault="00F77505" w:rsidP="00F77505">
      <w:pPr>
        <w:jc w:val="both"/>
      </w:pPr>
      <w:r w:rsidRPr="00680430">
        <w:t>Les défauts observés sur ces cohortes jusqu’à 32 trimestres après leur date de référence permettent de calculer les taux finaux (ex. défauts de janvier 2011 à décembre 2018 pour la cohorte de décembre 2010).</w:t>
      </w:r>
    </w:p>
    <w:p w14:paraId="6B573484" w14:textId="77777777" w:rsidR="00F77505" w:rsidRPr="00680430" w:rsidRDefault="00F77505" w:rsidP="00F77505">
      <w:pPr>
        <w:jc w:val="both"/>
      </w:pPr>
      <w:r w:rsidRPr="00680430">
        <w:t>À noter : plus l’horizon est long, plus la taille de l’échantillon est réduite, ce qui peut impacter la robustesse des résultats.</w:t>
      </w:r>
      <w:r w:rsidRPr="009F23FB">
        <w:t xml:space="preserve"> </w:t>
      </w:r>
      <w:r w:rsidRPr="00680430">
        <w:t>Ces taux sont utilisés dans la calibration des matrices de transition estimées.</w:t>
      </w:r>
    </w:p>
    <w:p w14:paraId="0B868E90" w14:textId="77777777" w:rsidR="00F77505" w:rsidRDefault="00F77505" w:rsidP="00F77505">
      <w:pPr>
        <w:pStyle w:val="Titre2"/>
        <w:numPr>
          <w:ilvl w:val="0"/>
          <w:numId w:val="16"/>
        </w:numPr>
        <w:tabs>
          <w:tab w:val="num" w:pos="284"/>
          <w:tab w:val="num" w:pos="360"/>
        </w:tabs>
        <w:ind w:left="340" w:hanging="227"/>
      </w:pPr>
      <w:bookmarkStart w:id="15" w:name="_Toc195090989"/>
      <w:bookmarkStart w:id="16" w:name="_Toc195168722"/>
      <w:r w:rsidRPr="00E304AA">
        <w:rPr>
          <w:b/>
          <w:bCs/>
        </w:rPr>
        <w:t>Taux de défaut cumulés moyens par millésime de notation, par montant (</w:t>
      </w:r>
      <w:proofErr w:type="spellStart"/>
      <w:r w:rsidRPr="00E304AA">
        <w:rPr>
          <w:b/>
          <w:bCs/>
        </w:rPr>
        <w:t>Average</w:t>
      </w:r>
      <w:proofErr w:type="spellEnd"/>
      <w:r w:rsidRPr="00E304AA">
        <w:rPr>
          <w:b/>
          <w:bCs/>
        </w:rPr>
        <w:t xml:space="preserve"> Cumulative Default Rates by Rating Vintage, by </w:t>
      </w:r>
      <w:proofErr w:type="spellStart"/>
      <w:r w:rsidRPr="00E304AA">
        <w:rPr>
          <w:b/>
          <w:bCs/>
        </w:rPr>
        <w:t>Amount</w:t>
      </w:r>
      <w:proofErr w:type="spellEnd"/>
      <w:r w:rsidRPr="00E304AA">
        <w:rPr>
          <w:b/>
          <w:bCs/>
        </w:rPr>
        <w:t>)</w:t>
      </w:r>
      <w:bookmarkEnd w:id="15"/>
      <w:bookmarkEnd w:id="16"/>
    </w:p>
    <w:p w14:paraId="4417DF49" w14:textId="77777777" w:rsidR="00F77505" w:rsidRPr="009F23FB" w:rsidRDefault="00F77505" w:rsidP="00F77505">
      <w:pPr>
        <w:jc w:val="both"/>
      </w:pPr>
      <w:r w:rsidRPr="00E304AA">
        <w:t>De manière analogue à la section précédente, les taux de défaut sont ici calculés par montant.</w:t>
      </w:r>
      <w:r w:rsidRPr="00E304AA">
        <w:br/>
        <w:t>Ils correspondent au rapport entre :</w:t>
      </w:r>
    </w:p>
    <w:p w14:paraId="62DDDD77" w14:textId="77777777" w:rsidR="00F77505" w:rsidRPr="009F23FB" w:rsidRDefault="00F77505" w:rsidP="00F77505">
      <w:pPr>
        <w:pStyle w:val="Paragraphedeliste"/>
        <w:numPr>
          <w:ilvl w:val="0"/>
          <w:numId w:val="23"/>
        </w:numPr>
        <w:jc w:val="both"/>
      </w:pPr>
      <w:r w:rsidRPr="009F23FB">
        <w:t>la somme des expositions des contreparties en défaut sur l’horizon temporel considéré ;</w:t>
      </w:r>
    </w:p>
    <w:p w14:paraId="74861849" w14:textId="77777777" w:rsidR="00F77505" w:rsidRPr="009F23FB" w:rsidRDefault="00F77505" w:rsidP="00F77505">
      <w:pPr>
        <w:pStyle w:val="Paragraphedeliste"/>
        <w:numPr>
          <w:ilvl w:val="0"/>
          <w:numId w:val="23"/>
        </w:numPr>
        <w:jc w:val="both"/>
      </w:pPr>
      <w:r w:rsidRPr="009F23FB">
        <w:lastRenderedPageBreak/>
        <w:t>et (ii) la somme des expositions des contreparties saines initiales, classées par catégorie de notation au début de cet horizon.</w:t>
      </w:r>
    </w:p>
    <w:p w14:paraId="575EA49A" w14:textId="77777777" w:rsidR="00F77505" w:rsidRPr="00760B9B" w:rsidRDefault="00F77505" w:rsidP="00F77505">
      <w:pPr>
        <w:pStyle w:val="Titre2"/>
        <w:numPr>
          <w:ilvl w:val="0"/>
          <w:numId w:val="16"/>
        </w:numPr>
        <w:tabs>
          <w:tab w:val="num" w:pos="284"/>
          <w:tab w:val="num" w:pos="360"/>
        </w:tabs>
        <w:ind w:left="340" w:hanging="227"/>
        <w:rPr>
          <w:b/>
          <w:bCs/>
        </w:rPr>
      </w:pPr>
      <w:bookmarkStart w:id="17" w:name="_Toc195090990"/>
      <w:bookmarkStart w:id="18" w:name="_Toc195168723"/>
      <w:r w:rsidRPr="00760B9B">
        <w:rPr>
          <w:b/>
          <w:bCs/>
        </w:rPr>
        <w:t>Taux de défaut annuels sur un an, par nombre (</w:t>
      </w:r>
      <w:proofErr w:type="spellStart"/>
      <w:r w:rsidRPr="00760B9B">
        <w:rPr>
          <w:b/>
          <w:bCs/>
        </w:rPr>
        <w:t>Annual</w:t>
      </w:r>
      <w:proofErr w:type="spellEnd"/>
      <w:r w:rsidRPr="00760B9B">
        <w:rPr>
          <w:b/>
          <w:bCs/>
        </w:rPr>
        <w:t xml:space="preserve"> 1-Year Default Rates, by Numbers)</w:t>
      </w:r>
      <w:bookmarkEnd w:id="17"/>
      <w:bookmarkEnd w:id="18"/>
    </w:p>
    <w:p w14:paraId="64DD79FD" w14:textId="77777777" w:rsidR="00F77505" w:rsidRPr="00760B9B" w:rsidRDefault="00F77505" w:rsidP="00F77505">
      <w:pPr>
        <w:jc w:val="both"/>
      </w:pPr>
      <w:r w:rsidRPr="00760B9B">
        <w:t>Pour chaque segment (SME et LC), les taux de défaut observés sur un horizon d’un an sont présentés par notation interne pour différentes années.</w:t>
      </w:r>
    </w:p>
    <w:p w14:paraId="1F9DDB25" w14:textId="77777777" w:rsidR="00F77505" w:rsidRPr="00760B9B" w:rsidRDefault="00F77505" w:rsidP="00F77505">
      <w:pPr>
        <w:jc w:val="both"/>
      </w:pPr>
      <w:r w:rsidRPr="00760B9B">
        <w:t>Le taux est calculé comme suit :</w:t>
      </w:r>
    </w:p>
    <w:p w14:paraId="05ECD411" w14:textId="77777777" w:rsidR="00F77505" w:rsidRPr="004C4E7F" w:rsidRDefault="00F77505" w:rsidP="00F77505">
      <w:pPr>
        <w:pStyle w:val="Paragraphedeliste"/>
        <w:numPr>
          <w:ilvl w:val="0"/>
          <w:numId w:val="24"/>
        </w:numPr>
        <w:jc w:val="both"/>
      </w:pPr>
      <w:r w:rsidRPr="004C4E7F">
        <w:t>Nombre de contreparties en défaut sur une période d’un an ;</w:t>
      </w:r>
    </w:p>
    <w:p w14:paraId="69903770" w14:textId="77777777" w:rsidR="00F77505" w:rsidRPr="004C4E7F" w:rsidRDefault="00F77505" w:rsidP="00F77505">
      <w:pPr>
        <w:pStyle w:val="Paragraphedeliste"/>
        <w:numPr>
          <w:ilvl w:val="0"/>
          <w:numId w:val="24"/>
        </w:numPr>
        <w:jc w:val="both"/>
      </w:pPr>
      <w:r w:rsidRPr="004C4E7F">
        <w:t>divisé par (ii) le nombre de contreparties saines de la même notation au début de la période.</w:t>
      </w:r>
    </w:p>
    <w:p w14:paraId="5CABA46B" w14:textId="77777777" w:rsidR="00F77505" w:rsidRPr="00760B9B" w:rsidRDefault="00F77505" w:rsidP="00F77505">
      <w:pPr>
        <w:jc w:val="both"/>
      </w:pPr>
      <w:r w:rsidRPr="00760B9B">
        <w:t>Les taux sont moyennés à partir de 12 cohortes mensuelles pour chaque année.</w:t>
      </w:r>
      <w:r w:rsidRPr="004C4E7F">
        <w:t xml:space="preserve"> </w:t>
      </w:r>
      <w:r w:rsidRPr="00760B9B">
        <w:t>Par exemple, pour 2008 : les cohortes de janvier à décembre 2008 sont chacune observées sur une période d’un an. Ainsi, la cohorte de janvier 2008 est observée jusqu’en janvier 2009.</w:t>
      </w:r>
    </w:p>
    <w:p w14:paraId="3FCF89D1" w14:textId="77777777" w:rsidR="00F77505" w:rsidRPr="00760B9B" w:rsidRDefault="00F77505" w:rsidP="00F77505">
      <w:pPr>
        <w:jc w:val="both"/>
      </w:pPr>
      <w:r w:rsidRPr="00760B9B">
        <w:rPr>
          <w:b/>
          <w:bCs/>
        </w:rPr>
        <w:t>Remarque</w:t>
      </w:r>
      <w:r w:rsidRPr="00760B9B">
        <w:t xml:space="preserve"> : Lorsque le dénominateur est nul, la valeur retournée est NaN.</w:t>
      </w:r>
    </w:p>
    <w:p w14:paraId="17E6F4D0" w14:textId="77777777" w:rsidR="00F77505" w:rsidRPr="00760B9B" w:rsidRDefault="00F77505" w:rsidP="00F77505">
      <w:pPr>
        <w:pStyle w:val="Titre2"/>
        <w:numPr>
          <w:ilvl w:val="0"/>
          <w:numId w:val="16"/>
        </w:numPr>
        <w:tabs>
          <w:tab w:val="num" w:pos="284"/>
          <w:tab w:val="num" w:pos="360"/>
        </w:tabs>
        <w:ind w:left="340" w:hanging="227"/>
        <w:rPr>
          <w:b/>
          <w:bCs/>
        </w:rPr>
      </w:pPr>
      <w:bookmarkStart w:id="19" w:name="_Toc195090991"/>
      <w:bookmarkStart w:id="20" w:name="_Toc195168724"/>
      <w:r w:rsidRPr="00760B9B">
        <w:rPr>
          <w:b/>
          <w:bCs/>
        </w:rPr>
        <w:t>Taux de défaut annuels sur un an, par montant (</w:t>
      </w:r>
      <w:proofErr w:type="spellStart"/>
      <w:r w:rsidRPr="00760B9B">
        <w:rPr>
          <w:b/>
          <w:bCs/>
        </w:rPr>
        <w:t>Annual</w:t>
      </w:r>
      <w:proofErr w:type="spellEnd"/>
      <w:r w:rsidRPr="00760B9B">
        <w:rPr>
          <w:b/>
          <w:bCs/>
        </w:rPr>
        <w:t xml:space="preserve"> 1-Year Default Rates, by </w:t>
      </w:r>
      <w:proofErr w:type="spellStart"/>
      <w:r w:rsidRPr="00760B9B">
        <w:rPr>
          <w:b/>
          <w:bCs/>
        </w:rPr>
        <w:t>Amounts</w:t>
      </w:r>
      <w:proofErr w:type="spellEnd"/>
      <w:r w:rsidRPr="00760B9B">
        <w:rPr>
          <w:b/>
          <w:bCs/>
        </w:rPr>
        <w:t>)</w:t>
      </w:r>
      <w:bookmarkEnd w:id="19"/>
      <w:bookmarkEnd w:id="20"/>
    </w:p>
    <w:p w14:paraId="124A99E5" w14:textId="77777777" w:rsidR="00F77505" w:rsidRPr="004C4E7F" w:rsidRDefault="00F77505" w:rsidP="00F77505">
      <w:pPr>
        <w:jc w:val="both"/>
      </w:pPr>
      <w:r w:rsidRPr="00760B9B">
        <w:t>Les mêmes taux de défaut annuels par notation sont également calculés par montant :</w:t>
      </w:r>
    </w:p>
    <w:p w14:paraId="52FEA0DC" w14:textId="77777777" w:rsidR="00F77505" w:rsidRPr="004C4E7F" w:rsidRDefault="00F77505" w:rsidP="00F77505">
      <w:pPr>
        <w:pStyle w:val="Paragraphedeliste"/>
        <w:numPr>
          <w:ilvl w:val="0"/>
          <w:numId w:val="25"/>
        </w:numPr>
        <w:jc w:val="both"/>
      </w:pPr>
      <w:r w:rsidRPr="004C4E7F">
        <w:t>Somme des expositions aux contreparties tombées en défaut sur une période d’un an ;</w:t>
      </w:r>
    </w:p>
    <w:p w14:paraId="0D6DFA62" w14:textId="77777777" w:rsidR="00F77505" w:rsidRPr="004C4E7F" w:rsidRDefault="00F77505" w:rsidP="00F77505">
      <w:pPr>
        <w:pStyle w:val="Paragraphedeliste"/>
        <w:numPr>
          <w:ilvl w:val="0"/>
          <w:numId w:val="25"/>
        </w:numPr>
        <w:jc w:val="both"/>
      </w:pPr>
      <w:r w:rsidRPr="004C4E7F">
        <w:t>divisé par (ii) la somme des expositions des contreparties saines de la même notation au début de la période.</w:t>
      </w:r>
    </w:p>
    <w:p w14:paraId="4F2B28A3" w14:textId="77777777" w:rsidR="00F77505" w:rsidRPr="00760B9B" w:rsidRDefault="00F77505" w:rsidP="00F77505">
      <w:pPr>
        <w:pStyle w:val="Titre2"/>
        <w:numPr>
          <w:ilvl w:val="0"/>
          <w:numId w:val="16"/>
        </w:numPr>
        <w:tabs>
          <w:tab w:val="num" w:pos="284"/>
          <w:tab w:val="num" w:pos="360"/>
        </w:tabs>
        <w:ind w:left="340" w:hanging="227"/>
        <w:rPr>
          <w:b/>
          <w:bCs/>
        </w:rPr>
      </w:pPr>
      <w:bookmarkStart w:id="21" w:name="_Toc195090992"/>
      <w:bookmarkStart w:id="22" w:name="_Toc195168725"/>
      <w:r w:rsidRPr="00760B9B">
        <w:rPr>
          <w:b/>
          <w:bCs/>
        </w:rPr>
        <w:t>LGD observées par année de défaut (</w:t>
      </w:r>
      <w:proofErr w:type="spellStart"/>
      <w:r w:rsidRPr="00760B9B">
        <w:rPr>
          <w:b/>
          <w:bCs/>
        </w:rPr>
        <w:t>Observed</w:t>
      </w:r>
      <w:proofErr w:type="spellEnd"/>
      <w:r w:rsidRPr="00760B9B">
        <w:rPr>
          <w:b/>
          <w:bCs/>
        </w:rPr>
        <w:t xml:space="preserve"> </w:t>
      </w:r>
      <w:proofErr w:type="spellStart"/>
      <w:r w:rsidRPr="00760B9B">
        <w:rPr>
          <w:b/>
          <w:bCs/>
        </w:rPr>
        <w:t>LGDs</w:t>
      </w:r>
      <w:proofErr w:type="spellEnd"/>
      <w:r w:rsidRPr="00760B9B">
        <w:rPr>
          <w:b/>
          <w:bCs/>
        </w:rPr>
        <w:t xml:space="preserve"> by </w:t>
      </w:r>
      <w:proofErr w:type="spellStart"/>
      <w:r w:rsidRPr="00760B9B">
        <w:rPr>
          <w:b/>
          <w:bCs/>
        </w:rPr>
        <w:t>Year</w:t>
      </w:r>
      <w:proofErr w:type="spellEnd"/>
      <w:r w:rsidRPr="00760B9B">
        <w:rPr>
          <w:b/>
          <w:bCs/>
        </w:rPr>
        <w:t xml:space="preserve"> of Default)</w:t>
      </w:r>
      <w:bookmarkEnd w:id="21"/>
      <w:bookmarkEnd w:id="22"/>
    </w:p>
    <w:p w14:paraId="45C2E768" w14:textId="77777777" w:rsidR="00F77505" w:rsidRPr="00760B9B" w:rsidRDefault="00F77505" w:rsidP="00F77505">
      <w:pPr>
        <w:jc w:val="both"/>
      </w:pPr>
      <w:r w:rsidRPr="00760B9B">
        <w:t>Cette section vise à présenter :</w:t>
      </w:r>
    </w:p>
    <w:p w14:paraId="613453BA" w14:textId="77777777" w:rsidR="00F77505" w:rsidRPr="004C4E7F" w:rsidRDefault="00F77505" w:rsidP="00F77505">
      <w:pPr>
        <w:pStyle w:val="Paragraphedeliste"/>
        <w:numPr>
          <w:ilvl w:val="0"/>
          <w:numId w:val="26"/>
        </w:numPr>
        <w:jc w:val="both"/>
      </w:pPr>
      <w:r w:rsidRPr="004C4E7F">
        <w:t>Le nombre d’</w:t>
      </w:r>
      <w:proofErr w:type="spellStart"/>
      <w:r w:rsidRPr="004C4E7F">
        <w:t>obligors</w:t>
      </w:r>
      <w:proofErr w:type="spellEnd"/>
      <w:r w:rsidRPr="004C4E7F">
        <w:t xml:space="preserve"> et de facilités en défaut (segments SME et LC) par année de défaut ;</w:t>
      </w:r>
    </w:p>
    <w:p w14:paraId="2F7CE355" w14:textId="77777777" w:rsidR="00F77505" w:rsidRPr="004C4E7F" w:rsidRDefault="00F77505" w:rsidP="00F77505">
      <w:pPr>
        <w:pStyle w:val="Paragraphedeliste"/>
        <w:numPr>
          <w:ilvl w:val="0"/>
          <w:numId w:val="26"/>
        </w:numPr>
        <w:jc w:val="both"/>
      </w:pPr>
      <w:r w:rsidRPr="004C4E7F">
        <w:t>Les LGD observées sur les dossiers clôturés au 31/12/2021 (dans le cadre de RACER 3).</w:t>
      </w:r>
    </w:p>
    <w:p w14:paraId="652A08C5" w14:textId="77777777" w:rsidR="00F77505" w:rsidRPr="00760B9B" w:rsidRDefault="00F77505" w:rsidP="00F77505">
      <w:pPr>
        <w:jc w:val="both"/>
      </w:pPr>
      <w:r w:rsidRPr="00760B9B">
        <w:t>Les dossiers clôturés sont ceux pour lesquels le processus de recouvrement est terminé. Une répartition des facilités encore en cours de traitement est également présentée.</w:t>
      </w:r>
    </w:p>
    <w:p w14:paraId="189F660E" w14:textId="77777777" w:rsidR="00F77505" w:rsidRPr="00760B9B" w:rsidRDefault="00F77505" w:rsidP="00F77505">
      <w:pPr>
        <w:pStyle w:val="Titre2"/>
        <w:numPr>
          <w:ilvl w:val="0"/>
          <w:numId w:val="16"/>
        </w:numPr>
        <w:tabs>
          <w:tab w:val="num" w:pos="284"/>
          <w:tab w:val="num" w:pos="360"/>
        </w:tabs>
        <w:ind w:left="340" w:hanging="227"/>
        <w:rPr>
          <w:b/>
          <w:bCs/>
        </w:rPr>
      </w:pPr>
      <w:bookmarkStart w:id="23" w:name="_Toc195090993"/>
      <w:bookmarkStart w:id="24" w:name="_Toc195168726"/>
      <w:r w:rsidRPr="00760B9B">
        <w:rPr>
          <w:b/>
          <w:bCs/>
        </w:rPr>
        <w:t>Back-in-Bonis</w:t>
      </w:r>
      <w:bookmarkEnd w:id="23"/>
      <w:bookmarkEnd w:id="24"/>
    </w:p>
    <w:p w14:paraId="361ADD8F" w14:textId="77777777" w:rsidR="00F77505" w:rsidRPr="00760B9B" w:rsidRDefault="00F77505" w:rsidP="00F77505">
      <w:pPr>
        <w:jc w:val="both"/>
      </w:pPr>
      <w:r w:rsidRPr="00760B9B">
        <w:t>Les statistiques agrègent les contreparties défaillantes sur l’ensemble des segments non-retail.</w:t>
      </w:r>
    </w:p>
    <w:p w14:paraId="3FB292D0" w14:textId="77777777" w:rsidR="00F77505" w:rsidRPr="00760B9B" w:rsidRDefault="00F77505" w:rsidP="00F77505">
      <w:pPr>
        <w:jc w:val="both"/>
      </w:pPr>
      <w:r w:rsidRPr="00760B9B">
        <w:t>Les données incluent :</w:t>
      </w:r>
    </w:p>
    <w:p w14:paraId="40B70390" w14:textId="77777777" w:rsidR="00F77505" w:rsidRPr="00760B9B" w:rsidRDefault="00F77505" w:rsidP="00F77505">
      <w:pPr>
        <w:pStyle w:val="Paragraphedeliste"/>
        <w:numPr>
          <w:ilvl w:val="0"/>
          <w:numId w:val="27"/>
        </w:numPr>
        <w:jc w:val="both"/>
      </w:pPr>
      <w:r w:rsidRPr="00760B9B">
        <w:lastRenderedPageBreak/>
        <w:t>Le nombre de dossiers de défaut fermés ayant été régularisés (c’est-à-dire revenus en statut “in bonis”) entre Q4 2007 et Q3 2021 (période RACER 3) ;</w:t>
      </w:r>
    </w:p>
    <w:p w14:paraId="48108886" w14:textId="77777777" w:rsidR="00F77505" w:rsidRPr="00760B9B" w:rsidRDefault="00F77505" w:rsidP="00F77505">
      <w:pPr>
        <w:pStyle w:val="Paragraphedeliste"/>
        <w:numPr>
          <w:ilvl w:val="0"/>
          <w:numId w:val="27"/>
        </w:numPr>
        <w:jc w:val="both"/>
      </w:pPr>
      <w:r w:rsidRPr="00760B9B">
        <w:t>La durée moyenne (en années) passée en défaut avant le retour à une situation saine.</w:t>
      </w:r>
    </w:p>
    <w:p w14:paraId="3D525505" w14:textId="77777777" w:rsidR="00F77505" w:rsidRPr="00760B9B" w:rsidRDefault="00F77505" w:rsidP="00F77505">
      <w:pPr>
        <w:jc w:val="both"/>
      </w:pPr>
      <w:r w:rsidRPr="00760B9B">
        <w:t>Une contrepartie est considérée “in bonis” lorsque :</w:t>
      </w:r>
    </w:p>
    <w:p w14:paraId="1A948094" w14:textId="77777777" w:rsidR="00F77505" w:rsidRPr="00760B9B" w:rsidRDefault="00F77505" w:rsidP="00F77505">
      <w:pPr>
        <w:pStyle w:val="Paragraphedeliste"/>
        <w:numPr>
          <w:ilvl w:val="0"/>
          <w:numId w:val="28"/>
        </w:numPr>
        <w:jc w:val="both"/>
      </w:pPr>
      <w:r w:rsidRPr="00760B9B">
        <w:t>Les conditions de défaut ne sont plus remplies pendant au moins 3 mois, et</w:t>
      </w:r>
    </w:p>
    <w:p w14:paraId="4E15667C" w14:textId="77777777" w:rsidR="00F77505" w:rsidRPr="00760B9B" w:rsidRDefault="00F77505" w:rsidP="00F77505">
      <w:pPr>
        <w:pStyle w:val="Paragraphedeliste"/>
        <w:numPr>
          <w:ilvl w:val="0"/>
          <w:numId w:val="28"/>
        </w:numPr>
        <w:jc w:val="both"/>
      </w:pPr>
      <w:r w:rsidRPr="00760B9B">
        <w:t>Tous les paiements sont à jour.</w:t>
      </w:r>
    </w:p>
    <w:p w14:paraId="26099025" w14:textId="77777777" w:rsidR="00F77505" w:rsidRPr="00760B9B" w:rsidRDefault="00F77505" w:rsidP="00F77505">
      <w:pPr>
        <w:pStyle w:val="Titre2"/>
        <w:numPr>
          <w:ilvl w:val="0"/>
          <w:numId w:val="16"/>
        </w:numPr>
        <w:tabs>
          <w:tab w:val="num" w:pos="284"/>
          <w:tab w:val="num" w:pos="360"/>
        </w:tabs>
        <w:ind w:left="340" w:hanging="227"/>
        <w:rPr>
          <w:b/>
          <w:bCs/>
        </w:rPr>
      </w:pPr>
      <w:bookmarkStart w:id="25" w:name="_Toc195090994"/>
      <w:bookmarkStart w:id="26" w:name="_Toc195168727"/>
      <w:r w:rsidRPr="00760B9B">
        <w:rPr>
          <w:b/>
          <w:bCs/>
        </w:rPr>
        <w:t xml:space="preserve">Taux de recouvrement cumulés par année de défaut (Cumulative </w:t>
      </w:r>
      <w:proofErr w:type="spellStart"/>
      <w:r w:rsidRPr="00760B9B">
        <w:rPr>
          <w:b/>
          <w:bCs/>
        </w:rPr>
        <w:t>Recovery</w:t>
      </w:r>
      <w:proofErr w:type="spellEnd"/>
      <w:r w:rsidRPr="00760B9B">
        <w:rPr>
          <w:b/>
          <w:bCs/>
        </w:rPr>
        <w:t xml:space="preserve"> Rates by </w:t>
      </w:r>
      <w:proofErr w:type="spellStart"/>
      <w:r w:rsidRPr="00760B9B">
        <w:rPr>
          <w:b/>
          <w:bCs/>
        </w:rPr>
        <w:t>Year</w:t>
      </w:r>
      <w:proofErr w:type="spellEnd"/>
      <w:r w:rsidRPr="00760B9B">
        <w:rPr>
          <w:b/>
          <w:bCs/>
        </w:rPr>
        <w:t xml:space="preserve"> of Default)</w:t>
      </w:r>
      <w:bookmarkEnd w:id="25"/>
      <w:bookmarkEnd w:id="26"/>
    </w:p>
    <w:p w14:paraId="57EBA0E6" w14:textId="77777777" w:rsidR="00F77505" w:rsidRPr="00760B9B" w:rsidRDefault="00F77505" w:rsidP="00F77505">
      <w:pPr>
        <w:jc w:val="both"/>
      </w:pPr>
      <w:r w:rsidRPr="00760B9B">
        <w:t>Pour chaque segment (SME et LC), sont présentés :</w:t>
      </w:r>
    </w:p>
    <w:p w14:paraId="05888002" w14:textId="77777777" w:rsidR="00F77505" w:rsidRPr="00760B9B" w:rsidRDefault="00F77505" w:rsidP="00F77505">
      <w:pPr>
        <w:pStyle w:val="Paragraphedeliste"/>
        <w:numPr>
          <w:ilvl w:val="0"/>
          <w:numId w:val="29"/>
        </w:numPr>
        <w:jc w:val="both"/>
      </w:pPr>
      <w:r w:rsidRPr="00760B9B">
        <w:t>Le montant d’exposition des contreparties classées en défaut au cours d’une année donnée ;</w:t>
      </w:r>
    </w:p>
    <w:p w14:paraId="60A38825" w14:textId="77777777" w:rsidR="00F77505" w:rsidRPr="00760B9B" w:rsidRDefault="00F77505" w:rsidP="00F77505">
      <w:pPr>
        <w:pStyle w:val="Paragraphedeliste"/>
        <w:numPr>
          <w:ilvl w:val="0"/>
          <w:numId w:val="29"/>
        </w:numPr>
        <w:jc w:val="both"/>
      </w:pPr>
      <w:r w:rsidRPr="00760B9B">
        <w:t>Et les taux de recouvrement cumulés trimestriels à partir de cette année.</w:t>
      </w:r>
    </w:p>
    <w:p w14:paraId="7CAACEDA" w14:textId="77777777" w:rsidR="00F77505" w:rsidRDefault="00F77505" w:rsidP="00F77505">
      <w:pPr>
        <w:jc w:val="both"/>
      </w:pPr>
      <w:r w:rsidRPr="00760B9B">
        <w:t>Exemple : pour RACER 3, l’analyse couvre les années de défaut 2008 à 2020, avec une observation des recouvrements sur les trimestres suivants.</w:t>
      </w:r>
    </w:p>
    <w:p w14:paraId="3FCE721D" w14:textId="77777777" w:rsidR="00F77505" w:rsidRPr="001A2D8C" w:rsidRDefault="00F77505" w:rsidP="00F77505">
      <w:pPr>
        <w:pStyle w:val="Titre2"/>
        <w:numPr>
          <w:ilvl w:val="0"/>
          <w:numId w:val="16"/>
        </w:numPr>
        <w:tabs>
          <w:tab w:val="num" w:pos="284"/>
          <w:tab w:val="num" w:pos="360"/>
        </w:tabs>
        <w:ind w:left="340" w:hanging="227"/>
        <w:rPr>
          <w:b/>
          <w:bCs/>
        </w:rPr>
      </w:pPr>
      <w:bookmarkStart w:id="27" w:name="_Toc195090995"/>
      <w:bookmarkStart w:id="28" w:name="_Toc195168728"/>
      <w:r w:rsidRPr="001A2D8C">
        <w:rPr>
          <w:b/>
          <w:bCs/>
        </w:rPr>
        <w:t>Taux de recouvrement cumulés moyens (</w:t>
      </w:r>
      <w:proofErr w:type="spellStart"/>
      <w:r w:rsidRPr="001A2D8C">
        <w:rPr>
          <w:b/>
          <w:bCs/>
        </w:rPr>
        <w:t>Average</w:t>
      </w:r>
      <w:proofErr w:type="spellEnd"/>
      <w:r w:rsidRPr="001A2D8C">
        <w:rPr>
          <w:b/>
          <w:bCs/>
        </w:rPr>
        <w:t xml:space="preserve"> Cumulative </w:t>
      </w:r>
      <w:proofErr w:type="spellStart"/>
      <w:r w:rsidRPr="001A2D8C">
        <w:rPr>
          <w:b/>
          <w:bCs/>
        </w:rPr>
        <w:t>Recovery</w:t>
      </w:r>
      <w:proofErr w:type="spellEnd"/>
      <w:r w:rsidRPr="001A2D8C">
        <w:rPr>
          <w:b/>
          <w:bCs/>
        </w:rPr>
        <w:t xml:space="preserve"> Rates)</w:t>
      </w:r>
      <w:bookmarkEnd w:id="27"/>
      <w:bookmarkEnd w:id="28"/>
    </w:p>
    <w:p w14:paraId="6DFC922E" w14:textId="77777777" w:rsidR="00F77505" w:rsidRPr="001A2D8C" w:rsidRDefault="00F77505" w:rsidP="00F77505">
      <w:pPr>
        <w:jc w:val="both"/>
      </w:pPr>
      <w:r w:rsidRPr="001A2D8C">
        <w:t>Pour chaque segment (SME et LC), cette section présente les taux de récupération cumulés moyens observés sur des horizons temporels allant de 1 à X trimestres après la date de défaut.</w:t>
      </w:r>
    </w:p>
    <w:p w14:paraId="0D80F223" w14:textId="77777777" w:rsidR="00F77505" w:rsidRPr="001A2D8C" w:rsidRDefault="00F77505" w:rsidP="00F77505">
      <w:pPr>
        <w:jc w:val="both"/>
      </w:pPr>
      <w:r w:rsidRPr="001A2D8C">
        <w:t>L’analyse porte par exemple sur les années 2008 à 2020, et permet d’observer l’évolution moyenne des recouvrements au fil du temps après le défaut.</w:t>
      </w:r>
    </w:p>
    <w:p w14:paraId="26D5F345" w14:textId="77777777" w:rsidR="00F77505" w:rsidRPr="001A2D8C" w:rsidRDefault="00F77505" w:rsidP="00F77505">
      <w:pPr>
        <w:pStyle w:val="Titre2"/>
        <w:numPr>
          <w:ilvl w:val="0"/>
          <w:numId w:val="16"/>
        </w:numPr>
        <w:tabs>
          <w:tab w:val="num" w:pos="284"/>
          <w:tab w:val="num" w:pos="360"/>
        </w:tabs>
        <w:ind w:left="340" w:hanging="227"/>
        <w:rPr>
          <w:b/>
          <w:bCs/>
        </w:rPr>
      </w:pPr>
      <w:bookmarkStart w:id="29" w:name="_Toc195090996"/>
      <w:bookmarkStart w:id="30" w:name="_Toc195168729"/>
      <w:r w:rsidRPr="001A2D8C">
        <w:rPr>
          <w:b/>
          <w:bCs/>
        </w:rPr>
        <w:t>Prépaiements (</w:t>
      </w:r>
      <w:proofErr w:type="spellStart"/>
      <w:r w:rsidRPr="001A2D8C">
        <w:rPr>
          <w:b/>
          <w:bCs/>
        </w:rPr>
        <w:t>Prepayments</w:t>
      </w:r>
      <w:proofErr w:type="spellEnd"/>
      <w:r w:rsidRPr="001A2D8C">
        <w:rPr>
          <w:b/>
          <w:bCs/>
        </w:rPr>
        <w:t>)</w:t>
      </w:r>
      <w:bookmarkEnd w:id="29"/>
      <w:bookmarkEnd w:id="30"/>
    </w:p>
    <w:p w14:paraId="78E26DA3" w14:textId="77777777" w:rsidR="00F77505" w:rsidRPr="001A2D8C" w:rsidRDefault="00F77505" w:rsidP="00F77505">
      <w:pPr>
        <w:jc w:val="both"/>
      </w:pPr>
      <w:r w:rsidRPr="001A2D8C">
        <w:t xml:space="preserve">La première étape consiste à définir un périmètre restreint et représentatif du portefeuille titrisé, en appliquant des critères d’éligibilité pertinents et matériels, </w:t>
      </w:r>
      <w:proofErr w:type="gramStart"/>
      <w:r w:rsidRPr="001A2D8C">
        <w:t>comme par exemple</w:t>
      </w:r>
      <w:proofErr w:type="gramEnd"/>
      <w:r w:rsidRPr="001A2D8C">
        <w:t xml:space="preserve"> :</w:t>
      </w:r>
    </w:p>
    <w:p w14:paraId="219502AC" w14:textId="77777777" w:rsidR="00F77505" w:rsidRPr="001A2D8C" w:rsidRDefault="00F77505" w:rsidP="00F77505">
      <w:pPr>
        <w:pStyle w:val="Paragraphedeliste"/>
        <w:numPr>
          <w:ilvl w:val="0"/>
          <w:numId w:val="30"/>
        </w:numPr>
        <w:jc w:val="both"/>
      </w:pPr>
      <w:r w:rsidRPr="001A2D8C">
        <w:t>PCRU = BDDF</w:t>
      </w:r>
    </w:p>
    <w:p w14:paraId="6C944F15" w14:textId="77777777" w:rsidR="00F77505" w:rsidRPr="001A2D8C" w:rsidRDefault="00F77505" w:rsidP="00F77505">
      <w:pPr>
        <w:pStyle w:val="Paragraphedeliste"/>
        <w:numPr>
          <w:ilvl w:val="0"/>
          <w:numId w:val="30"/>
        </w:numPr>
        <w:jc w:val="both"/>
      </w:pPr>
      <w:r w:rsidRPr="001A2D8C">
        <w:t>Segment = PME et Grandes Entreprises</w:t>
      </w:r>
    </w:p>
    <w:p w14:paraId="10AAC73A" w14:textId="77777777" w:rsidR="00F77505" w:rsidRPr="001A2D8C" w:rsidRDefault="00F77505" w:rsidP="00F77505">
      <w:pPr>
        <w:pStyle w:val="Paragraphedeliste"/>
        <w:numPr>
          <w:ilvl w:val="0"/>
          <w:numId w:val="30"/>
        </w:numPr>
        <w:jc w:val="both"/>
      </w:pPr>
      <w:r w:rsidRPr="001A2D8C">
        <w:t>Notation interne à l’origine &gt; 6+</w:t>
      </w:r>
    </w:p>
    <w:p w14:paraId="02A9B372" w14:textId="77777777" w:rsidR="00F77505" w:rsidRPr="001A2D8C" w:rsidRDefault="00F77505" w:rsidP="00F77505">
      <w:pPr>
        <w:pStyle w:val="Paragraphedeliste"/>
        <w:numPr>
          <w:ilvl w:val="0"/>
          <w:numId w:val="30"/>
        </w:numPr>
        <w:jc w:val="both"/>
      </w:pPr>
      <w:r w:rsidRPr="001A2D8C">
        <w:t>Méthode Bâle = IRBA</w:t>
      </w:r>
    </w:p>
    <w:p w14:paraId="4355D8CE" w14:textId="77777777" w:rsidR="00F77505" w:rsidRPr="001A2D8C" w:rsidRDefault="00F77505" w:rsidP="00F77505">
      <w:pPr>
        <w:pStyle w:val="Paragraphedeliste"/>
        <w:numPr>
          <w:ilvl w:val="0"/>
          <w:numId w:val="30"/>
        </w:numPr>
        <w:jc w:val="both"/>
      </w:pPr>
      <w:r w:rsidRPr="001A2D8C">
        <w:t>Devise des prêts = EUR</w:t>
      </w:r>
    </w:p>
    <w:p w14:paraId="4F6B401D" w14:textId="77777777" w:rsidR="00F77505" w:rsidRPr="001A2D8C" w:rsidRDefault="00F77505" w:rsidP="00F77505">
      <w:pPr>
        <w:jc w:val="both"/>
      </w:pPr>
      <w:r w:rsidRPr="001A2D8C">
        <w:t>Ces critères permettent de se rapprocher du portefeuille de référence, pour une vision plus fidèle du comportement de prépaiement.</w:t>
      </w:r>
    </w:p>
    <w:p w14:paraId="60876AE1" w14:textId="77777777" w:rsidR="00F77505" w:rsidRPr="001A2D8C" w:rsidRDefault="00F77505" w:rsidP="00F77505">
      <w:pPr>
        <w:jc w:val="both"/>
      </w:pPr>
      <w:r w:rsidRPr="001A2D8C">
        <w:t>Pour chaque trimestre disponible :</w:t>
      </w:r>
    </w:p>
    <w:p w14:paraId="461C2B7B" w14:textId="77777777" w:rsidR="00F77505" w:rsidRPr="001A2D8C" w:rsidRDefault="00F77505" w:rsidP="00F77505">
      <w:pPr>
        <w:pStyle w:val="Paragraphedeliste"/>
        <w:numPr>
          <w:ilvl w:val="0"/>
          <w:numId w:val="31"/>
        </w:numPr>
        <w:jc w:val="both"/>
      </w:pPr>
      <w:r w:rsidRPr="001A2D8C">
        <w:t>Le montant total des encours de prêts en début de trimestre est mesuré ;</w:t>
      </w:r>
    </w:p>
    <w:p w14:paraId="41BCDD2F" w14:textId="77777777" w:rsidR="00F77505" w:rsidRPr="001A2D8C" w:rsidRDefault="00F77505" w:rsidP="00F77505">
      <w:pPr>
        <w:pStyle w:val="Paragraphedeliste"/>
        <w:numPr>
          <w:ilvl w:val="0"/>
          <w:numId w:val="31"/>
        </w:numPr>
        <w:jc w:val="both"/>
      </w:pPr>
      <w:r w:rsidRPr="001A2D8C">
        <w:lastRenderedPageBreak/>
        <w:t>Ainsi que le montant total des prépaiements (amortissements anticipés partiels ou totaux) observés durant le trimestre.</w:t>
      </w:r>
    </w:p>
    <w:p w14:paraId="057E2334" w14:textId="77777777" w:rsidR="00F77505" w:rsidRDefault="00F77505" w:rsidP="00F77505">
      <w:pPr>
        <w:jc w:val="both"/>
      </w:pPr>
      <w:r w:rsidRPr="001A2D8C">
        <w:t>Le CPR (</w:t>
      </w:r>
      <w:proofErr w:type="spellStart"/>
      <w:r w:rsidRPr="001A2D8C">
        <w:t>Conditional</w:t>
      </w:r>
      <w:proofErr w:type="spellEnd"/>
      <w:r w:rsidRPr="001A2D8C">
        <w:t xml:space="preserve"> </w:t>
      </w:r>
      <w:proofErr w:type="spellStart"/>
      <w:r w:rsidRPr="001A2D8C">
        <w:t>Prepayment</w:t>
      </w:r>
      <w:proofErr w:type="spellEnd"/>
      <w:r w:rsidRPr="001A2D8C">
        <w:t xml:space="preserve"> Rate) annualisé est alors calculé par la formule suivante :</w:t>
      </w:r>
    </w:p>
    <w:p w14:paraId="53192E2C" w14:textId="77777777" w:rsidR="00F77505" w:rsidRPr="00DD30CB" w:rsidRDefault="00F77505" w:rsidP="00F77505">
      <w:pPr>
        <w:jc w:val="both"/>
        <w:rPr>
          <w:rFonts w:eastAsiaTheme="minorEastAsia"/>
        </w:rPr>
      </w:pPr>
      <m:oMathPara>
        <m:oMath>
          <m:r>
            <w:rPr>
              <w:rFonts w:ascii="Cambria Math" w:hAnsi="Cambria Math"/>
            </w:rPr>
            <m:t>CPR=1-</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montant pr</m:t>
                      </m:r>
                      <m:r>
                        <w:rPr>
                          <w:rFonts w:ascii="Cambria Math" w:hAnsi="Cambria Math"/>
                        </w:rPr>
                        <m:t>é</m:t>
                      </m:r>
                      <m:r>
                        <w:rPr>
                          <w:rFonts w:ascii="Cambria Math" w:hAnsi="Cambria Math"/>
                        </w:rPr>
                        <m:t>pay</m:t>
                      </m:r>
                      <m:r>
                        <w:rPr>
                          <w:rFonts w:ascii="Cambria Math" w:hAnsi="Cambria Math"/>
                        </w:rPr>
                        <m:t>é</m:t>
                      </m:r>
                      <m:r>
                        <w:rPr>
                          <w:rFonts w:ascii="Cambria Math" w:hAnsi="Cambria Math"/>
                        </w:rPr>
                        <m:t> du trimestre</m:t>
                      </m:r>
                    </m:num>
                    <m:den>
                      <m:r>
                        <w:rPr>
                          <w:rFonts w:ascii="Cambria Math" w:hAnsi="Cambria Math"/>
                        </w:rPr>
                        <m:t>encours en début de trimestre</m:t>
                      </m:r>
                    </m:den>
                  </m:f>
                </m:e>
              </m:d>
            </m:e>
            <m:sup>
              <m:r>
                <w:rPr>
                  <w:rFonts w:ascii="Cambria Math" w:hAnsi="Cambria Math"/>
                </w:rPr>
                <m:t>4</m:t>
              </m:r>
            </m:sup>
          </m:sSup>
        </m:oMath>
      </m:oMathPara>
    </w:p>
    <w:p w14:paraId="080D353D" w14:textId="77777777" w:rsidR="00F77505" w:rsidRPr="001A2D8C" w:rsidRDefault="00F77505" w:rsidP="00F77505">
      <w:pPr>
        <w:jc w:val="both"/>
      </w:pPr>
    </w:p>
    <w:p w14:paraId="7DC0242C" w14:textId="77777777" w:rsidR="00F77505" w:rsidRPr="001A2D8C" w:rsidRDefault="00F77505" w:rsidP="00F77505">
      <w:pPr>
        <w:pStyle w:val="Titre2"/>
        <w:numPr>
          <w:ilvl w:val="0"/>
          <w:numId w:val="16"/>
        </w:numPr>
        <w:tabs>
          <w:tab w:val="num" w:pos="284"/>
          <w:tab w:val="num" w:pos="360"/>
        </w:tabs>
        <w:ind w:left="340" w:hanging="227"/>
        <w:rPr>
          <w:b/>
          <w:bCs/>
        </w:rPr>
      </w:pPr>
      <w:bookmarkStart w:id="31" w:name="_Toc195090997"/>
      <w:bookmarkStart w:id="32" w:name="_Toc195168730"/>
      <w:r w:rsidRPr="001A2D8C">
        <w:rPr>
          <w:b/>
          <w:bCs/>
        </w:rPr>
        <w:t>Montants et nombre de prêts émis chaque année (</w:t>
      </w:r>
      <w:proofErr w:type="spellStart"/>
      <w:r w:rsidRPr="001A2D8C">
        <w:rPr>
          <w:b/>
          <w:bCs/>
        </w:rPr>
        <w:t>Amounts</w:t>
      </w:r>
      <w:proofErr w:type="spellEnd"/>
      <w:r w:rsidRPr="001A2D8C">
        <w:rPr>
          <w:b/>
          <w:bCs/>
        </w:rPr>
        <w:t xml:space="preserve"> and </w:t>
      </w:r>
      <w:proofErr w:type="spellStart"/>
      <w:r w:rsidRPr="001A2D8C">
        <w:rPr>
          <w:b/>
          <w:bCs/>
        </w:rPr>
        <w:t>Number</w:t>
      </w:r>
      <w:proofErr w:type="spellEnd"/>
      <w:r w:rsidRPr="001A2D8C">
        <w:rPr>
          <w:b/>
          <w:bCs/>
        </w:rPr>
        <w:t xml:space="preserve"> of </w:t>
      </w:r>
      <w:proofErr w:type="spellStart"/>
      <w:r w:rsidRPr="001A2D8C">
        <w:rPr>
          <w:b/>
          <w:bCs/>
        </w:rPr>
        <w:t>Loans</w:t>
      </w:r>
      <w:proofErr w:type="spellEnd"/>
      <w:r w:rsidRPr="001A2D8C">
        <w:rPr>
          <w:b/>
          <w:bCs/>
        </w:rPr>
        <w:t xml:space="preserve"> </w:t>
      </w:r>
      <w:proofErr w:type="spellStart"/>
      <w:r w:rsidRPr="001A2D8C">
        <w:rPr>
          <w:b/>
          <w:bCs/>
        </w:rPr>
        <w:t>Originated</w:t>
      </w:r>
      <w:proofErr w:type="spellEnd"/>
      <w:r w:rsidRPr="001A2D8C">
        <w:rPr>
          <w:b/>
          <w:bCs/>
        </w:rPr>
        <w:t xml:space="preserve"> per </w:t>
      </w:r>
      <w:proofErr w:type="spellStart"/>
      <w:r w:rsidRPr="001A2D8C">
        <w:rPr>
          <w:b/>
          <w:bCs/>
        </w:rPr>
        <w:t>Year</w:t>
      </w:r>
      <w:proofErr w:type="spellEnd"/>
      <w:r w:rsidRPr="001A2D8C">
        <w:rPr>
          <w:b/>
          <w:bCs/>
        </w:rPr>
        <w:t>)</w:t>
      </w:r>
      <w:bookmarkEnd w:id="31"/>
      <w:bookmarkEnd w:id="32"/>
    </w:p>
    <w:p w14:paraId="4F38A2F8" w14:textId="77777777" w:rsidR="00F77505" w:rsidRPr="001A2D8C" w:rsidRDefault="00F77505" w:rsidP="00F77505">
      <w:pPr>
        <w:jc w:val="both"/>
      </w:pPr>
      <w:r w:rsidRPr="001A2D8C">
        <w:t>L’objectif est de présenter :</w:t>
      </w:r>
    </w:p>
    <w:p w14:paraId="4AD0EF04" w14:textId="77777777" w:rsidR="00F77505" w:rsidRPr="001A2D8C" w:rsidRDefault="00F77505" w:rsidP="00F77505">
      <w:pPr>
        <w:pStyle w:val="Paragraphedeliste"/>
        <w:numPr>
          <w:ilvl w:val="0"/>
          <w:numId w:val="32"/>
        </w:numPr>
        <w:jc w:val="both"/>
      </w:pPr>
      <w:r w:rsidRPr="001A2D8C">
        <w:t>Le nombre de prêts émis ;</w:t>
      </w:r>
    </w:p>
    <w:p w14:paraId="4C6E4E02" w14:textId="77777777" w:rsidR="00F77505" w:rsidRPr="001A2D8C" w:rsidRDefault="00F77505" w:rsidP="00F77505">
      <w:pPr>
        <w:pStyle w:val="Paragraphedeliste"/>
        <w:numPr>
          <w:ilvl w:val="0"/>
          <w:numId w:val="32"/>
        </w:numPr>
        <w:jc w:val="both"/>
      </w:pPr>
      <w:r w:rsidRPr="001A2D8C">
        <w:t>Et le montant total des prêts octroyés chaque année.</w:t>
      </w:r>
    </w:p>
    <w:p w14:paraId="3EB38F99" w14:textId="77777777" w:rsidR="00F77505" w:rsidRDefault="00F77505" w:rsidP="00F77505">
      <w:pPr>
        <w:jc w:val="both"/>
      </w:pPr>
      <w:r w:rsidRPr="001A2D8C">
        <w:t>Ces statistiques permettent de suivre l’évolution des volumes et valeurs des nouvelles émissions de prêts sur la période considérée, et ainsi d’analyser les dynamiques de croissance ou de contraction de l’activité de prêt.</w:t>
      </w:r>
    </w:p>
    <w:p w14:paraId="0998B781" w14:textId="77777777" w:rsidR="00F77505" w:rsidRPr="00190F1B" w:rsidRDefault="00F77505" w:rsidP="00F77505">
      <w:pPr>
        <w:pStyle w:val="Titre2"/>
        <w:numPr>
          <w:ilvl w:val="0"/>
          <w:numId w:val="16"/>
        </w:numPr>
        <w:tabs>
          <w:tab w:val="num" w:pos="284"/>
          <w:tab w:val="num" w:pos="360"/>
        </w:tabs>
        <w:ind w:left="340" w:hanging="227"/>
        <w:rPr>
          <w:b/>
          <w:bCs/>
        </w:rPr>
      </w:pPr>
      <w:bookmarkStart w:id="33" w:name="_Toc195090998"/>
      <w:bookmarkStart w:id="34" w:name="_Toc195168731"/>
      <w:r w:rsidRPr="00190F1B">
        <w:rPr>
          <w:b/>
          <w:bCs/>
        </w:rPr>
        <w:t xml:space="preserve">Statistiques sur les pertes cumulées et provisions (Cumulative </w:t>
      </w:r>
      <w:proofErr w:type="spellStart"/>
      <w:r w:rsidRPr="00190F1B">
        <w:rPr>
          <w:b/>
          <w:bCs/>
        </w:rPr>
        <w:t>Losses</w:t>
      </w:r>
      <w:proofErr w:type="spellEnd"/>
      <w:r w:rsidRPr="00190F1B">
        <w:rPr>
          <w:b/>
          <w:bCs/>
        </w:rPr>
        <w:t xml:space="preserve"> and Provisions)</w:t>
      </w:r>
      <w:bookmarkEnd w:id="33"/>
      <w:bookmarkEnd w:id="34"/>
    </w:p>
    <w:p w14:paraId="42C477F3" w14:textId="77777777" w:rsidR="00F77505" w:rsidRPr="00190F1B" w:rsidRDefault="00F77505" w:rsidP="00F77505">
      <w:pPr>
        <w:jc w:val="both"/>
      </w:pPr>
      <w:r w:rsidRPr="00190F1B">
        <w:t>Comme pour les autres analyses, la première étape consiste à définir un périmètre de données éligibles en appliquant des critères pertinents et matériels, représentatifs du portefeuille titrisé. Par exemple :</w:t>
      </w:r>
    </w:p>
    <w:p w14:paraId="063A85F0" w14:textId="77777777" w:rsidR="00F77505" w:rsidRPr="00190F1B" w:rsidRDefault="00F77505" w:rsidP="00F77505">
      <w:pPr>
        <w:pStyle w:val="Paragraphedeliste"/>
        <w:numPr>
          <w:ilvl w:val="0"/>
          <w:numId w:val="33"/>
        </w:numPr>
        <w:jc w:val="both"/>
      </w:pPr>
      <w:r w:rsidRPr="00190F1B">
        <w:t>PCRU = BDDF</w:t>
      </w:r>
    </w:p>
    <w:p w14:paraId="0E3107CE" w14:textId="77777777" w:rsidR="00F77505" w:rsidRPr="00190F1B" w:rsidRDefault="00F77505" w:rsidP="00F77505">
      <w:pPr>
        <w:pStyle w:val="Paragraphedeliste"/>
        <w:numPr>
          <w:ilvl w:val="0"/>
          <w:numId w:val="33"/>
        </w:numPr>
        <w:jc w:val="both"/>
      </w:pPr>
      <w:r w:rsidRPr="00190F1B">
        <w:t>Segment = PME et Grandes Entreprises</w:t>
      </w:r>
    </w:p>
    <w:p w14:paraId="0A05257C" w14:textId="77777777" w:rsidR="00F77505" w:rsidRPr="00190F1B" w:rsidRDefault="00F77505" w:rsidP="00F77505">
      <w:pPr>
        <w:pStyle w:val="Paragraphedeliste"/>
        <w:numPr>
          <w:ilvl w:val="0"/>
          <w:numId w:val="33"/>
        </w:numPr>
        <w:jc w:val="both"/>
      </w:pPr>
      <w:r w:rsidRPr="00190F1B">
        <w:t>Notation interne à l’origine &gt; 6+</w:t>
      </w:r>
    </w:p>
    <w:p w14:paraId="027BA9A4" w14:textId="77777777" w:rsidR="00F77505" w:rsidRPr="00190F1B" w:rsidRDefault="00F77505" w:rsidP="00F77505">
      <w:pPr>
        <w:pStyle w:val="Paragraphedeliste"/>
        <w:numPr>
          <w:ilvl w:val="0"/>
          <w:numId w:val="33"/>
        </w:numPr>
        <w:jc w:val="both"/>
      </w:pPr>
      <w:r w:rsidRPr="00190F1B">
        <w:t>Méthode Bâle = IRBA</w:t>
      </w:r>
    </w:p>
    <w:p w14:paraId="5D27B6C4" w14:textId="77777777" w:rsidR="00F77505" w:rsidRPr="00190F1B" w:rsidRDefault="00F77505" w:rsidP="00F77505">
      <w:pPr>
        <w:pStyle w:val="Paragraphedeliste"/>
        <w:numPr>
          <w:ilvl w:val="0"/>
          <w:numId w:val="33"/>
        </w:numPr>
        <w:jc w:val="both"/>
      </w:pPr>
      <w:r w:rsidRPr="00190F1B">
        <w:t>Devise des prêts = EUR</w:t>
      </w:r>
    </w:p>
    <w:p w14:paraId="579B7444" w14:textId="77777777" w:rsidR="00F77505" w:rsidRPr="00190F1B" w:rsidRDefault="00F77505" w:rsidP="00F77505">
      <w:pPr>
        <w:jc w:val="both"/>
      </w:pPr>
      <w:r w:rsidRPr="00190F1B">
        <w:t>Ces critères visent à constituer un répertoire de données reflétant au mieux le portefeuille de référence, afin de fournir une meilleure vision des pertes historiques.</w:t>
      </w:r>
    </w:p>
    <w:p w14:paraId="01C8373D" w14:textId="77777777" w:rsidR="00F77505" w:rsidRPr="00190F1B" w:rsidRDefault="00F77505" w:rsidP="00F77505">
      <w:pPr>
        <w:jc w:val="both"/>
      </w:pPr>
      <w:r w:rsidRPr="00190F1B">
        <w:t>Pour chaque date de clôture de fin d’année, de 2008 à 2021, on observe les éléments suivants :</w:t>
      </w:r>
    </w:p>
    <w:p w14:paraId="78FBCD2A" w14:textId="77777777" w:rsidR="00F77505" w:rsidRPr="00190F1B" w:rsidRDefault="00F77505" w:rsidP="00F77505">
      <w:pPr>
        <w:pStyle w:val="Paragraphedeliste"/>
        <w:numPr>
          <w:ilvl w:val="0"/>
          <w:numId w:val="34"/>
        </w:numPr>
        <w:jc w:val="both"/>
      </w:pPr>
      <w:r w:rsidRPr="00190F1B">
        <w:t>Le montant des prêts sains ;</w:t>
      </w:r>
    </w:p>
    <w:p w14:paraId="6EFAB254" w14:textId="77777777" w:rsidR="00F77505" w:rsidRPr="00190F1B" w:rsidRDefault="00F77505" w:rsidP="00F77505">
      <w:pPr>
        <w:pStyle w:val="Paragraphedeliste"/>
        <w:numPr>
          <w:ilvl w:val="0"/>
          <w:numId w:val="34"/>
        </w:numPr>
        <w:jc w:val="both"/>
      </w:pPr>
      <w:r w:rsidRPr="00190F1B">
        <w:t>Le montant des prêts en défaut ;</w:t>
      </w:r>
    </w:p>
    <w:p w14:paraId="22982AD7" w14:textId="77777777" w:rsidR="00F77505" w:rsidRPr="00190F1B" w:rsidRDefault="00F77505" w:rsidP="00F77505">
      <w:pPr>
        <w:pStyle w:val="Paragraphedeliste"/>
        <w:numPr>
          <w:ilvl w:val="0"/>
          <w:numId w:val="34"/>
        </w:numPr>
        <w:jc w:val="both"/>
      </w:pPr>
      <w:r w:rsidRPr="00190F1B">
        <w:t>Le montant cumulé des pertes depuis l’origine ;</w:t>
      </w:r>
    </w:p>
    <w:p w14:paraId="42B04A5B" w14:textId="77777777" w:rsidR="00F77505" w:rsidRPr="00190F1B" w:rsidRDefault="00F77505" w:rsidP="00F77505">
      <w:pPr>
        <w:pStyle w:val="Paragraphedeliste"/>
        <w:numPr>
          <w:ilvl w:val="0"/>
          <w:numId w:val="34"/>
        </w:numPr>
        <w:jc w:val="both"/>
      </w:pPr>
      <w:r w:rsidRPr="00190F1B">
        <w:t>Les provisions constituées sur les prêts en défaut.</w:t>
      </w:r>
    </w:p>
    <w:p w14:paraId="00214D25" w14:textId="77777777" w:rsidR="00F77505" w:rsidRDefault="00F77505" w:rsidP="00F77505">
      <w:pPr>
        <w:jc w:val="both"/>
      </w:pPr>
      <w:r w:rsidRPr="00190F1B">
        <w:t xml:space="preserve">Le </w:t>
      </w:r>
      <w:r w:rsidRPr="00190F1B">
        <w:rPr>
          <w:b/>
          <w:bCs/>
        </w:rPr>
        <w:t>Coût du Risque (</w:t>
      </w:r>
      <w:proofErr w:type="spellStart"/>
      <w:r w:rsidRPr="00190F1B">
        <w:rPr>
          <w:b/>
          <w:bCs/>
        </w:rPr>
        <w:t>CoR</w:t>
      </w:r>
      <w:proofErr w:type="spellEnd"/>
      <w:r w:rsidRPr="00190F1B">
        <w:rPr>
          <w:b/>
          <w:bCs/>
        </w:rPr>
        <w:t>)</w:t>
      </w:r>
      <w:r w:rsidRPr="00190F1B">
        <w:t xml:space="preserve"> est alors calculé comme suit :</w:t>
      </w:r>
    </w:p>
    <w:p w14:paraId="18992DE1" w14:textId="77777777" w:rsidR="00F77505" w:rsidRPr="00190F1B" w:rsidRDefault="00F77505" w:rsidP="00F77505">
      <w:pPr>
        <w:jc w:val="both"/>
      </w:pPr>
      <m:oMathPara>
        <m:oMath>
          <m:r>
            <w:rPr>
              <w:rFonts w:ascii="Cambria Math" w:hAnsi="Cambria Math"/>
            </w:rPr>
            <w:lastRenderedPageBreak/>
            <m:t>CoR=</m:t>
          </m:r>
          <m:f>
            <m:fPr>
              <m:ctrlPr>
                <w:rPr>
                  <w:rFonts w:ascii="Cambria Math" w:hAnsi="Cambria Math"/>
                  <w:i/>
                </w:rPr>
              </m:ctrlPr>
            </m:fPr>
            <m:num>
              <m:r>
                <w:rPr>
                  <w:rFonts w:ascii="Cambria Math" w:hAnsi="Cambria Math"/>
                </w:rPr>
                <m:t>Pertes cumul</m:t>
              </m:r>
              <m:r>
                <w:rPr>
                  <w:rFonts w:ascii="Cambria Math" w:hAnsi="Cambria Math"/>
                </w:rPr>
                <m:t>ées</m:t>
              </m:r>
              <m:r>
                <w:rPr>
                  <w:rFonts w:ascii="Cambria Math" w:hAnsi="Cambria Math"/>
                </w:rPr>
                <m:t> depuis l’origine+Provisions actuelles sur d</m:t>
              </m:r>
              <m:r>
                <w:rPr>
                  <w:rFonts w:ascii="Cambria Math" w:hAnsi="Cambria Math"/>
                </w:rPr>
                <m:t>é</m:t>
              </m:r>
              <m:r>
                <w:rPr>
                  <w:rFonts w:ascii="Cambria Math" w:hAnsi="Cambria Math"/>
                </w:rPr>
                <m:t>faut</m:t>
              </m:r>
            </m:num>
            <m:den>
              <m:r>
                <w:rPr>
                  <w:rFonts w:ascii="Cambria Math" w:hAnsi="Cambria Math"/>
                </w:rPr>
                <m:t xml:space="preserve">Encours total à la date clôture </m:t>
              </m:r>
            </m:den>
          </m:f>
          <m:r>
            <w:rPr>
              <w:rFonts w:ascii="Cambria Math" w:hAnsi="Cambria Math"/>
            </w:rPr>
            <m:t>​</m:t>
          </m:r>
        </m:oMath>
      </m:oMathPara>
    </w:p>
    <w:p w14:paraId="4781D560" w14:textId="77777777" w:rsidR="00F77505" w:rsidRPr="00190F1B" w:rsidRDefault="00F77505" w:rsidP="00F77505">
      <w:pPr>
        <w:jc w:val="both"/>
      </w:pPr>
      <w:r w:rsidRPr="00190F1B">
        <w:t>Ce ratio reflète, à une date donnée, la perte cumulée estimée sur le stock de prêts en défaut, et représente une approximation de la perte finale attendue pour les encours les plus anciens.</w:t>
      </w:r>
    </w:p>
    <w:p w14:paraId="5AE39467" w14:textId="77777777" w:rsidR="00F77505" w:rsidRPr="00190F1B" w:rsidRDefault="00F77505" w:rsidP="00F77505">
      <w:pPr>
        <w:pStyle w:val="Titre2"/>
        <w:numPr>
          <w:ilvl w:val="0"/>
          <w:numId w:val="16"/>
        </w:numPr>
        <w:tabs>
          <w:tab w:val="num" w:pos="284"/>
          <w:tab w:val="num" w:pos="360"/>
        </w:tabs>
        <w:ind w:left="340" w:hanging="227"/>
        <w:rPr>
          <w:b/>
          <w:bCs/>
        </w:rPr>
      </w:pPr>
      <w:bookmarkStart w:id="35" w:name="_Toc195090999"/>
      <w:bookmarkStart w:id="36" w:name="_Toc195168732"/>
      <w:r w:rsidRPr="00190F1B">
        <w:rPr>
          <w:b/>
          <w:bCs/>
        </w:rPr>
        <w:t>Typologie des défauts observés (</w:t>
      </w:r>
      <w:proofErr w:type="spellStart"/>
      <w:r w:rsidRPr="00190F1B">
        <w:rPr>
          <w:b/>
          <w:bCs/>
        </w:rPr>
        <w:t>Typology</w:t>
      </w:r>
      <w:proofErr w:type="spellEnd"/>
      <w:r w:rsidRPr="00190F1B">
        <w:rPr>
          <w:b/>
          <w:bCs/>
        </w:rPr>
        <w:t xml:space="preserve"> of Defaults)</w:t>
      </w:r>
      <w:bookmarkEnd w:id="35"/>
      <w:bookmarkEnd w:id="36"/>
    </w:p>
    <w:p w14:paraId="67C11F3D" w14:textId="77777777" w:rsidR="00F77505" w:rsidRPr="00190F1B" w:rsidRDefault="00F77505" w:rsidP="00F77505">
      <w:pPr>
        <w:jc w:val="both"/>
      </w:pPr>
      <w:r w:rsidRPr="00190F1B">
        <w:t>L’objectif est d’analyser, par année, la répartition des causes de passage en défaut sur le périmètre sélectionné.</w:t>
      </w:r>
    </w:p>
    <w:p w14:paraId="76D84F9B" w14:textId="77777777" w:rsidR="00F77505" w:rsidRPr="00190F1B" w:rsidRDefault="00F77505" w:rsidP="00F77505">
      <w:pPr>
        <w:jc w:val="both"/>
      </w:pPr>
      <w:r w:rsidRPr="00190F1B">
        <w:t>Cela inclut :</w:t>
      </w:r>
    </w:p>
    <w:p w14:paraId="6372F574" w14:textId="77777777" w:rsidR="00F77505" w:rsidRPr="00626BD3" w:rsidRDefault="00F77505" w:rsidP="00F77505">
      <w:pPr>
        <w:pStyle w:val="Paragraphedeliste"/>
        <w:numPr>
          <w:ilvl w:val="0"/>
          <w:numId w:val="35"/>
        </w:numPr>
        <w:jc w:val="both"/>
      </w:pPr>
      <w:r w:rsidRPr="00626BD3">
        <w:t>L’identification des motifs de défaut (ex. : retard de paiement, procédure judiciaire, restructuration, etc.) codés en typologies 8, 9 et 10 ;</w:t>
      </w:r>
    </w:p>
    <w:p w14:paraId="4C3F3EA1" w14:textId="77777777" w:rsidR="00F77505" w:rsidRPr="00626BD3" w:rsidRDefault="00F77505" w:rsidP="00F77505">
      <w:pPr>
        <w:pStyle w:val="Paragraphedeliste"/>
        <w:numPr>
          <w:ilvl w:val="0"/>
          <w:numId w:val="35"/>
        </w:numPr>
        <w:jc w:val="both"/>
      </w:pPr>
      <w:r w:rsidRPr="00626BD3">
        <w:t>Le volume de cas associés à chaque typologie pour chaque année de la période d’étude.</w:t>
      </w:r>
    </w:p>
    <w:p w14:paraId="31527803" w14:textId="77777777" w:rsidR="00F77505" w:rsidRDefault="00F77505" w:rsidP="00F77505">
      <w:pPr>
        <w:jc w:val="both"/>
      </w:pPr>
      <w:r w:rsidRPr="00190F1B">
        <w:t>Ce suivi permet de mieux comprendre l’évolution des facteurs de risque associés aux défauts dans le temps.</w:t>
      </w:r>
    </w:p>
    <w:p w14:paraId="43D2D68B" w14:textId="77777777" w:rsidR="00F77505" w:rsidRPr="00370907" w:rsidRDefault="00F77505" w:rsidP="00F77505">
      <w:pPr>
        <w:pStyle w:val="Titre2"/>
        <w:numPr>
          <w:ilvl w:val="0"/>
          <w:numId w:val="16"/>
        </w:numPr>
        <w:tabs>
          <w:tab w:val="num" w:pos="284"/>
          <w:tab w:val="num" w:pos="360"/>
        </w:tabs>
        <w:ind w:left="340" w:hanging="227"/>
        <w:rPr>
          <w:b/>
          <w:bCs/>
        </w:rPr>
      </w:pPr>
      <w:bookmarkStart w:id="37" w:name="_Toc195091000"/>
      <w:bookmarkStart w:id="38" w:name="_Toc195168733"/>
      <w:r w:rsidRPr="00370907">
        <w:rPr>
          <w:b/>
          <w:bCs/>
        </w:rPr>
        <w:t xml:space="preserve">Typologie des prêts en </w:t>
      </w:r>
      <w:proofErr w:type="spellStart"/>
      <w:r w:rsidRPr="00370907">
        <w:rPr>
          <w:b/>
          <w:bCs/>
        </w:rPr>
        <w:t>Watchlist</w:t>
      </w:r>
      <w:proofErr w:type="spellEnd"/>
      <w:r w:rsidRPr="00370907">
        <w:rPr>
          <w:b/>
          <w:bCs/>
        </w:rPr>
        <w:t xml:space="preserve"> et taux de transition vers le défaut (</w:t>
      </w:r>
      <w:proofErr w:type="spellStart"/>
      <w:r w:rsidRPr="00370907">
        <w:rPr>
          <w:b/>
          <w:bCs/>
        </w:rPr>
        <w:t>Typology</w:t>
      </w:r>
      <w:proofErr w:type="spellEnd"/>
      <w:r w:rsidRPr="00370907">
        <w:rPr>
          <w:b/>
          <w:bCs/>
        </w:rPr>
        <w:t xml:space="preserve"> of </w:t>
      </w:r>
      <w:proofErr w:type="spellStart"/>
      <w:r w:rsidRPr="00370907">
        <w:rPr>
          <w:b/>
          <w:bCs/>
        </w:rPr>
        <w:t>Loans</w:t>
      </w:r>
      <w:proofErr w:type="spellEnd"/>
      <w:r w:rsidRPr="00370907">
        <w:rPr>
          <w:b/>
          <w:bCs/>
        </w:rPr>
        <w:t xml:space="preserve"> </w:t>
      </w:r>
      <w:proofErr w:type="spellStart"/>
      <w:r w:rsidRPr="00370907">
        <w:rPr>
          <w:b/>
          <w:bCs/>
        </w:rPr>
        <w:t>under</w:t>
      </w:r>
      <w:proofErr w:type="spellEnd"/>
      <w:r w:rsidRPr="00370907">
        <w:rPr>
          <w:b/>
          <w:bCs/>
        </w:rPr>
        <w:t xml:space="preserve"> </w:t>
      </w:r>
      <w:proofErr w:type="spellStart"/>
      <w:r w:rsidRPr="00370907">
        <w:rPr>
          <w:b/>
          <w:bCs/>
        </w:rPr>
        <w:t>Watchlist</w:t>
      </w:r>
      <w:proofErr w:type="spellEnd"/>
      <w:r w:rsidRPr="00370907">
        <w:rPr>
          <w:b/>
          <w:bCs/>
        </w:rPr>
        <w:t xml:space="preserve"> and Transition Rates to Defaults)</w:t>
      </w:r>
      <w:bookmarkEnd w:id="37"/>
      <w:bookmarkEnd w:id="38"/>
    </w:p>
    <w:p w14:paraId="0A7D68F8" w14:textId="77777777" w:rsidR="00F77505" w:rsidRPr="00370907" w:rsidRDefault="00F77505" w:rsidP="00F77505">
      <w:pPr>
        <w:jc w:val="both"/>
      </w:pPr>
      <w:r w:rsidRPr="00370907">
        <w:t xml:space="preserve">L’objectif est d’obtenir un historique des raisons de passage en </w:t>
      </w:r>
      <w:proofErr w:type="spellStart"/>
      <w:r w:rsidRPr="00370907">
        <w:t>Watchlist</w:t>
      </w:r>
      <w:proofErr w:type="spellEnd"/>
      <w:r w:rsidRPr="00370907">
        <w:t xml:space="preserve"> (WL), avec des informations permettant d’estimer la probabilité de transition vers un défaut et le temps écoulé entre le passage en WL et l’entrée en défaut.</w:t>
      </w:r>
    </w:p>
    <w:p w14:paraId="083096BD" w14:textId="77777777" w:rsidR="00F77505" w:rsidRPr="00370907" w:rsidRDefault="00F77505" w:rsidP="00F77505">
      <w:pPr>
        <w:jc w:val="both"/>
      </w:pPr>
      <w:r w:rsidRPr="00370907">
        <w:t>Les éléments à documenter pour chaque année de la période d’étude :</w:t>
      </w:r>
    </w:p>
    <w:p w14:paraId="4B137D51" w14:textId="77777777" w:rsidR="00F77505" w:rsidRPr="00370907" w:rsidRDefault="00F77505" w:rsidP="00F77505">
      <w:pPr>
        <w:pStyle w:val="Paragraphedeliste"/>
        <w:numPr>
          <w:ilvl w:val="0"/>
          <w:numId w:val="36"/>
        </w:numPr>
        <w:jc w:val="both"/>
      </w:pPr>
      <w:r w:rsidRPr="00370907">
        <w:t>Les raisons de passage en WL, classées par typologie ;</w:t>
      </w:r>
    </w:p>
    <w:p w14:paraId="45BB7028" w14:textId="77777777" w:rsidR="00F77505" w:rsidRPr="00370907" w:rsidRDefault="00F77505" w:rsidP="00F77505">
      <w:pPr>
        <w:pStyle w:val="Paragraphedeliste"/>
        <w:numPr>
          <w:ilvl w:val="0"/>
          <w:numId w:val="36"/>
        </w:numPr>
        <w:jc w:val="both"/>
      </w:pPr>
      <w:r w:rsidRPr="00370907">
        <w:t>Le nombre de prêts en WL, par typologie et par segment (SME / LC) ;</w:t>
      </w:r>
    </w:p>
    <w:p w14:paraId="42CA7F4E" w14:textId="77777777" w:rsidR="00F77505" w:rsidRPr="00370907" w:rsidRDefault="00F77505" w:rsidP="00F77505">
      <w:pPr>
        <w:pStyle w:val="Paragraphedeliste"/>
        <w:numPr>
          <w:ilvl w:val="0"/>
          <w:numId w:val="36"/>
        </w:numPr>
        <w:jc w:val="both"/>
      </w:pPr>
      <w:r w:rsidRPr="00370907">
        <w:t>Le nombre et pourcentage de prêts en WL qui passent en défaut ;</w:t>
      </w:r>
    </w:p>
    <w:p w14:paraId="6D82A5D4" w14:textId="77777777" w:rsidR="00F77505" w:rsidRPr="00370907" w:rsidRDefault="00F77505" w:rsidP="00F77505">
      <w:pPr>
        <w:pStyle w:val="Paragraphedeliste"/>
        <w:numPr>
          <w:ilvl w:val="0"/>
          <w:numId w:val="36"/>
        </w:numPr>
        <w:jc w:val="both"/>
      </w:pPr>
      <w:r w:rsidRPr="00370907">
        <w:t>Le délai moyen entre WL et défaut (en trimestres).</w:t>
      </w:r>
    </w:p>
    <w:p w14:paraId="4820B5B1" w14:textId="77777777" w:rsidR="00F77505" w:rsidRPr="00370907" w:rsidRDefault="00F77505" w:rsidP="00F77505">
      <w:pPr>
        <w:pStyle w:val="Titre2"/>
        <w:numPr>
          <w:ilvl w:val="0"/>
          <w:numId w:val="16"/>
        </w:numPr>
        <w:tabs>
          <w:tab w:val="num" w:pos="284"/>
          <w:tab w:val="num" w:pos="360"/>
        </w:tabs>
        <w:ind w:left="340" w:hanging="227"/>
        <w:rPr>
          <w:b/>
          <w:bCs/>
        </w:rPr>
      </w:pPr>
      <w:bookmarkStart w:id="39" w:name="_Toc195091001"/>
      <w:bookmarkStart w:id="40" w:name="_Toc195168734"/>
      <w:r w:rsidRPr="00370907">
        <w:rPr>
          <w:b/>
          <w:bCs/>
        </w:rPr>
        <w:t>Délai de paiement par millésime d’origine et par tranche de retard (</w:t>
      </w:r>
      <w:proofErr w:type="spellStart"/>
      <w:r w:rsidRPr="00370907">
        <w:rPr>
          <w:b/>
          <w:bCs/>
        </w:rPr>
        <w:t>Delinquency</w:t>
      </w:r>
      <w:proofErr w:type="spellEnd"/>
      <w:r w:rsidRPr="00370907">
        <w:rPr>
          <w:b/>
          <w:bCs/>
        </w:rPr>
        <w:t xml:space="preserve"> by Origination and </w:t>
      </w:r>
      <w:proofErr w:type="spellStart"/>
      <w:r w:rsidRPr="00370907">
        <w:rPr>
          <w:b/>
          <w:bCs/>
        </w:rPr>
        <w:t>Bucket</w:t>
      </w:r>
      <w:proofErr w:type="spellEnd"/>
      <w:r w:rsidRPr="00370907">
        <w:rPr>
          <w:b/>
          <w:bCs/>
        </w:rPr>
        <w:t>)</w:t>
      </w:r>
      <w:bookmarkEnd w:id="39"/>
      <w:bookmarkEnd w:id="40"/>
    </w:p>
    <w:p w14:paraId="29E734EC" w14:textId="77777777" w:rsidR="00F77505" w:rsidRPr="00370907" w:rsidRDefault="00F77505" w:rsidP="00F77505">
      <w:pPr>
        <w:jc w:val="both"/>
      </w:pPr>
      <w:r w:rsidRPr="00370907">
        <w:t>L’objectif est d’analyser les retards de paiement (</w:t>
      </w:r>
      <w:proofErr w:type="spellStart"/>
      <w:r w:rsidRPr="00370907">
        <w:t>delinquencies</w:t>
      </w:r>
      <w:proofErr w:type="spellEnd"/>
      <w:r w:rsidRPr="00370907">
        <w:t>) des prêts en les classant :</w:t>
      </w:r>
    </w:p>
    <w:p w14:paraId="25E6119C" w14:textId="77777777" w:rsidR="00F77505" w:rsidRPr="00F5516F" w:rsidRDefault="00F77505" w:rsidP="00F77505">
      <w:pPr>
        <w:pStyle w:val="Paragraphedeliste"/>
        <w:numPr>
          <w:ilvl w:val="0"/>
          <w:numId w:val="37"/>
        </w:numPr>
        <w:jc w:val="both"/>
      </w:pPr>
      <w:r w:rsidRPr="00F5516F">
        <w:t>Par année de génération (millésime d’origine) ;</w:t>
      </w:r>
    </w:p>
    <w:p w14:paraId="063E5947" w14:textId="77777777" w:rsidR="00F77505" w:rsidRPr="00F5516F" w:rsidRDefault="00F77505" w:rsidP="00F77505">
      <w:pPr>
        <w:pStyle w:val="Paragraphedeliste"/>
        <w:numPr>
          <w:ilvl w:val="0"/>
          <w:numId w:val="37"/>
        </w:numPr>
        <w:jc w:val="both"/>
      </w:pPr>
      <w:r w:rsidRPr="00F5516F">
        <w:t>Par tranche de retard (</w:t>
      </w:r>
      <w:proofErr w:type="spellStart"/>
      <w:r w:rsidRPr="00F5516F">
        <w:t>bucket</w:t>
      </w:r>
      <w:proofErr w:type="spellEnd"/>
      <w:r w:rsidRPr="00F5516F">
        <w:t>), par exemple :</w:t>
      </w:r>
      <w:r>
        <w:t xml:space="preserve"> </w:t>
      </w:r>
      <w:r w:rsidRPr="00F5516F">
        <w:t xml:space="preserve">0–30 </w:t>
      </w:r>
      <w:proofErr w:type="gramStart"/>
      <w:r w:rsidRPr="00F5516F">
        <w:t>jours</w:t>
      </w:r>
      <w:r>
        <w:t>,</w:t>
      </w:r>
      <w:r w:rsidRPr="00F5516F">
        <w:t xml:space="preserve"> </w:t>
      </w:r>
      <w:r>
        <w:t xml:space="preserve"> </w:t>
      </w:r>
      <w:r w:rsidRPr="00F5516F">
        <w:t>31</w:t>
      </w:r>
      <w:proofErr w:type="gramEnd"/>
      <w:r w:rsidRPr="00F5516F">
        <w:t>–60 jours</w:t>
      </w:r>
      <w:r>
        <w:t xml:space="preserve">, </w:t>
      </w:r>
      <w:r w:rsidRPr="00F5516F">
        <w:t xml:space="preserve">61–90 </w:t>
      </w:r>
      <w:r>
        <w:t>j</w:t>
      </w:r>
      <w:r w:rsidRPr="00F5516F">
        <w:t xml:space="preserve">ours </w:t>
      </w:r>
      <w:r>
        <w:t xml:space="preserve">et </w:t>
      </w:r>
      <w:r w:rsidRPr="00F5516F">
        <w:t>90+ jours.</w:t>
      </w:r>
    </w:p>
    <w:p w14:paraId="20F3B6D6" w14:textId="77777777" w:rsidR="00F77505" w:rsidRPr="00370907" w:rsidRDefault="00F77505" w:rsidP="00F77505">
      <w:pPr>
        <w:jc w:val="both"/>
      </w:pPr>
      <w:r w:rsidRPr="00370907">
        <w:t>Les données permettent de suivre l’évolution de la qualité des portefeuilles au fil des millésimes.</w:t>
      </w:r>
    </w:p>
    <w:p w14:paraId="40B9F281" w14:textId="77777777" w:rsidR="00F77505" w:rsidRDefault="00F77505" w:rsidP="00F77505">
      <w:pPr>
        <w:jc w:val="both"/>
      </w:pPr>
    </w:p>
    <w:p w14:paraId="389912A2" w14:textId="77777777" w:rsidR="00F77505" w:rsidRDefault="00F77505" w:rsidP="00F77505">
      <w:pPr>
        <w:pStyle w:val="Titre1"/>
      </w:pPr>
      <w:bookmarkStart w:id="41" w:name="_Toc195168735"/>
      <w:r>
        <w:lastRenderedPageBreak/>
        <w:t>P</w:t>
      </w:r>
      <w:r w:rsidRPr="00ED763D">
        <w:t>rocessus</w:t>
      </w:r>
      <w:r>
        <w:t xml:space="preserve"> de production des datapacks</w:t>
      </w:r>
      <w:bookmarkEnd w:id="41"/>
    </w:p>
    <w:p w14:paraId="636CAD89" w14:textId="77777777" w:rsidR="00F77505" w:rsidRDefault="00F77505" w:rsidP="00F77505">
      <w:r>
        <w:rPr>
          <w:noProof/>
        </w:rPr>
        <w:drawing>
          <wp:inline distT="0" distB="0" distL="0" distR="0" wp14:anchorId="605A7814" wp14:editId="09BD71EF">
            <wp:extent cx="6076950" cy="3190875"/>
            <wp:effectExtent l="0" t="0" r="0" b="9525"/>
            <wp:docPr id="35844713"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4713" name="Image 1" descr="Une image contenant texte, capture d’écran, diagramme, ligne&#10;&#10;Description générée automatiquement"/>
                    <pic:cNvPicPr/>
                  </pic:nvPicPr>
                  <pic:blipFill>
                    <a:blip r:embed="rId7"/>
                    <a:stretch>
                      <a:fillRect/>
                    </a:stretch>
                  </pic:blipFill>
                  <pic:spPr>
                    <a:xfrm>
                      <a:off x="0" y="0"/>
                      <a:ext cx="6076950" cy="3190875"/>
                    </a:xfrm>
                    <a:prstGeom prst="rect">
                      <a:avLst/>
                    </a:prstGeom>
                  </pic:spPr>
                </pic:pic>
              </a:graphicData>
            </a:graphic>
          </wp:inline>
        </w:drawing>
      </w:r>
    </w:p>
    <w:p w14:paraId="5B4A550F" w14:textId="77777777" w:rsidR="00F77505" w:rsidRDefault="00F77505" w:rsidP="00F77505">
      <w:pPr>
        <w:jc w:val="both"/>
      </w:pPr>
      <w:r w:rsidRPr="004B4308">
        <w:t xml:space="preserve">Le nouveau processus de production des datapacks est automatisé et simplifié, grâce à une solution </w:t>
      </w:r>
      <w:r w:rsidRPr="004B4308">
        <w:rPr>
          <w:b/>
          <w:bCs/>
        </w:rPr>
        <w:t>Python</w:t>
      </w:r>
      <w:r w:rsidRPr="004B4308">
        <w:t xml:space="preserve"> qui intègre :</w:t>
      </w:r>
    </w:p>
    <w:p w14:paraId="4DADF6B1" w14:textId="77777777" w:rsidR="00F77505" w:rsidRDefault="00F77505" w:rsidP="00F77505">
      <w:pPr>
        <w:pStyle w:val="Paragraphedeliste"/>
        <w:numPr>
          <w:ilvl w:val="0"/>
          <w:numId w:val="15"/>
        </w:numPr>
        <w:jc w:val="both"/>
      </w:pPr>
      <w:r w:rsidRPr="00541040">
        <w:rPr>
          <w:b/>
          <w:bCs/>
        </w:rPr>
        <w:t>Collecte des données</w:t>
      </w:r>
      <w:r w:rsidRPr="00AE7072">
        <w:t xml:space="preserve"> : </w:t>
      </w:r>
      <w:r>
        <w:t>a</w:t>
      </w:r>
      <w:r w:rsidRPr="00AE7072">
        <w:t xml:space="preserve">utomatisation de la collecte des données nécessaires à la production des datapacks, </w:t>
      </w:r>
      <w:r>
        <w:t xml:space="preserve">en </w:t>
      </w:r>
      <w:r w:rsidRPr="00AE7072">
        <w:t>utilisa</w:t>
      </w:r>
      <w:r>
        <w:t>nt les données</w:t>
      </w:r>
      <w:r w:rsidRPr="00AE7072">
        <w:t xml:space="preserve"> </w:t>
      </w:r>
      <w:r>
        <w:t>préparées</w:t>
      </w:r>
      <w:r w:rsidRPr="00AE7072">
        <w:t xml:space="preserve"> </w:t>
      </w:r>
      <w:r>
        <w:t xml:space="preserve">par </w:t>
      </w:r>
      <w:r w:rsidRPr="00AE7072">
        <w:t>SA</w:t>
      </w:r>
      <w:r>
        <w:t>S</w:t>
      </w:r>
      <w:r w:rsidRPr="00AE7072">
        <w:t>.</w:t>
      </w:r>
    </w:p>
    <w:p w14:paraId="25DDC0C4" w14:textId="77777777" w:rsidR="00F77505" w:rsidRDefault="00F77505" w:rsidP="00F77505">
      <w:pPr>
        <w:pStyle w:val="Paragraphedeliste"/>
        <w:numPr>
          <w:ilvl w:val="0"/>
          <w:numId w:val="15"/>
        </w:numPr>
        <w:jc w:val="both"/>
      </w:pPr>
      <w:r w:rsidRPr="00541040">
        <w:rPr>
          <w:b/>
          <w:bCs/>
        </w:rPr>
        <w:t>Traitement des données</w:t>
      </w:r>
      <w:r w:rsidRPr="00AE7072">
        <w:t xml:space="preserve"> : </w:t>
      </w:r>
      <w:r>
        <w:t>t</w:t>
      </w:r>
      <w:r w:rsidRPr="00AE7072">
        <w:t>raitement des données collectées directement dans l’environnement Python.</w:t>
      </w:r>
    </w:p>
    <w:p w14:paraId="4738D839" w14:textId="77777777" w:rsidR="00F77505" w:rsidRDefault="00F77505" w:rsidP="00F77505">
      <w:pPr>
        <w:pStyle w:val="Paragraphedeliste"/>
        <w:numPr>
          <w:ilvl w:val="0"/>
          <w:numId w:val="15"/>
        </w:numPr>
        <w:jc w:val="both"/>
      </w:pPr>
      <w:r w:rsidRPr="00541040">
        <w:rPr>
          <w:b/>
          <w:bCs/>
        </w:rPr>
        <w:t>Calcul des indicateurs</w:t>
      </w:r>
      <w:r w:rsidRPr="00AE7072">
        <w:t xml:space="preserve"> : </w:t>
      </w:r>
      <w:r>
        <w:t>u</w:t>
      </w:r>
      <w:r w:rsidRPr="00AE7072">
        <w:t>tilisation de Python pour le calcul des indicateurs, remplaçant ainsi le besoin d'un programme R.</w:t>
      </w:r>
    </w:p>
    <w:p w14:paraId="6ACBE54F" w14:textId="77777777" w:rsidR="00F77505" w:rsidRPr="00AE7072" w:rsidRDefault="00F77505" w:rsidP="00F77505">
      <w:pPr>
        <w:pStyle w:val="Paragraphedeliste"/>
        <w:numPr>
          <w:ilvl w:val="0"/>
          <w:numId w:val="15"/>
        </w:numPr>
        <w:jc w:val="both"/>
      </w:pPr>
      <w:r>
        <w:rPr>
          <w:b/>
          <w:bCs/>
        </w:rPr>
        <w:t>A</w:t>
      </w:r>
      <w:r w:rsidRPr="00541040">
        <w:rPr>
          <w:b/>
          <w:bCs/>
        </w:rPr>
        <w:t>utomatisation des gap analyses</w:t>
      </w:r>
      <w:r w:rsidRPr="00AE7072">
        <w:t xml:space="preserve"> : </w:t>
      </w:r>
      <w:r>
        <w:t>m</w:t>
      </w:r>
      <w:r w:rsidRPr="00AE7072">
        <w:t>ise en place d’un système pour automatiser l’analyse des écarts entre les transactions N et N-1, facilitant l’évaluation de la performance et des changements au fil du temps.</w:t>
      </w:r>
    </w:p>
    <w:p w14:paraId="2B290967" w14:textId="77777777" w:rsidR="00F77505" w:rsidRDefault="00F77505" w:rsidP="00F77505">
      <w:pPr>
        <w:rPr>
          <w:highlight w:val="yellow"/>
        </w:rPr>
      </w:pPr>
    </w:p>
    <w:p w14:paraId="10978B96" w14:textId="77777777" w:rsidR="00FC3BA0" w:rsidRPr="005E6C9E" w:rsidRDefault="00FC3BA0" w:rsidP="005E6C9E"/>
    <w:sectPr w:rsidR="00FC3BA0" w:rsidRPr="005E6C9E" w:rsidSect="00F77505">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61109" w14:textId="77777777" w:rsidR="00F77505" w:rsidRDefault="00F77505" w:rsidP="00F77505">
      <w:pPr>
        <w:spacing w:after="0" w:line="240" w:lineRule="auto"/>
      </w:pPr>
      <w:r>
        <w:separator/>
      </w:r>
    </w:p>
  </w:endnote>
  <w:endnote w:type="continuationSeparator" w:id="0">
    <w:p w14:paraId="12FDD6CE" w14:textId="77777777" w:rsidR="00F77505" w:rsidRDefault="00F77505" w:rsidP="00F7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A87FA" w14:textId="77777777" w:rsidR="00F77505" w:rsidRDefault="00F7750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9464593"/>
      <w:docPartObj>
        <w:docPartGallery w:val="Page Numbers (Bottom of Page)"/>
        <w:docPartUnique/>
      </w:docPartObj>
    </w:sdtPr>
    <w:sdtEndPr/>
    <w:sdtContent>
      <w:p w14:paraId="7107A2FE" w14:textId="77777777" w:rsidR="00F77505" w:rsidRPr="00063559" w:rsidRDefault="00F77505">
        <w:pPr>
          <w:pStyle w:val="Pieddepage"/>
          <w:jc w:val="right"/>
        </w:pPr>
        <w:r w:rsidRPr="00063559">
          <w:fldChar w:fldCharType="begin"/>
        </w:r>
        <w:r w:rsidRPr="00063559">
          <w:instrText>PAGE   \* MERGEFORMAT</w:instrText>
        </w:r>
        <w:r w:rsidRPr="00063559">
          <w:fldChar w:fldCharType="separate"/>
        </w:r>
        <w:r w:rsidRPr="00063559">
          <w:t>12</w:t>
        </w:r>
        <w:r w:rsidRPr="00063559">
          <w:fldChar w:fldCharType="end"/>
        </w:r>
      </w:p>
    </w:sdtContent>
  </w:sdt>
  <w:p w14:paraId="4D04E322" w14:textId="77777777" w:rsidR="00F77505" w:rsidRPr="00063559" w:rsidRDefault="00F77505">
    <w:pPr>
      <w:pStyle w:val="Pieddepage"/>
    </w:pPr>
  </w:p>
  <w:p w14:paraId="4F8A68BE" w14:textId="77777777" w:rsidR="00F77505" w:rsidRPr="00063559" w:rsidRDefault="00F7750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1DA7C" w14:textId="77777777" w:rsidR="00F77505" w:rsidRDefault="00F775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894E2" w14:textId="77777777" w:rsidR="00F77505" w:rsidRDefault="00F77505" w:rsidP="00F77505">
      <w:pPr>
        <w:spacing w:after="0" w:line="240" w:lineRule="auto"/>
      </w:pPr>
      <w:r>
        <w:separator/>
      </w:r>
    </w:p>
  </w:footnote>
  <w:footnote w:type="continuationSeparator" w:id="0">
    <w:p w14:paraId="1365E411" w14:textId="77777777" w:rsidR="00F77505" w:rsidRDefault="00F77505" w:rsidP="00F77505">
      <w:pPr>
        <w:spacing w:after="0" w:line="240" w:lineRule="auto"/>
      </w:pPr>
      <w:r>
        <w:continuationSeparator/>
      </w:r>
    </w:p>
  </w:footnote>
  <w:footnote w:id="1">
    <w:p w14:paraId="43C8890F" w14:textId="77777777" w:rsidR="00F77505" w:rsidRDefault="00F77505" w:rsidP="00F77505">
      <w:pPr>
        <w:pStyle w:val="Notedebasdepage"/>
      </w:pPr>
      <w:r>
        <w:rPr>
          <w:rStyle w:val="Appelnotedebasdep"/>
        </w:rPr>
        <w:footnoteRef/>
      </w:r>
      <w:r>
        <w:t xml:space="preserve"> I</w:t>
      </w:r>
      <w:r w:rsidRPr="0055053E">
        <w:t>ntégration de la nouvelle segmentation IFRS9, validée par RISQ/DIR et attendue pour être mise en production d'ici fin 2024, après validation par le MRM.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ED6DE" w14:textId="77777777" w:rsidR="00F77505" w:rsidRDefault="00F7750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8C3E0" w14:textId="77777777" w:rsidR="00F77505" w:rsidRPr="00063559" w:rsidRDefault="00F77505">
    <w:pPr>
      <w:pStyle w:val="En-tte"/>
    </w:pPr>
    <w:r w:rsidRPr="00063559">
      <w:t>Note</w:t>
    </w:r>
    <w:r>
      <w:t xml:space="preserve"> </w:t>
    </w:r>
    <w:r>
      <w:t>technique</w:t>
    </w:r>
    <w:r>
      <w:t xml:space="preserve"> automatisation des datapacks</w:t>
    </w:r>
    <w:r w:rsidRPr="00063559">
      <w:tab/>
    </w:r>
    <w:r w:rsidRPr="00063559">
      <w:tab/>
    </w:r>
    <w:proofErr w:type="gramStart"/>
    <w:r>
      <w:t>Février</w:t>
    </w:r>
    <w:proofErr w:type="gramEnd"/>
    <w:r w:rsidRPr="00063559">
      <w:t xml:space="preserve"> 20</w:t>
    </w:r>
    <w:r w:rsidRPr="00063559">
      <w:t>2</w:t>
    </w:r>
    <w:r>
      <w:t>5</w:t>
    </w:r>
  </w:p>
  <w:p w14:paraId="588F3ED7" w14:textId="77777777" w:rsidR="00F77505" w:rsidRPr="00063559" w:rsidRDefault="00F7750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2D600" w14:textId="77777777" w:rsidR="00F77505" w:rsidRDefault="00F7750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40B84"/>
    <w:multiLevelType w:val="multilevel"/>
    <w:tmpl w:val="0F7E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95DC0"/>
    <w:multiLevelType w:val="hybridMultilevel"/>
    <w:tmpl w:val="973429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D4367D9"/>
    <w:multiLevelType w:val="multilevel"/>
    <w:tmpl w:val="A052F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80412"/>
    <w:multiLevelType w:val="hybridMultilevel"/>
    <w:tmpl w:val="923231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0472CEA"/>
    <w:multiLevelType w:val="multilevel"/>
    <w:tmpl w:val="A1523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F6736"/>
    <w:multiLevelType w:val="hybridMultilevel"/>
    <w:tmpl w:val="B9A69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786E53"/>
    <w:multiLevelType w:val="hybridMultilevel"/>
    <w:tmpl w:val="4FFAB9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29C7916"/>
    <w:multiLevelType w:val="hybridMultilevel"/>
    <w:tmpl w:val="011287D2"/>
    <w:lvl w:ilvl="0" w:tplc="040C0001">
      <w:start w:val="1"/>
      <w:numFmt w:val="bullet"/>
      <w:lvlText w:val=""/>
      <w:lvlJc w:val="left"/>
      <w:pPr>
        <w:ind w:left="1080" w:hanging="720"/>
      </w:pPr>
      <w:rPr>
        <w:rFonts w:ascii="Symbol" w:hAnsi="Symbol" w:hint="default"/>
      </w:rPr>
    </w:lvl>
    <w:lvl w:ilvl="1" w:tplc="07221954">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D05FD2"/>
    <w:multiLevelType w:val="multilevel"/>
    <w:tmpl w:val="6A48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13DE7"/>
    <w:multiLevelType w:val="multilevel"/>
    <w:tmpl w:val="1EDAF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07772"/>
    <w:multiLevelType w:val="multilevel"/>
    <w:tmpl w:val="694C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57AE3"/>
    <w:multiLevelType w:val="multilevel"/>
    <w:tmpl w:val="7640E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95ABB"/>
    <w:multiLevelType w:val="hybridMultilevel"/>
    <w:tmpl w:val="1B3660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3BF027D4"/>
    <w:multiLevelType w:val="multilevel"/>
    <w:tmpl w:val="43D83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A73FC"/>
    <w:multiLevelType w:val="multilevel"/>
    <w:tmpl w:val="BEA68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83AC7"/>
    <w:multiLevelType w:val="multilevel"/>
    <w:tmpl w:val="400C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274CC5"/>
    <w:multiLevelType w:val="multilevel"/>
    <w:tmpl w:val="BB706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051ECB"/>
    <w:multiLevelType w:val="hybridMultilevel"/>
    <w:tmpl w:val="3370953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48DB317F"/>
    <w:multiLevelType w:val="hybridMultilevel"/>
    <w:tmpl w:val="3D2AD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49870C58"/>
    <w:multiLevelType w:val="hybridMultilevel"/>
    <w:tmpl w:val="910863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4BA54453"/>
    <w:multiLevelType w:val="hybridMultilevel"/>
    <w:tmpl w:val="AD309C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4DF74B2B"/>
    <w:multiLevelType w:val="hybridMultilevel"/>
    <w:tmpl w:val="EA5C637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4FF1217E"/>
    <w:multiLevelType w:val="hybridMultilevel"/>
    <w:tmpl w:val="3B72E4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545226EE"/>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5334D6"/>
    <w:multiLevelType w:val="hybridMultilevel"/>
    <w:tmpl w:val="4B8C90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5C851C83"/>
    <w:multiLevelType w:val="hybridMultilevel"/>
    <w:tmpl w:val="17B24D7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61636263"/>
    <w:multiLevelType w:val="multilevel"/>
    <w:tmpl w:val="84AAF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655C58"/>
    <w:multiLevelType w:val="hybridMultilevel"/>
    <w:tmpl w:val="BD76F1E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869524E"/>
    <w:multiLevelType w:val="hybridMultilevel"/>
    <w:tmpl w:val="A154BE7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95A71D6"/>
    <w:multiLevelType w:val="hybridMultilevel"/>
    <w:tmpl w:val="CF4C39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6B7F350E"/>
    <w:multiLevelType w:val="hybridMultilevel"/>
    <w:tmpl w:val="317A8C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6E644566"/>
    <w:multiLevelType w:val="hybridMultilevel"/>
    <w:tmpl w:val="229E87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33742A8"/>
    <w:multiLevelType w:val="multilevel"/>
    <w:tmpl w:val="BC1AA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6F3896"/>
    <w:multiLevelType w:val="hybridMultilevel"/>
    <w:tmpl w:val="47D4ED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62F2E07"/>
    <w:multiLevelType w:val="hybridMultilevel"/>
    <w:tmpl w:val="0218CD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79B84E95"/>
    <w:multiLevelType w:val="hybridMultilevel"/>
    <w:tmpl w:val="D5106D36"/>
    <w:lvl w:ilvl="0" w:tplc="19A66908">
      <w:start w:val="1"/>
      <w:numFmt w:val="decimal"/>
      <w:lvlText w:val="2.%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6" w15:restartNumberingAfterBreak="0">
    <w:nsid w:val="7F0831A5"/>
    <w:multiLevelType w:val="multilevel"/>
    <w:tmpl w:val="9B1CF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606154">
    <w:abstractNumId w:val="15"/>
  </w:num>
  <w:num w:numId="2" w16cid:durableId="832916484">
    <w:abstractNumId w:val="32"/>
  </w:num>
  <w:num w:numId="3" w16cid:durableId="1703705502">
    <w:abstractNumId w:val="2"/>
  </w:num>
  <w:num w:numId="4" w16cid:durableId="1017274082">
    <w:abstractNumId w:val="10"/>
  </w:num>
  <w:num w:numId="5" w16cid:durableId="486944312">
    <w:abstractNumId w:val="0"/>
  </w:num>
  <w:num w:numId="6" w16cid:durableId="1434396150">
    <w:abstractNumId w:val="16"/>
  </w:num>
  <w:num w:numId="7" w16cid:durableId="1726754344">
    <w:abstractNumId w:val="4"/>
  </w:num>
  <w:num w:numId="8" w16cid:durableId="1463309710">
    <w:abstractNumId w:val="26"/>
  </w:num>
  <w:num w:numId="9" w16cid:durableId="1934707219">
    <w:abstractNumId w:val="8"/>
  </w:num>
  <w:num w:numId="10" w16cid:durableId="367147953">
    <w:abstractNumId w:val="36"/>
  </w:num>
  <w:num w:numId="11" w16cid:durableId="828594184">
    <w:abstractNumId w:val="13"/>
  </w:num>
  <w:num w:numId="12" w16cid:durableId="1230262882">
    <w:abstractNumId w:val="11"/>
  </w:num>
  <w:num w:numId="13" w16cid:durableId="1867525674">
    <w:abstractNumId w:val="14"/>
  </w:num>
  <w:num w:numId="14" w16cid:durableId="249972834">
    <w:abstractNumId w:val="9"/>
  </w:num>
  <w:num w:numId="15" w16cid:durableId="1192449603">
    <w:abstractNumId w:val="5"/>
  </w:num>
  <w:num w:numId="16" w16cid:durableId="404377741">
    <w:abstractNumId w:val="35"/>
  </w:num>
  <w:num w:numId="17" w16cid:durableId="102845890">
    <w:abstractNumId w:val="22"/>
  </w:num>
  <w:num w:numId="18" w16cid:durableId="1010527614">
    <w:abstractNumId w:val="19"/>
  </w:num>
  <w:num w:numId="19" w16cid:durableId="1110858853">
    <w:abstractNumId w:val="28"/>
  </w:num>
  <w:num w:numId="20" w16cid:durableId="1703746618">
    <w:abstractNumId w:val="6"/>
  </w:num>
  <w:num w:numId="21" w16cid:durableId="1799713275">
    <w:abstractNumId w:val="33"/>
  </w:num>
  <w:num w:numId="22" w16cid:durableId="1102653255">
    <w:abstractNumId w:val="3"/>
  </w:num>
  <w:num w:numId="23" w16cid:durableId="439374312">
    <w:abstractNumId w:val="7"/>
  </w:num>
  <w:num w:numId="24" w16cid:durableId="1252856247">
    <w:abstractNumId w:val="18"/>
  </w:num>
  <w:num w:numId="25" w16cid:durableId="2024277658">
    <w:abstractNumId w:val="31"/>
  </w:num>
  <w:num w:numId="26" w16cid:durableId="1798454845">
    <w:abstractNumId w:val="34"/>
  </w:num>
  <w:num w:numId="27" w16cid:durableId="540215885">
    <w:abstractNumId w:val="21"/>
  </w:num>
  <w:num w:numId="28" w16cid:durableId="379399946">
    <w:abstractNumId w:val="25"/>
  </w:num>
  <w:num w:numId="29" w16cid:durableId="1279487558">
    <w:abstractNumId w:val="12"/>
  </w:num>
  <w:num w:numId="30" w16cid:durableId="1994873250">
    <w:abstractNumId w:val="27"/>
  </w:num>
  <w:num w:numId="31" w16cid:durableId="1408962159">
    <w:abstractNumId w:val="30"/>
  </w:num>
  <w:num w:numId="32" w16cid:durableId="1641761109">
    <w:abstractNumId w:val="1"/>
  </w:num>
  <w:num w:numId="33" w16cid:durableId="2108647822">
    <w:abstractNumId w:val="20"/>
  </w:num>
  <w:num w:numId="34" w16cid:durableId="2008360120">
    <w:abstractNumId w:val="29"/>
  </w:num>
  <w:num w:numId="35" w16cid:durableId="1343166156">
    <w:abstractNumId w:val="24"/>
  </w:num>
  <w:num w:numId="36" w16cid:durableId="91437508">
    <w:abstractNumId w:val="17"/>
  </w:num>
  <w:num w:numId="37" w16cid:durableId="180435045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20"/>
    <w:rsid w:val="001C602A"/>
    <w:rsid w:val="005E6C9E"/>
    <w:rsid w:val="00BB7720"/>
    <w:rsid w:val="00C7158D"/>
    <w:rsid w:val="00DD1320"/>
    <w:rsid w:val="00E56275"/>
    <w:rsid w:val="00E66270"/>
    <w:rsid w:val="00F77505"/>
    <w:rsid w:val="00FC3BA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23F39FF"/>
  <w15:chartTrackingRefBased/>
  <w15:docId w15:val="{8C889D69-1786-44C1-A522-F929B5E4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505"/>
    <w:pPr>
      <w:spacing w:after="200" w:line="276" w:lineRule="auto"/>
    </w:pPr>
    <w:rPr>
      <w:rFonts w:ascii="Source Sans Pro" w:hAnsi="Source Sans Pro"/>
      <w:kern w:val="0"/>
      <w:sz w:val="22"/>
      <w:szCs w:val="22"/>
      <w14:ligatures w14:val="none"/>
    </w:rPr>
  </w:style>
  <w:style w:type="paragraph" w:styleId="Titre1">
    <w:name w:val="heading 1"/>
    <w:basedOn w:val="Normal"/>
    <w:next w:val="Normal"/>
    <w:link w:val="Titre1Car"/>
    <w:uiPriority w:val="9"/>
    <w:qFormat/>
    <w:rsid w:val="00DD1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D1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D13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D13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D13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D13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D13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D13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D13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13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D13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D13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D13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D13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D13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D13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D13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D1320"/>
    <w:rPr>
      <w:rFonts w:eastAsiaTheme="majorEastAsia" w:cstheme="majorBidi"/>
      <w:color w:val="272727" w:themeColor="text1" w:themeTint="D8"/>
    </w:rPr>
  </w:style>
  <w:style w:type="paragraph" w:styleId="Titre">
    <w:name w:val="Title"/>
    <w:basedOn w:val="Normal"/>
    <w:next w:val="Normal"/>
    <w:link w:val="TitreCar"/>
    <w:uiPriority w:val="10"/>
    <w:qFormat/>
    <w:rsid w:val="00DD1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13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D13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D13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D1320"/>
    <w:pPr>
      <w:spacing w:before="160"/>
      <w:jc w:val="center"/>
    </w:pPr>
    <w:rPr>
      <w:i/>
      <w:iCs/>
      <w:color w:val="404040" w:themeColor="text1" w:themeTint="BF"/>
    </w:rPr>
  </w:style>
  <w:style w:type="character" w:customStyle="1" w:styleId="CitationCar">
    <w:name w:val="Citation Car"/>
    <w:basedOn w:val="Policepardfaut"/>
    <w:link w:val="Citation"/>
    <w:uiPriority w:val="29"/>
    <w:rsid w:val="00DD1320"/>
    <w:rPr>
      <w:i/>
      <w:iCs/>
      <w:color w:val="404040" w:themeColor="text1" w:themeTint="BF"/>
    </w:rPr>
  </w:style>
  <w:style w:type="paragraph" w:styleId="Paragraphedeliste">
    <w:name w:val="List Paragraph"/>
    <w:basedOn w:val="Normal"/>
    <w:link w:val="ParagraphedelisteCar"/>
    <w:uiPriority w:val="34"/>
    <w:qFormat/>
    <w:rsid w:val="00DD1320"/>
    <w:pPr>
      <w:ind w:left="720"/>
      <w:contextualSpacing/>
    </w:pPr>
  </w:style>
  <w:style w:type="character" w:styleId="Accentuationintense">
    <w:name w:val="Intense Emphasis"/>
    <w:basedOn w:val="Policepardfaut"/>
    <w:uiPriority w:val="21"/>
    <w:qFormat/>
    <w:rsid w:val="00DD1320"/>
    <w:rPr>
      <w:i/>
      <w:iCs/>
      <w:color w:val="0F4761" w:themeColor="accent1" w:themeShade="BF"/>
    </w:rPr>
  </w:style>
  <w:style w:type="paragraph" w:styleId="Citationintense">
    <w:name w:val="Intense Quote"/>
    <w:basedOn w:val="Normal"/>
    <w:next w:val="Normal"/>
    <w:link w:val="CitationintenseCar"/>
    <w:uiPriority w:val="30"/>
    <w:qFormat/>
    <w:rsid w:val="00DD1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D1320"/>
    <w:rPr>
      <w:i/>
      <w:iCs/>
      <w:color w:val="0F4761" w:themeColor="accent1" w:themeShade="BF"/>
    </w:rPr>
  </w:style>
  <w:style w:type="character" w:styleId="Rfrenceintense">
    <w:name w:val="Intense Reference"/>
    <w:basedOn w:val="Policepardfaut"/>
    <w:uiPriority w:val="32"/>
    <w:qFormat/>
    <w:rsid w:val="00DD1320"/>
    <w:rPr>
      <w:b/>
      <w:bCs/>
      <w:smallCaps/>
      <w:color w:val="0F4761" w:themeColor="accent1" w:themeShade="BF"/>
      <w:spacing w:val="5"/>
    </w:rPr>
  </w:style>
  <w:style w:type="paragraph" w:styleId="En-tte">
    <w:name w:val="header"/>
    <w:basedOn w:val="Normal"/>
    <w:link w:val="En-tteCar"/>
    <w:uiPriority w:val="99"/>
    <w:unhideWhenUsed/>
    <w:rsid w:val="00F77505"/>
    <w:pPr>
      <w:tabs>
        <w:tab w:val="center" w:pos="4536"/>
        <w:tab w:val="right" w:pos="9072"/>
      </w:tabs>
      <w:spacing w:after="0" w:line="240" w:lineRule="auto"/>
    </w:pPr>
  </w:style>
  <w:style w:type="character" w:customStyle="1" w:styleId="En-tteCar">
    <w:name w:val="En-tête Car"/>
    <w:basedOn w:val="Policepardfaut"/>
    <w:link w:val="En-tte"/>
    <w:uiPriority w:val="99"/>
    <w:rsid w:val="00F77505"/>
    <w:rPr>
      <w:rFonts w:ascii="Source Sans Pro" w:hAnsi="Source Sans Pro"/>
      <w:kern w:val="0"/>
      <w:sz w:val="22"/>
      <w:szCs w:val="22"/>
      <w14:ligatures w14:val="none"/>
    </w:rPr>
  </w:style>
  <w:style w:type="paragraph" w:styleId="Pieddepage">
    <w:name w:val="footer"/>
    <w:basedOn w:val="Normal"/>
    <w:link w:val="PieddepageCar"/>
    <w:uiPriority w:val="99"/>
    <w:unhideWhenUsed/>
    <w:rsid w:val="00F775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7505"/>
    <w:rPr>
      <w:rFonts w:ascii="Source Sans Pro" w:hAnsi="Source Sans Pro"/>
      <w:kern w:val="0"/>
      <w:sz w:val="22"/>
      <w:szCs w:val="22"/>
      <w14:ligatures w14:val="none"/>
    </w:rPr>
  </w:style>
  <w:style w:type="paragraph" w:styleId="Notedebasdepage">
    <w:name w:val="footnote text"/>
    <w:basedOn w:val="Normal"/>
    <w:link w:val="NotedebasdepageCar"/>
    <w:uiPriority w:val="99"/>
    <w:semiHidden/>
    <w:unhideWhenUsed/>
    <w:rsid w:val="00F7750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7505"/>
    <w:rPr>
      <w:rFonts w:ascii="Source Sans Pro" w:hAnsi="Source Sans Pro"/>
      <w:kern w:val="0"/>
      <w:sz w:val="20"/>
      <w:szCs w:val="20"/>
      <w14:ligatures w14:val="none"/>
    </w:rPr>
  </w:style>
  <w:style w:type="character" w:styleId="Appelnotedebasdep">
    <w:name w:val="footnote reference"/>
    <w:basedOn w:val="Policepardfaut"/>
    <w:uiPriority w:val="99"/>
    <w:semiHidden/>
    <w:unhideWhenUsed/>
    <w:rsid w:val="00F77505"/>
    <w:rPr>
      <w:vertAlign w:val="superscript"/>
    </w:rPr>
  </w:style>
  <w:style w:type="character" w:customStyle="1" w:styleId="ParagraphedelisteCar">
    <w:name w:val="Paragraphe de liste Car"/>
    <w:basedOn w:val="Policepardfaut"/>
    <w:link w:val="Paragraphedeliste"/>
    <w:uiPriority w:val="34"/>
    <w:rsid w:val="00F7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987362">
      <w:bodyDiv w:val="1"/>
      <w:marLeft w:val="0"/>
      <w:marRight w:val="0"/>
      <w:marTop w:val="0"/>
      <w:marBottom w:val="0"/>
      <w:divBdr>
        <w:top w:val="none" w:sz="0" w:space="0" w:color="auto"/>
        <w:left w:val="none" w:sz="0" w:space="0" w:color="auto"/>
        <w:bottom w:val="none" w:sz="0" w:space="0" w:color="auto"/>
        <w:right w:val="none" w:sz="0" w:space="0" w:color="auto"/>
      </w:divBdr>
    </w:div>
    <w:div w:id="586034089">
      <w:bodyDiv w:val="1"/>
      <w:marLeft w:val="0"/>
      <w:marRight w:val="0"/>
      <w:marTop w:val="0"/>
      <w:marBottom w:val="0"/>
      <w:divBdr>
        <w:top w:val="none" w:sz="0" w:space="0" w:color="auto"/>
        <w:left w:val="none" w:sz="0" w:space="0" w:color="auto"/>
        <w:bottom w:val="none" w:sz="0" w:space="0" w:color="auto"/>
        <w:right w:val="none" w:sz="0" w:space="0" w:color="auto"/>
      </w:divBdr>
    </w:div>
    <w:div w:id="654065965">
      <w:bodyDiv w:val="1"/>
      <w:marLeft w:val="0"/>
      <w:marRight w:val="0"/>
      <w:marTop w:val="0"/>
      <w:marBottom w:val="0"/>
      <w:divBdr>
        <w:top w:val="none" w:sz="0" w:space="0" w:color="auto"/>
        <w:left w:val="none" w:sz="0" w:space="0" w:color="auto"/>
        <w:bottom w:val="none" w:sz="0" w:space="0" w:color="auto"/>
        <w:right w:val="none" w:sz="0" w:space="0" w:color="auto"/>
      </w:divBdr>
    </w:div>
    <w:div w:id="1495952169">
      <w:bodyDiv w:val="1"/>
      <w:marLeft w:val="0"/>
      <w:marRight w:val="0"/>
      <w:marTop w:val="0"/>
      <w:marBottom w:val="0"/>
      <w:divBdr>
        <w:top w:val="none" w:sz="0" w:space="0" w:color="auto"/>
        <w:left w:val="none" w:sz="0" w:space="0" w:color="auto"/>
        <w:bottom w:val="none" w:sz="0" w:space="0" w:color="auto"/>
        <w:right w:val="none" w:sz="0" w:space="0" w:color="auto"/>
      </w:divBdr>
    </w:div>
    <w:div w:id="1541360691">
      <w:bodyDiv w:val="1"/>
      <w:marLeft w:val="0"/>
      <w:marRight w:val="0"/>
      <w:marTop w:val="0"/>
      <w:marBottom w:val="0"/>
      <w:divBdr>
        <w:top w:val="none" w:sz="0" w:space="0" w:color="auto"/>
        <w:left w:val="none" w:sz="0" w:space="0" w:color="auto"/>
        <w:bottom w:val="none" w:sz="0" w:space="0" w:color="auto"/>
        <w:right w:val="none" w:sz="0" w:space="0" w:color="auto"/>
      </w:divBdr>
    </w:div>
    <w:div w:id="1571842567">
      <w:bodyDiv w:val="1"/>
      <w:marLeft w:val="0"/>
      <w:marRight w:val="0"/>
      <w:marTop w:val="0"/>
      <w:marBottom w:val="0"/>
      <w:divBdr>
        <w:top w:val="none" w:sz="0" w:space="0" w:color="auto"/>
        <w:left w:val="none" w:sz="0" w:space="0" w:color="auto"/>
        <w:bottom w:val="none" w:sz="0" w:space="0" w:color="auto"/>
        <w:right w:val="none" w:sz="0" w:space="0" w:color="auto"/>
      </w:divBdr>
    </w:div>
    <w:div w:id="2017683638">
      <w:bodyDiv w:val="1"/>
      <w:marLeft w:val="0"/>
      <w:marRight w:val="0"/>
      <w:marTop w:val="0"/>
      <w:marBottom w:val="0"/>
      <w:divBdr>
        <w:top w:val="none" w:sz="0" w:space="0" w:color="auto"/>
        <w:left w:val="none" w:sz="0" w:space="0" w:color="auto"/>
        <w:bottom w:val="none" w:sz="0" w:space="0" w:color="auto"/>
        <w:right w:val="none" w:sz="0" w:space="0" w:color="auto"/>
      </w:divBdr>
    </w:div>
    <w:div w:id="201988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ef0bb37-bc95-4fbe-a9dd-c586fa949031}" enabled="0" method="" siteId="{9ef0bb37-bc95-4fbe-a9dd-c586fa949031}" removed="1"/>
</clbl:labelList>
</file>

<file path=docProps/app.xml><?xml version="1.0" encoding="utf-8"?>
<Properties xmlns="http://schemas.openxmlformats.org/officeDocument/2006/extended-properties" xmlns:vt="http://schemas.openxmlformats.org/officeDocument/2006/docPropsVTypes">
  <Template>Normal</Template>
  <TotalTime>32</TotalTime>
  <Pages>8</Pages>
  <Words>2133</Words>
  <Characters>11736</Characters>
  <Application>Microsoft Office Word</Application>
  <DocSecurity>0</DocSecurity>
  <Lines>97</Lines>
  <Paragraphs>27</Paragraphs>
  <ScaleCrop>false</ScaleCrop>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Moussa THIOUNE</dc:creator>
  <cp:keywords/>
  <dc:description/>
  <cp:lastModifiedBy>Papa Moussa THIOUNE</cp:lastModifiedBy>
  <cp:revision>6</cp:revision>
  <dcterms:created xsi:type="dcterms:W3CDTF">2025-01-09T11:08:00Z</dcterms:created>
  <dcterms:modified xsi:type="dcterms:W3CDTF">2025-04-10T08:36:00Z</dcterms:modified>
</cp:coreProperties>
</file>