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FFFFFF" w:val="clear"/>
        </w:rPr>
        <w:t xml:space="preserve">Phù 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ườ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FFFFFF" w:val="clear"/>
        </w:rPr>
        <w:t xml:space="preserve">ng L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FFFF" w:val="clear"/>
        </w:rPr>
        <w:t xml:space="preserve">à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FFFFFF" w:val="clear"/>
        </w:rPr>
        <w:t xml:space="preserve">nh - 1161073</w:t>
      </w:r>
    </w:p>
    <w:p>
      <w:pPr>
        <w:spacing w:before="0" w:after="12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 hình Use-Case: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43" w:dyaOrig="9314">
          <v:rect xmlns:o="urn:schemas-microsoft-com:office:office" xmlns:v="urn:schemas-microsoft-com:vml" id="rectole0000000000" style="width:587.150000pt;height:4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Đặc tả Use-Case: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định đầu sách sẽ nhập: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định đầu sách sẽ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xác định được loại sách cần nhập.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một cuốn sách(&lt;&lt;extend&gt;&gt;)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ượng tồn của sách dưới mức quy định.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Loại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đó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tồn tại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xác định lập phiếu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thông báo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ượng tồn của sách theo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sách, tên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lại thông tin sách cần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Kết thúc Use-Case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Lập phiều nhập: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Lập phiếu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lập ra phiếu nhập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lý, Máy In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sách(&lt;&lt;extend&gt;&gt;)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xác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định được thông tin các sách cần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Phải có thông tin ngày lập, tên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đầu sách cần nhập, số lượng quyển.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ra phiếu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hiển thị thông tin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đầu sách cần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điển số lượng sách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ưu thông tin và in 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Thêm một cuốn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một cuốn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thêm sách vào dữ liệu sách của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sách(&lt;&lt;extend&gt;&gt;)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ượng tồn của sách thấp dưới mức quy định hoặc nhân viên thư viện muốn thêm một sách mới.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Phải tồn tại loại sách cần thêm.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 vào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thêm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thông tin cuốn sách cần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Lưu để lưu thông tin cuốn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Hệ thống thông báo thêm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Sách thất bại: Khi nhân viên nhập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 thông tin cần thiết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Xóa thông tin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thông tin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xóa bỏ thông tin của cuốn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sách(&lt;&lt;extend&gt;&gt;)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muốn loại bỏ cuốn sách khỏi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Cuốn sách cần xóa phải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Cuốn sách bị xóa.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cuốn sách của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cuốn sách cần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Chọn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đồng ý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Thông tin cuốn sách bị xóa khỏi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thất bại: Khi nhân viên lấy thông tin cuốn sách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đúng.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Cập nhật thông tin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thông tin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cập nhật lại thông tin một cuốn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sách(&lt;&lt;include&gt;&gt;)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muốn thay đổi thông tin của một cuốn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Cuốn sách cần cập nhật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cuốn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cập nhật.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cuốn sách của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cuốn sách cần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lại thông tin cuốn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chọn Lưu để lưu thay đổi.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thất bại: Khi nhân viên nhập thông tin của một cuốn sách khác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tồn tại.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Tra cứu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tra cứu thông tin của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quản lý muốn tìm kiếm thông tin của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Nhập từ khóa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kiếm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Hiển thị ra màn hình thông tin của các cuốn sách với từ khóa nhập vào.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tra cứu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từ khóa tra cứu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Màn hình trả kết quả thông tin các cuốn sách với từ khóa nhập vào.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tìm thấy dữ liệu sách với từ khóa nhập vào.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Thêm nhà cung cấp: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một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thêm thông tin một nhà cung cấp sách cho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nhà cung cấp(&lt;&lt;extend&gt;&gt;)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cần nhập sách từ một nhà cung cấp mới.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Nhà cung cấp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có trong dữ liệu của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Nhà cung cấp mới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 vào dữ liệu của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thêm nhà cung cấp.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thông tin thêm mới nhà cung cấp.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chọn Lưu để lưu thông tin nhà cung cấp mới.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nhà cung cấp thất bại.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Cập nhật thông tin nhà cung cấp: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thông tin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cập nhật lại thông tin một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nhà cung cấp(&lt;&lt;include&gt;&gt;)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muốn thay đổi thông tin của một nhà cung cấp.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Nhà cung cấp cần cập nhật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nhà cung cấp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cập nhật.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nhà cung cấp.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nhà cung cấp cần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lại thông tin nhà cung cấp.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chọn Lưu để lưu thay đổi.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Xóa thông tin nhà cung cấp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thông tin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xóa bỏ thông tin của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nhà cung cấp(&lt;&lt;extend&gt;&gt;)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không muốn nhập sách từ nhà cung cấp đó nữa hoặc nhà cung cấp đó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chấm dứt hợp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đồng nhập sách cho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Nhà cung cấp cần xóa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nhà cung cấp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xóa bỏ.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nhà cung cấp sách cho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nhà cung cấp cần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Chọn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đồng ý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Thông tin nhà cung cấp bị xóa khỏi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Tra cứu nhà cung cấp: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tra cứu thông tin của các nhà cung cấp.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quản lý muốn tìm kiếm thông tin của các Nhà cung cấp.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Nhập từ khóa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kiếm Nhà cung cấp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Hiển thị ra màn hình thông tin của các Nhà cung cấp với từ khóa nhập vào.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tra cứu Nhà cung cấp.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từ khóa tra cứu nhà cung cấp.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Màn hình trả kết quả thông tin các nhà cung cấp với từ khóa nhập vào.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tìm thấy dữ liệu nhà cung cấp với từ khóa nhập vào.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Lập phiếu giao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Lập phiếu giao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lập ra phiếu giao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lý, Máy In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phiếu nhập(&lt;&lt;include&gt;&gt;)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xác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đinh được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phiếu nhập, nếu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 số lượng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ngày thực giao có không quá hạn sao với ngày giao hàng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àm phán, nhân viên giao nhận lập phiếu giao hàng xác nhận mình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nhận hàng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đầy đủ của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ngày thực giao từ nhà cung cấp.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Phải có phiếu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Nhập sách vào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hiển thị thông tin các phiếu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lập.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kiểm tra thông tin phiếu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 ra phiếu giao.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Tra cứu phiếu nhập: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phiếu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tra cứu thông tin phiếu nhập để lập phiếu giao.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lập phiếu giao.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Phiếu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lập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Hiển thị thông tin phiếu nhập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hiển thị thông tin các phiếu nhập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lập.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kiểm tra thông tin phiếu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Kết thúc Use-Case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Thêm một kệ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một kệ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thêm dữ liệu kệ sách trong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kệ sách(&lt;&lt;extend&gt;&gt;)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số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ượng đầu sách trong thư viện tăng lên và cần phải thêm kệ để chứa.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Kệ phải chứa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Kệ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 vào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thêm kệ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thông tin kệ sách cần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Lưu để lưu thông tin kệ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Hệ thống thông báo thêm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kệ sách thất bại: Khi nhân viên thêm thông tin kệ mà kệ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đó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 hoặc nhân viên nhập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 thông tin kệ sách.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Cập nhật thông tin kệ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thông tin kệ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cập nhật lại thông tin một kệ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kệ sách(&lt;&lt;include&gt;&gt;)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muốn thay đổi thông tin của một kệ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Kệ sách cần cập nhật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kệ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cập nhật.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kệ sách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kệ sách cần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lại thông tin kệ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chọn Lưu để lưu thay đổi.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thất bại: Khi nhân viên nhập thông tin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 hoặc nhập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thông tin của một kệ sách khác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Xóa thông tin kệ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thông tin kệ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xóa bỏ thông tin của kệ sách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kệ sách(&lt;&lt;extend&gt;&gt;)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kệ sách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không chứa sách hoặc số lượng sách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òn lại quá thấp.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Kệ sách cần xóa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kệ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xóa bỏ.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kệ sách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kệ sách cần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Chọn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đồng ý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Thông tin kệ sách bị xóa khỏi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thất bại: Khi nhân viên chọn thông tin kệ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đúng với dữ liệu.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Tra cứu thông tin kệ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kệ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tra cứu thông tin của các kệ sách trong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quản lý muốn tìm kiếm thông tin của các kệ sách trong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Nhập từ khóa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kiếm thông tin kệ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Hiển thị ra màn hình thông tin của các kệ sách với từ khóa nhập vào.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tra cứu Kệ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từ khóa tra cứu kệ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Màn hình trả kết quả thông tin các kệ sách với từ khóa nhập vào.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tìm thấy dữ liệu kệ sách với từ khóa nhập vào.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Thêm một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Độc Giả: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một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thêm một Độc Giả cho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có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đến đăng ký mới.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chưa có tham gia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được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êm vào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thêm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thông tin Độc giả.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Lưu để lưu thông tin Độc giả.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Hệ thống thông báo thêm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Thêm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thất bại: Khi nhân 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nhập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 thông tin Độc giả.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Cập nhật thông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Độc Giả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cập nhật lại thông tin một độc giả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giả(&lt;&lt;include&gt;&gt;)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muốn thay đổi thông tin của một Độc giả.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cần cập nhật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được cập nhật lại.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tham gia thư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độc giả cần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Cập nhật.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lại thông tin độc giả.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chọn Lưu để lưu thay đổi.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Cập nhật thất bại: Khi nhân viên nhập thông tin không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đủ.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Xóa thông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Độc Giả: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xóa bỏ thông tin của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không tham gia thư viện một thời gian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ài hoặc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hủy bỏ tham gia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cần xóa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có trong dữ liệu.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Thông tin của kệ sách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được xóa bỏ.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danh sách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tham gia thư viện.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chọn lấy thông tin Độc giả cần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nhấn nút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Chọn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đồng ý xóa.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bị xóa khỏi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Xóa thất bại: Khi nhân viên chọn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không đúng với dữ liệu.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Tra cứu thông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Độc giả: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 cứu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quản lý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tra cứu thông tin của các Độc giả tham gia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quản lý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quản lý muốn tìm kiếm thông tin của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tham gia thư viện.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Nhập từ khóa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ìm kiếm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Hiển thị ra màn hình thông tin của các kệ sách với từ khóa nhập vào.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tra cứu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từ khóa tra cứu Độc giả.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Màn hình trả kết quả thông tin các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với từ khóa nhập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 tìm thấy dữ liệu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với từ khóa nhập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ào.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Lập phiếu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ượn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Lập phiếu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thủ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lập ra phiếu mượn sách của Độc giả.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Thủ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có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tham gia thư viện mượn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mượn sách mang về.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ra phiếu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lập phiếu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thông tin Độc giả và thông tin các sách độc giả cần mượn và ngày mượn.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 ra phiếu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Lập phiếu trả sách: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Lập phiếu trả sách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cho phép nhân viên thủ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lập ra phiếu trả sách của Độc giả.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Thủ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Use-Case liên quan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Login(&lt;&lt;extend&gt;&gt;)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có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tham gia thư viện đến trả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Độc giả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 sách.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ra phiếu trả.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lập phiếu trả sách.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kiểm tra ngày mượn và ngày trả và thông tin các loại sách độc giả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ượn trong phiếu mượn.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Nhân viên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 viện nhập thông tin Độc giả và thông tin các sách độc giả 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trả và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ưa trả.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In ra phiếu trả.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Login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Use-case cho phép nhân viên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đăng nhập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ào hệ thống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để thực hiện những chức năng của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ình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chọn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đăng nhập từ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 hình của hệ thống.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phải có tài khoản trên hệ thống.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nhập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 công.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Hệ thống hiện thị màn hình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Nhân viên nhập tên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nhập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 mật khẩu.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Hệ thống kiểm tra thông tin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nhập.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Nếu thành công hiển thị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nhập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Kết thúc Use-Case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A1.Tài khoản không hợp lệ: khi nhân viên nhập sai tài khoản hoặc mật khẩu.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 Hệ thống hiển thị lại màn hình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đăng nhập để ngƣời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dùng nhập lại thông tin kèm theo thông báo tên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đăng nhập v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à mật khẩu bị sai.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Georgia" w:hAnsi="Georgia" w:cs="Georgia" w:eastAsia="Georgia"/>
                <w:color w:val="000000"/>
                <w:spacing w:val="0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Quay lại bƣớc 2 trong luồng sự kiện chính</w:t>
            </w: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Use-Case: Logout</w:t>
      </w:r>
    </w:p>
    <w:tbl>
      <w:tblPr>
        <w:tblInd w:w="1080" w:type="dxa"/>
      </w:tblPr>
      <w:tblGrid>
        <w:gridCol w:w="2317"/>
        <w:gridCol w:w="5619"/>
      </w:tblGrid>
      <w:tr>
        <w:trPr>
          <w:trHeight w:val="371" w:hRule="auto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Tiêu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đề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Nội dung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Tên Use-Case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Mô tả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Use-case cho phép nhân viên thoát ra khỏi hệ thống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 kích hoạt: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Khi nhân viên chọn chức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ăng thoát từ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àn hình của hệ thống.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Tiền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Nhân viên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đăng nhập tr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ên hệ thống.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Hậu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điều kiện: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Thoát thành công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chính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Nhân viên chọn nút thoát trên màn hình hệ thống.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Màn hình hiển thị “Bạn chắc chắn muốn thoát?”, chọn OK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để thoát khỏi hệ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Kết thúc Use-Case.</w:t>
            </w:r>
          </w:p>
        </w:tc>
      </w:tr>
      <w:tr>
        <w:trPr>
          <w:trHeight w:val="1" w:hRule="atLeast"/>
          <w:jc w:val="left"/>
        </w:trPr>
        <w:tc>
          <w:tcPr>
            <w:tcW w:w="2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Luồng sự kiện phụ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2">
    <w:abstractNumId w:val="150"/>
  </w:num>
  <w:num w:numId="4">
    <w:abstractNumId w:val="144"/>
  </w:num>
  <w:num w:numId="6">
    <w:abstractNumId w:val="138"/>
  </w:num>
  <w:num w:numId="28">
    <w:abstractNumId w:val="132"/>
  </w:num>
  <w:num w:numId="50">
    <w:abstractNumId w:val="126"/>
  </w:num>
  <w:num w:numId="74">
    <w:abstractNumId w:val="120"/>
  </w:num>
  <w:num w:numId="98">
    <w:abstractNumId w:val="114"/>
  </w:num>
  <w:num w:numId="122">
    <w:abstractNumId w:val="108"/>
  </w:num>
  <w:num w:numId="144">
    <w:abstractNumId w:val="102"/>
  </w:num>
  <w:num w:numId="168">
    <w:abstractNumId w:val="96"/>
  </w:num>
  <w:num w:numId="192">
    <w:abstractNumId w:val="90"/>
  </w:num>
  <w:num w:numId="216">
    <w:abstractNumId w:val="84"/>
  </w:num>
  <w:num w:numId="238">
    <w:abstractNumId w:val="78"/>
  </w:num>
  <w:num w:numId="260">
    <w:abstractNumId w:val="72"/>
  </w:num>
  <w:num w:numId="280">
    <w:abstractNumId w:val="66"/>
  </w:num>
  <w:num w:numId="304">
    <w:abstractNumId w:val="60"/>
  </w:num>
  <w:num w:numId="328">
    <w:abstractNumId w:val="54"/>
  </w:num>
  <w:num w:numId="352">
    <w:abstractNumId w:val="48"/>
  </w:num>
  <w:num w:numId="374">
    <w:abstractNumId w:val="42"/>
  </w:num>
  <w:num w:numId="398">
    <w:abstractNumId w:val="36"/>
  </w:num>
  <w:num w:numId="422">
    <w:abstractNumId w:val="30"/>
  </w:num>
  <w:num w:numId="446">
    <w:abstractNumId w:val="24"/>
  </w:num>
  <w:num w:numId="468">
    <w:abstractNumId w:val="18"/>
  </w:num>
  <w:num w:numId="490">
    <w:abstractNumId w:val="12"/>
  </w:num>
  <w:num w:numId="514">
    <w:abstractNumId w:val="6"/>
  </w:num>
  <w:num w:numId="5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