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design flat screens.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surfaces.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grain, shadow, and motion, digital space begins to carry weight — the warmth of timber, the precision of steel, the raw honesty of stone.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architecture, material isn’t decoration.</w:t>
        <w:br w:type="textWrapping"/>
        <w:t xml:space="preserve">It’s identity.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feel the same.</w:t>
        <w:br w:type="textWrapping"/>
        <w:br w:type="textWrapping"/>
        <w:t xml:space="preserve">Reference: mersi-architecture.com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#DigitalMateriality #ArchitectureWebDesign #ArchitecturalThinking #UXDesign #WebDesignInspiration #DesignWithDepth #MinimalDesign #MaterialDriven #ArchitectureStudio #DigitalCraft #LuxuryWebDesign #SpatialDesign #DesignDetails #CreativeDirection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