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 xml:space="preserve">BỘ KHOA HỌC VÀ </w:t>
            </w:r>
            <w:r>
              <w:rPr>
                <w:b/>
                <w:bCs/>
                <w:rtl w:val="0"/>
              </w:rPr>
              <w:br/>
            </w:r>
            <w:r>
              <w:rPr>
                <w:b/>
                <w:bCs/>
                <w:rtl w:val="0"/>
              </w:rPr>
              <w:t>CÔNG NGHỆ</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2982/QĐ-BKHCN</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01 tháng 10 năm 2025</w:t>
            </w:r>
          </w:p>
        </w:tc>
      </w:tr>
    </w:tbl>
    <w:p>
      <w:pPr>
        <w:bidi w:val="0"/>
        <w:spacing w:after="120" w:afterAutospacing="0"/>
      </w:pPr>
      <w:r>
        <w:rPr>
          <w:rtl w:val="0"/>
        </w:rPr>
        <w:t> </w:t>
      </w:r>
    </w:p>
    <w:p>
      <w:pPr>
        <w:bidi w:val="0"/>
        <w:spacing w:after="120" w:afterAutospacing="0"/>
        <w:jc w:val="center"/>
      </w:pPr>
      <w:bookmarkStart w:id="0" w:name="loai_1"/>
      <w:r>
        <w:rPr>
          <w:b/>
          <w:bCs/>
          <w:sz w:val="24"/>
          <w:rtl w:val="0"/>
        </w:rPr>
        <w:t>QUYẾT ĐỊNH</w:t>
      </w:r>
      <w:bookmarkEnd w:id="0"/>
    </w:p>
    <w:p>
      <w:pPr>
        <w:bidi w:val="0"/>
        <w:spacing w:after="120" w:afterAutospacing="0"/>
        <w:jc w:val="center"/>
      </w:pPr>
      <w:bookmarkStart w:id="1" w:name="loai_1_name"/>
      <w:r>
        <w:rPr>
          <w:rtl w:val="0"/>
        </w:rPr>
        <w:t>VỀ VIỆC CÔNG BỐ TIÊU CHUẨN QUỐC GIA</w:t>
      </w:r>
      <w:bookmarkEnd w:id="1"/>
    </w:p>
    <w:p>
      <w:pPr>
        <w:bidi w:val="0"/>
        <w:spacing w:after="120" w:afterAutospacing="0"/>
        <w:jc w:val="center"/>
      </w:pPr>
      <w:r>
        <w:rPr>
          <w:b/>
          <w:bCs/>
          <w:sz w:val="24"/>
          <w:rtl w:val="0"/>
        </w:rPr>
        <w:t>BỘ TRƯỞNG BỘ KHOA HỌC VÀ CÔNG NGHỆ</w:t>
      </w:r>
    </w:p>
    <w:p>
      <w:pPr>
        <w:bidi w:val="0"/>
        <w:spacing w:after="120" w:afterAutospacing="0"/>
      </w:pPr>
      <w:r>
        <w:rPr>
          <w:i/>
          <w:iCs/>
          <w:rtl w:val="0"/>
        </w:rPr>
        <w:t xml:space="preserve">Căn cứ </w:t>
      </w:r>
      <w:bookmarkStart w:id="2" w:name="tvpllink_bfkweebicf"/>
      <w:r>
        <w:rPr>
          <w:i/>
          <w:iCs/>
          <w:rtl w:val="0"/>
        </w:rPr>
        <w:t>Luật Tiêu chuẩn và Quy chuẩn kỹ thuật</w:t>
      </w:r>
      <w:bookmarkEnd w:id="2"/>
      <w:r>
        <w:rPr>
          <w:i/>
          <w:iCs/>
          <w:rtl w:val="0"/>
        </w:rPr>
        <w:t xml:space="preserve"> ngày 29 tháng 6 năm 2006;</w:t>
      </w:r>
    </w:p>
    <w:p>
      <w:pPr>
        <w:bidi w:val="0"/>
        <w:spacing w:after="120" w:afterAutospacing="0"/>
      </w:pPr>
      <w:r>
        <w:rPr>
          <w:i/>
          <w:iCs/>
          <w:rtl w:val="0"/>
        </w:rPr>
        <w:t xml:space="preserve">Căn cứ Nghị định số </w:t>
      </w:r>
      <w:bookmarkStart w:id="3" w:name="tvpllink_juowzpmdyo"/>
      <w:r>
        <w:rPr>
          <w:i/>
          <w:iCs/>
          <w:rtl w:val="0"/>
        </w:rPr>
        <w:t>55/2025/NĐ-CP</w:t>
      </w:r>
      <w:bookmarkEnd w:id="3"/>
      <w:r>
        <w:rPr>
          <w:i/>
          <w:iCs/>
          <w:rtl w:val="0"/>
        </w:rPr>
        <w:t xml:space="preserve"> ngày 02 tháng 3 năm 2025 của Chính phủ quy định chức năng, nhiệm vụ, quyền hạn và cơ cấu tổ chức của Bộ Khoa học và Công nghệ;</w:t>
      </w:r>
    </w:p>
    <w:p>
      <w:pPr>
        <w:bidi w:val="0"/>
        <w:spacing w:after="120" w:afterAutospacing="0"/>
      </w:pPr>
      <w:r>
        <w:rPr>
          <w:i/>
          <w:iCs/>
          <w:rtl w:val="0"/>
        </w:rPr>
        <w:t xml:space="preserve">Căn cứ Nghị định số </w:t>
      </w:r>
      <w:bookmarkStart w:id="4" w:name="tvpllink_fyvdjkvmle"/>
      <w:r>
        <w:rPr>
          <w:i/>
          <w:iCs/>
          <w:rtl w:val="0"/>
        </w:rPr>
        <w:t>127/2007/NĐ-CP</w:t>
      </w:r>
      <w:bookmarkEnd w:id="4"/>
      <w:r>
        <w:rPr>
          <w:i/>
          <w:iCs/>
          <w:rtl w:val="0"/>
        </w:rPr>
        <w:t xml:space="preserve"> ngày 01 tháng 8 năm 2007 của Chính phủ quy định chi tiết thi hành một số điều của </w:t>
      </w:r>
      <w:bookmarkStart w:id="5" w:name="tvpllink_bfkweebicf_1"/>
      <w:r>
        <w:rPr>
          <w:i/>
          <w:iCs/>
          <w:rtl w:val="0"/>
        </w:rPr>
        <w:t>Luật Tiêu chuẩn và Quy chuẩn kỹ thuật</w:t>
      </w:r>
      <w:bookmarkEnd w:id="5"/>
      <w:r>
        <w:rPr>
          <w:i/>
          <w:iCs/>
          <w:rtl w:val="0"/>
        </w:rPr>
        <w:t>;</w:t>
      </w:r>
    </w:p>
    <w:p>
      <w:pPr>
        <w:bidi w:val="0"/>
        <w:spacing w:after="120" w:afterAutospacing="0"/>
      </w:pPr>
      <w:r>
        <w:rPr>
          <w:i/>
          <w:iCs/>
          <w:rtl w:val="0"/>
        </w:rPr>
        <w:t xml:space="preserve">Căn cứ Nghị định số </w:t>
      </w:r>
      <w:bookmarkStart w:id="6" w:name="tvpllink_hmtmrggeyq"/>
      <w:r>
        <w:rPr>
          <w:i/>
          <w:iCs/>
          <w:rtl w:val="0"/>
        </w:rPr>
        <w:t>78/2018/NĐ-CP</w:t>
      </w:r>
      <w:bookmarkEnd w:id="6"/>
      <w:r>
        <w:rPr>
          <w:i/>
          <w:iCs/>
          <w:rtl w:val="0"/>
        </w:rPr>
        <w:t xml:space="preserve"> ngày 16 tháng 5 năm 2018 của Chính phủ sửa đổi, bổ sung một số điều của Nghị định số </w:t>
      </w:r>
      <w:bookmarkStart w:id="7" w:name="tvpllink_fyvdjkvmle_1"/>
      <w:r>
        <w:rPr>
          <w:i/>
          <w:iCs/>
          <w:rtl w:val="0"/>
        </w:rPr>
        <w:t>127/2007/NĐ-CP</w:t>
      </w:r>
      <w:bookmarkEnd w:id="7"/>
      <w:r>
        <w:rPr>
          <w:i/>
          <w:iCs/>
          <w:rtl w:val="0"/>
        </w:rPr>
        <w:t xml:space="preserve"> ngày 01 tháng 8 năm 2007 của Chính phủ quy định chi tiết thi hành một số điều </w:t>
      </w:r>
      <w:bookmarkStart w:id="8" w:name="tvpllink_bfkweebicf_2"/>
      <w:r>
        <w:rPr>
          <w:i/>
          <w:iCs/>
          <w:rtl w:val="0"/>
        </w:rPr>
        <w:t>Luật Tiêu chuẩn và Quy chuẩn kỹ thuật</w:t>
      </w:r>
      <w:bookmarkEnd w:id="8"/>
      <w:r>
        <w:rPr>
          <w:i/>
          <w:iCs/>
          <w:rtl w:val="0"/>
        </w:rPr>
        <w:t>;</w:t>
      </w:r>
    </w:p>
    <w:p>
      <w:pPr>
        <w:bidi w:val="0"/>
        <w:spacing w:after="120" w:afterAutospacing="0"/>
      </w:pPr>
      <w:r>
        <w:rPr>
          <w:i/>
          <w:iCs/>
          <w:rtl w:val="0"/>
        </w:rPr>
        <w:t xml:space="preserve">Căn cứ Thông tư số </w:t>
      </w:r>
      <w:bookmarkStart w:id="9" w:name="tvpllink_evthddvibf"/>
      <w:r>
        <w:rPr>
          <w:i/>
          <w:iCs/>
          <w:rtl w:val="0"/>
        </w:rPr>
        <w:t>11/2021/TT-BKHCN</w:t>
      </w:r>
      <w:bookmarkEnd w:id="9"/>
      <w:r>
        <w:rPr>
          <w:i/>
          <w:iCs/>
          <w:rtl w:val="0"/>
        </w:rPr>
        <w:t xml:space="preserve"> ngày 18 tháng 11 năm 2021 của Bộ trưởng Bộ Khoa học và Công nghệ quy định chi tiết xây dựng và áp dụng tiêu chuẩn;</w:t>
      </w:r>
    </w:p>
    <w:p>
      <w:pPr>
        <w:bidi w:val="0"/>
        <w:spacing w:after="120" w:afterAutospacing="0"/>
      </w:pPr>
      <w:r>
        <w:rPr>
          <w:i/>
          <w:iCs/>
          <w:rtl w:val="0"/>
        </w:rPr>
        <w:t xml:space="preserve">Căn cứ Thông tư số </w:t>
      </w:r>
      <w:bookmarkStart w:id="10" w:name="tvpllink_jaynrcdlds"/>
      <w:r>
        <w:rPr>
          <w:i/>
          <w:iCs/>
          <w:rtl w:val="0"/>
        </w:rPr>
        <w:t>07/2024/TT-BKHCN</w:t>
      </w:r>
      <w:bookmarkEnd w:id="10"/>
      <w:r>
        <w:rPr>
          <w:i/>
          <w:iCs/>
          <w:rtl w:val="0"/>
        </w:rPr>
        <w:t xml:space="preserve"> ngày 08 tháng 10 năm 2024 của Bộ trưởng Bộ Khoa học và Công nghệ sửa đổi, bổ sung một số điều tại các văn bản quy phạm pháp luật thuộc thẩm quyền của Bộ trưởng Bộ Khoa học và Công nghệ liên quan đến Ủy ban Tiêu chuẩn Đo lường Chất lượng Quốc gia;</w:t>
      </w:r>
    </w:p>
    <w:p>
      <w:pPr>
        <w:bidi w:val="0"/>
        <w:spacing w:after="120" w:afterAutospacing="0"/>
      </w:pPr>
      <w:r>
        <w:rPr>
          <w:i/>
          <w:iCs/>
          <w:rtl w:val="0"/>
        </w:rPr>
        <w:t>Trên cơ sở đề nghị của Bộ Công an tại Công văn số 4726/V04-P2 ngày 05 tháng 9 năm 2025;</w:t>
      </w:r>
    </w:p>
    <w:p>
      <w:pPr>
        <w:bidi w:val="0"/>
        <w:spacing w:after="120" w:afterAutospacing="0"/>
      </w:pPr>
      <w:r>
        <w:rPr>
          <w:i/>
          <w:iCs/>
          <w:rtl w:val="0"/>
        </w:rPr>
        <w:t>Theo đề nghị của Chủ tịch Ủy ban Tiêu chuẩn Đo lường Chất lượng Quốc gia.</w:t>
      </w:r>
    </w:p>
    <w:p>
      <w:pPr>
        <w:bidi w:val="0"/>
        <w:spacing w:after="120" w:afterAutospacing="0"/>
        <w:jc w:val="center"/>
      </w:pPr>
      <w:r>
        <w:rPr>
          <w:b/>
          <w:bCs/>
          <w:sz w:val="24"/>
          <w:rtl w:val="0"/>
        </w:rPr>
        <w:t>QUYẾT ĐỊNH:</w:t>
      </w:r>
    </w:p>
    <w:p>
      <w:pPr>
        <w:bidi w:val="0"/>
        <w:spacing w:after="120" w:afterAutospacing="0"/>
      </w:pPr>
      <w:bookmarkStart w:id="11" w:name="dieu_1"/>
      <w:r>
        <w:rPr>
          <w:b/>
          <w:bCs/>
          <w:rtl w:val="0"/>
        </w:rPr>
        <w:t xml:space="preserve">Điều 1. </w:t>
      </w:r>
      <w:r>
        <w:rPr>
          <w:rtl w:val="0"/>
        </w:rPr>
        <w:t>Công bố 06 Tiêu chuẩn quốc gia (TCVN) sau đây:</w:t>
      </w:r>
      <w:bookmarkEnd w:id="11"/>
    </w:p>
    <w:tbl>
      <w:tblPr>
        <w:tblW w:w="5000" w:type="pct"/>
        <w:jc w:val="left"/>
        <w:tblCellMar>
          <w:top w:w="0" w:type="dxa"/>
          <w:left w:w="0" w:type="dxa"/>
          <w:bottom w:w="0" w:type="dxa"/>
          <w:right w:w="0" w:type="dxa"/>
        </w:tblCellMar>
      </w:tblPr>
      <w:tblGrid>
        <w:gridCol w:w="681"/>
        <w:gridCol w:w="2706"/>
        <w:gridCol w:w="5253"/>
      </w:tblGrid>
      <w:tr>
        <w:tblPrEx>
          <w:tblW w:w="5000" w:type="pct"/>
          <w:jc w:val="left"/>
          <w:tblCellMar>
            <w:top w:w="0" w:type="dxa"/>
            <w:left w:w="0" w:type="dxa"/>
            <w:bottom w:w="0" w:type="dxa"/>
            <w:right w:w="0" w:type="dxa"/>
          </w:tblCellMar>
        </w:tblPrEx>
        <w:trPr>
          <w:jc w:val="left"/>
        </w:trPr>
        <w:tc>
          <w:tcPr>
            <w:tcW w:w="506" w:type="dxa"/>
            <w:shd w:val="clear" w:color="auto" w:fill="auto"/>
            <w:tcMar>
              <w:top w:w="28" w:type="dxa"/>
              <w:left w:w="108" w:type="dxa"/>
              <w:bottom w:w="28" w:type="dxa"/>
              <w:right w:w="108" w:type="dxa"/>
            </w:tcMar>
          </w:tcPr>
          <w:p>
            <w:pPr>
              <w:bidi w:val="0"/>
              <w:spacing w:after="0" w:afterAutospacing="0"/>
            </w:pPr>
            <w:r>
              <w:rPr>
                <w:rtl w:val="0"/>
              </w:rPr>
              <w:t>1.</w:t>
            </w:r>
          </w:p>
        </w:tc>
        <w:tc>
          <w:tcPr>
            <w:tcW w:w="2682" w:type="dxa"/>
            <w:shd w:val="clear" w:color="auto" w:fill="auto"/>
            <w:tcMar>
              <w:top w:w="28" w:type="dxa"/>
              <w:left w:w="108" w:type="dxa"/>
              <w:bottom w:w="28" w:type="dxa"/>
              <w:right w:w="108" w:type="dxa"/>
            </w:tcMar>
          </w:tcPr>
          <w:p>
            <w:pPr>
              <w:bidi w:val="0"/>
              <w:spacing w:after="0" w:afterAutospacing="0"/>
              <w:jc w:val="center"/>
            </w:pPr>
            <w:r>
              <w:rPr>
                <w:rtl w:val="0"/>
              </w:rPr>
              <w:t>TCVN 14496:2025</w:t>
            </w:r>
          </w:p>
        </w:tc>
        <w:tc>
          <w:tcPr>
            <w:tcW w:w="5668" w:type="dxa"/>
            <w:shd w:val="clear" w:color="auto" w:fill="auto"/>
            <w:tcMar>
              <w:top w:w="28" w:type="dxa"/>
              <w:left w:w="108" w:type="dxa"/>
              <w:bottom w:w="28" w:type="dxa"/>
              <w:right w:w="108" w:type="dxa"/>
            </w:tcMar>
          </w:tcPr>
          <w:p>
            <w:pPr>
              <w:bidi w:val="0"/>
              <w:spacing w:after="0" w:afterAutospacing="0"/>
            </w:pPr>
            <w:r>
              <w:rPr>
                <w:rtl w:val="0"/>
              </w:rPr>
              <w:t>Phòng cháy chữa cháy – Hệ thống chữa cháy tự động bằng nước cho nhà kho có chiều cao sắp xếp hàng hoá trên giá đỡ cao trên 5,5 m đến 25 m – Yêu cầu thiết kế.</w:t>
            </w:r>
          </w:p>
        </w:tc>
      </w:tr>
      <w:tr>
        <w:tblPrEx>
          <w:tblW w:w="5000" w:type="pct"/>
          <w:jc w:val="left"/>
          <w:tblCellMar>
            <w:top w:w="0" w:type="dxa"/>
            <w:left w:w="0" w:type="dxa"/>
            <w:bottom w:w="0" w:type="dxa"/>
            <w:right w:w="0" w:type="dxa"/>
          </w:tblCellMar>
        </w:tblPrEx>
        <w:trPr>
          <w:jc w:val="left"/>
        </w:trPr>
        <w:tc>
          <w:tcPr>
            <w:tcW w:w="506" w:type="dxa"/>
            <w:shd w:val="clear" w:color="auto" w:fill="auto"/>
            <w:tcMar>
              <w:top w:w="28" w:type="dxa"/>
              <w:left w:w="108" w:type="dxa"/>
              <w:bottom w:w="28" w:type="dxa"/>
              <w:right w:w="108" w:type="dxa"/>
            </w:tcMar>
          </w:tcPr>
          <w:p>
            <w:pPr>
              <w:bidi w:val="0"/>
              <w:spacing w:after="0" w:afterAutospacing="0"/>
            </w:pPr>
            <w:r>
              <w:rPr>
                <w:rtl w:val="0"/>
              </w:rPr>
              <w:t>2.</w:t>
            </w:r>
          </w:p>
        </w:tc>
        <w:tc>
          <w:tcPr>
            <w:tcW w:w="2682" w:type="dxa"/>
            <w:shd w:val="clear" w:color="auto" w:fill="auto"/>
            <w:tcMar>
              <w:top w:w="28" w:type="dxa"/>
              <w:left w:w="108" w:type="dxa"/>
              <w:bottom w:w="28" w:type="dxa"/>
              <w:right w:w="108" w:type="dxa"/>
            </w:tcMar>
          </w:tcPr>
          <w:p>
            <w:pPr>
              <w:bidi w:val="0"/>
              <w:spacing w:after="0" w:afterAutospacing="0"/>
              <w:jc w:val="center"/>
            </w:pPr>
            <w:r>
              <w:rPr>
                <w:rtl w:val="0"/>
              </w:rPr>
              <w:t>TCVN 13316-12:2025</w:t>
            </w:r>
          </w:p>
        </w:tc>
        <w:tc>
          <w:tcPr>
            <w:tcW w:w="5668" w:type="dxa"/>
            <w:shd w:val="clear" w:color="auto" w:fill="auto"/>
            <w:tcMar>
              <w:top w:w="28" w:type="dxa"/>
              <w:left w:w="108" w:type="dxa"/>
              <w:bottom w:w="28" w:type="dxa"/>
              <w:right w:w="108" w:type="dxa"/>
            </w:tcMar>
          </w:tcPr>
          <w:p>
            <w:pPr>
              <w:bidi w:val="0"/>
              <w:spacing w:after="0" w:afterAutospacing="0"/>
            </w:pPr>
            <w:r>
              <w:rPr>
                <w:rtl w:val="0"/>
              </w:rPr>
              <w:t>Phòng cháy chữa cháy – Xe ô tô chữa cháy – Phần 12: Xe chữa cháy, cứu nạn, cứu hộ trên cao.</w:t>
            </w:r>
          </w:p>
        </w:tc>
      </w:tr>
      <w:tr>
        <w:tblPrEx>
          <w:tblW w:w="5000" w:type="pct"/>
          <w:jc w:val="left"/>
          <w:tblCellMar>
            <w:top w:w="0" w:type="dxa"/>
            <w:left w:w="0" w:type="dxa"/>
            <w:bottom w:w="0" w:type="dxa"/>
            <w:right w:w="0" w:type="dxa"/>
          </w:tblCellMar>
        </w:tblPrEx>
        <w:trPr>
          <w:jc w:val="left"/>
        </w:trPr>
        <w:tc>
          <w:tcPr>
            <w:tcW w:w="506" w:type="dxa"/>
            <w:shd w:val="clear" w:color="auto" w:fill="auto"/>
            <w:tcMar>
              <w:top w:w="28" w:type="dxa"/>
              <w:left w:w="108" w:type="dxa"/>
              <w:bottom w:w="28" w:type="dxa"/>
              <w:right w:w="108" w:type="dxa"/>
            </w:tcMar>
          </w:tcPr>
          <w:p>
            <w:pPr>
              <w:bidi w:val="0"/>
              <w:spacing w:after="0" w:afterAutospacing="0"/>
            </w:pPr>
            <w:r>
              <w:rPr>
                <w:rtl w:val="0"/>
              </w:rPr>
              <w:t>3.</w:t>
            </w:r>
          </w:p>
        </w:tc>
        <w:tc>
          <w:tcPr>
            <w:tcW w:w="2682" w:type="dxa"/>
            <w:shd w:val="clear" w:color="auto" w:fill="auto"/>
            <w:tcMar>
              <w:top w:w="28" w:type="dxa"/>
              <w:left w:w="108" w:type="dxa"/>
              <w:bottom w:w="28" w:type="dxa"/>
              <w:right w:w="108" w:type="dxa"/>
            </w:tcMar>
          </w:tcPr>
          <w:p>
            <w:pPr>
              <w:bidi w:val="0"/>
              <w:spacing w:after="0" w:afterAutospacing="0"/>
              <w:jc w:val="center"/>
            </w:pPr>
            <w:r>
              <w:rPr>
                <w:rtl w:val="0"/>
              </w:rPr>
              <w:t>TCVN 14497:2025</w:t>
            </w:r>
          </w:p>
        </w:tc>
        <w:tc>
          <w:tcPr>
            <w:tcW w:w="5668" w:type="dxa"/>
            <w:shd w:val="clear" w:color="auto" w:fill="auto"/>
            <w:tcMar>
              <w:top w:w="28" w:type="dxa"/>
              <w:left w:w="108" w:type="dxa"/>
              <w:bottom w:w="28" w:type="dxa"/>
              <w:right w:w="108" w:type="dxa"/>
            </w:tcMar>
          </w:tcPr>
          <w:p>
            <w:pPr>
              <w:bidi w:val="0"/>
              <w:spacing w:after="0" w:afterAutospacing="0"/>
            </w:pPr>
            <w:r>
              <w:rPr>
                <w:rtl w:val="0"/>
              </w:rPr>
              <w:t>Phòng cháy chữa cháy – Thiết bị báo cháy độc lập – Đầu báo cháy khói sử dụng ánh sáng tán xạ, ánh sáng truyền qua hoặc ion hoá.</w:t>
            </w:r>
          </w:p>
        </w:tc>
      </w:tr>
      <w:tr>
        <w:tblPrEx>
          <w:tblW w:w="5000" w:type="pct"/>
          <w:jc w:val="left"/>
          <w:tblCellMar>
            <w:top w:w="0" w:type="dxa"/>
            <w:left w:w="0" w:type="dxa"/>
            <w:bottom w:w="0" w:type="dxa"/>
            <w:right w:w="0" w:type="dxa"/>
          </w:tblCellMar>
        </w:tblPrEx>
        <w:trPr>
          <w:jc w:val="left"/>
        </w:trPr>
        <w:tc>
          <w:tcPr>
            <w:tcW w:w="506" w:type="dxa"/>
            <w:shd w:val="clear" w:color="auto" w:fill="auto"/>
            <w:tcMar>
              <w:top w:w="28" w:type="dxa"/>
              <w:left w:w="108" w:type="dxa"/>
              <w:bottom w:w="28" w:type="dxa"/>
              <w:right w:w="108" w:type="dxa"/>
            </w:tcMar>
          </w:tcPr>
          <w:p>
            <w:pPr>
              <w:bidi w:val="0"/>
              <w:spacing w:after="0" w:afterAutospacing="0"/>
            </w:pPr>
            <w:r>
              <w:rPr>
                <w:rtl w:val="0"/>
              </w:rPr>
              <w:t>4.</w:t>
            </w:r>
          </w:p>
        </w:tc>
        <w:tc>
          <w:tcPr>
            <w:tcW w:w="2682" w:type="dxa"/>
            <w:shd w:val="clear" w:color="auto" w:fill="auto"/>
            <w:tcMar>
              <w:top w:w="28" w:type="dxa"/>
              <w:left w:w="108" w:type="dxa"/>
              <w:bottom w:w="28" w:type="dxa"/>
              <w:right w:w="108" w:type="dxa"/>
            </w:tcMar>
          </w:tcPr>
          <w:p>
            <w:pPr>
              <w:bidi w:val="0"/>
              <w:spacing w:after="120" w:afterAutospacing="0"/>
              <w:jc w:val="center"/>
            </w:pPr>
            <w:r>
              <w:rPr>
                <w:rtl w:val="0"/>
              </w:rPr>
              <w:t>TCVN 7278-3:2025</w:t>
            </w:r>
          </w:p>
          <w:p>
            <w:pPr>
              <w:bidi w:val="0"/>
              <w:spacing w:after="0" w:afterAutospacing="0"/>
              <w:jc w:val="center"/>
              <w:rPr>
                <w:rtl w:val="0"/>
              </w:rPr>
            </w:pPr>
            <w:r>
              <w:rPr>
                <w:rtl w:val="0"/>
              </w:rPr>
              <w:t>ISO 7203-3:2019</w:t>
            </w:r>
          </w:p>
        </w:tc>
        <w:tc>
          <w:tcPr>
            <w:tcW w:w="5668" w:type="dxa"/>
            <w:shd w:val="clear" w:color="auto" w:fill="auto"/>
            <w:tcMar>
              <w:top w:w="28" w:type="dxa"/>
              <w:left w:w="108" w:type="dxa"/>
              <w:bottom w:w="28" w:type="dxa"/>
              <w:right w:w="108" w:type="dxa"/>
            </w:tcMar>
          </w:tcPr>
          <w:p>
            <w:pPr>
              <w:bidi w:val="0"/>
              <w:spacing w:after="0" w:afterAutospacing="0"/>
            </w:pPr>
            <w:r>
              <w:rPr>
                <w:rtl w:val="0"/>
              </w:rPr>
              <w:t>Chất chữa cháy – Chất tạo bọt chữa cháy – Phần 3: Yêu cầu kỹ thuật đối với chất tạo bọt chữa cháy độ nở thấp dùng để phun lên bề mặt chất lỏng cháy hòa tan được với nước.</w:t>
            </w:r>
          </w:p>
        </w:tc>
      </w:tr>
      <w:tr>
        <w:tblPrEx>
          <w:tblW w:w="5000" w:type="pct"/>
          <w:jc w:val="left"/>
          <w:tblCellMar>
            <w:top w:w="0" w:type="dxa"/>
            <w:left w:w="0" w:type="dxa"/>
            <w:bottom w:w="0" w:type="dxa"/>
            <w:right w:w="0" w:type="dxa"/>
          </w:tblCellMar>
        </w:tblPrEx>
        <w:trPr>
          <w:jc w:val="left"/>
        </w:trPr>
        <w:tc>
          <w:tcPr>
            <w:tcW w:w="506" w:type="dxa"/>
            <w:shd w:val="clear" w:color="auto" w:fill="auto"/>
            <w:tcMar>
              <w:top w:w="28" w:type="dxa"/>
              <w:left w:w="108" w:type="dxa"/>
              <w:bottom w:w="28" w:type="dxa"/>
              <w:right w:w="108" w:type="dxa"/>
            </w:tcMar>
          </w:tcPr>
          <w:p>
            <w:pPr>
              <w:bidi w:val="0"/>
              <w:spacing w:after="0" w:afterAutospacing="0"/>
            </w:pPr>
            <w:r>
              <w:rPr>
                <w:rtl w:val="0"/>
              </w:rPr>
              <w:t>5.</w:t>
            </w:r>
          </w:p>
        </w:tc>
        <w:tc>
          <w:tcPr>
            <w:tcW w:w="2682" w:type="dxa"/>
            <w:shd w:val="clear" w:color="auto" w:fill="auto"/>
            <w:tcMar>
              <w:top w:w="28" w:type="dxa"/>
              <w:left w:w="108" w:type="dxa"/>
              <w:bottom w:w="28" w:type="dxa"/>
              <w:right w:w="108" w:type="dxa"/>
            </w:tcMar>
          </w:tcPr>
          <w:p>
            <w:pPr>
              <w:bidi w:val="0"/>
              <w:spacing w:after="0" w:afterAutospacing="0"/>
              <w:jc w:val="center"/>
            </w:pPr>
            <w:r>
              <w:rPr>
                <w:rtl w:val="0"/>
              </w:rPr>
              <w:t>TCVN 14498:2025</w:t>
            </w:r>
          </w:p>
        </w:tc>
        <w:tc>
          <w:tcPr>
            <w:tcW w:w="5668" w:type="dxa"/>
            <w:shd w:val="clear" w:color="auto" w:fill="auto"/>
            <w:tcMar>
              <w:top w:w="28" w:type="dxa"/>
              <w:left w:w="108" w:type="dxa"/>
              <w:bottom w:w="28" w:type="dxa"/>
              <w:right w:w="108" w:type="dxa"/>
            </w:tcMar>
          </w:tcPr>
          <w:p>
            <w:pPr>
              <w:bidi w:val="0"/>
              <w:spacing w:after="0" w:afterAutospacing="0"/>
            </w:pPr>
            <w:r>
              <w:rPr>
                <w:rtl w:val="0"/>
              </w:rPr>
              <w:t>Phòng cháy chữa cháy – Bình chữa cháy cố định bằng sol-khí dạng cô đặc.</w:t>
            </w:r>
          </w:p>
        </w:tc>
      </w:tr>
      <w:tr>
        <w:tblPrEx>
          <w:tblW w:w="5000" w:type="pct"/>
          <w:jc w:val="left"/>
          <w:tblCellMar>
            <w:top w:w="0" w:type="dxa"/>
            <w:left w:w="0" w:type="dxa"/>
            <w:bottom w:w="0" w:type="dxa"/>
            <w:right w:w="0" w:type="dxa"/>
          </w:tblCellMar>
        </w:tblPrEx>
        <w:trPr>
          <w:jc w:val="left"/>
        </w:trPr>
        <w:tc>
          <w:tcPr>
            <w:tcW w:w="506" w:type="dxa"/>
            <w:shd w:val="clear" w:color="auto" w:fill="auto"/>
            <w:tcMar>
              <w:top w:w="28" w:type="dxa"/>
              <w:left w:w="108" w:type="dxa"/>
              <w:bottom w:w="28" w:type="dxa"/>
              <w:right w:w="108" w:type="dxa"/>
            </w:tcMar>
          </w:tcPr>
          <w:p>
            <w:pPr>
              <w:bidi w:val="0"/>
              <w:spacing w:after="0" w:afterAutospacing="0"/>
            </w:pPr>
            <w:r>
              <w:rPr>
                <w:rtl w:val="0"/>
              </w:rPr>
              <w:t>6.</w:t>
            </w:r>
          </w:p>
        </w:tc>
        <w:tc>
          <w:tcPr>
            <w:tcW w:w="2682" w:type="dxa"/>
            <w:shd w:val="clear" w:color="auto" w:fill="auto"/>
            <w:tcMar>
              <w:top w:w="28" w:type="dxa"/>
              <w:left w:w="108" w:type="dxa"/>
              <w:bottom w:w="28" w:type="dxa"/>
              <w:right w:w="108" w:type="dxa"/>
            </w:tcMar>
          </w:tcPr>
          <w:p>
            <w:pPr>
              <w:bidi w:val="0"/>
              <w:spacing w:after="120" w:afterAutospacing="0"/>
              <w:jc w:val="center"/>
            </w:pPr>
            <w:r>
              <w:rPr>
                <w:rtl w:val="0"/>
              </w:rPr>
              <w:t>TCVN 7568-5:2025</w:t>
            </w:r>
          </w:p>
          <w:p>
            <w:pPr>
              <w:bidi w:val="0"/>
              <w:spacing w:after="0" w:afterAutospacing="0"/>
              <w:jc w:val="center"/>
              <w:rPr>
                <w:rtl w:val="0"/>
              </w:rPr>
            </w:pPr>
            <w:r>
              <w:rPr>
                <w:rtl w:val="0"/>
              </w:rPr>
              <w:t>ISO 7240-5:2018</w:t>
            </w:r>
          </w:p>
        </w:tc>
        <w:tc>
          <w:tcPr>
            <w:tcW w:w="5668" w:type="dxa"/>
            <w:shd w:val="clear" w:color="auto" w:fill="auto"/>
            <w:tcMar>
              <w:top w:w="28" w:type="dxa"/>
              <w:left w:w="108" w:type="dxa"/>
              <w:bottom w:w="28" w:type="dxa"/>
              <w:right w:w="108" w:type="dxa"/>
            </w:tcMar>
          </w:tcPr>
          <w:p>
            <w:pPr>
              <w:bidi w:val="0"/>
              <w:spacing w:after="0" w:afterAutospacing="0"/>
            </w:pPr>
            <w:r>
              <w:rPr>
                <w:rtl w:val="0"/>
              </w:rPr>
              <w:t>Hệ thống báo cháy – Phần 5: Đầu báo cháy nhiệt kiểu điểm.</w:t>
            </w:r>
          </w:p>
        </w:tc>
      </w:tr>
    </w:tbl>
    <w:p>
      <w:pPr>
        <w:bidi w:val="0"/>
        <w:spacing w:after="120" w:afterAutospacing="0"/>
      </w:pPr>
      <w:bookmarkStart w:id="12" w:name="dieu_2"/>
      <w:r>
        <w:rPr>
          <w:b/>
          <w:bCs/>
          <w:rtl w:val="0"/>
        </w:rPr>
        <w:t xml:space="preserve">Điều 2. </w:t>
      </w:r>
      <w:r>
        <w:rPr>
          <w:rtl w:val="0"/>
        </w:rPr>
        <w:t>Quyết định này có hiệu lực thi hành kể từ ngày ký.</w:t>
      </w:r>
      <w:bookmarkEnd w:id="12"/>
    </w:p>
    <w:p>
      <w:pPr>
        <w:bidi w:val="0"/>
        <w:spacing w:after="120" w:afterAutospacing="0"/>
      </w:pPr>
      <w:bookmarkStart w:id="13" w:name="dieu_3"/>
      <w:r>
        <w:rPr>
          <w:b/>
          <w:bCs/>
          <w:rtl w:val="0"/>
        </w:rPr>
        <w:t xml:space="preserve">Điều 3. </w:t>
      </w:r>
      <w:r>
        <w:rPr>
          <w:rtl w:val="0"/>
        </w:rPr>
        <w:t>Chánh Văn phòng, Chủ tịch Ủy ban Tiêu chuẩn Đo lường Chất lượng Quốc gia và các tổ chức, cá nhân liên quan chịu trách nhiệm thi hành Quyết định này./.</w:t>
      </w:r>
      <w:bookmarkEnd w:id="13"/>
    </w:p>
    <w:p>
      <w:pPr>
        <w:bidi w:val="0"/>
        <w:spacing w:after="120" w:afterAutospacing="0"/>
      </w:pPr>
      <w:r>
        <w:rPr>
          <w:rtl w:val="0"/>
        </w:rPr>
        <w:t> </w:t>
      </w:r>
    </w:p>
    <w:tbl>
      <w:tblPr>
        <w:jc w:val="left"/>
        <w:tblCellMar>
          <w:top w:w="0" w:type="dxa"/>
          <w:left w:w="0" w:type="dxa"/>
          <w:bottom w:w="0" w:type="dxa"/>
          <w:right w:w="0" w:type="dxa"/>
        </w:tblCellMar>
      </w:tblPr>
      <w:tblGrid>
        <w:gridCol w:w="3971"/>
        <w:gridCol w:w="4669"/>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120" w:afterAutospacing="0"/>
            </w:pPr>
            <w:r>
              <w:rPr>
                <w:sz w:val="16"/>
                <w:rtl w:val="0"/>
              </w:rPr>
              <w:t> </w:t>
            </w:r>
          </w:p>
          <w:p>
            <w:pPr>
              <w:bidi w:val="0"/>
              <w:spacing w:after="0" w:afterAutospacing="0"/>
              <w:rPr>
                <w:rtl w:val="0"/>
              </w:rPr>
            </w:pPr>
            <w:r>
              <w:rPr>
                <w:b/>
                <w:bCs/>
                <w:i/>
                <w:iCs/>
                <w:rtl w:val="0"/>
              </w:rPr>
              <w:t>Nơi nhận:</w:t>
            </w:r>
            <w:r>
              <w:rPr>
                <w:b/>
                <w:bCs/>
                <w:i/>
                <w:iCs/>
                <w:rtl w:val="0"/>
              </w:rPr>
              <w:br/>
            </w:r>
            <w:r>
              <w:rPr>
                <w:sz w:val="16"/>
                <w:rtl w:val="0"/>
              </w:rPr>
              <w:t>- Như Điều 3;</w:t>
            </w:r>
            <w:r>
              <w:rPr>
                <w:sz w:val="16"/>
                <w:rtl w:val="0"/>
              </w:rPr>
              <w:br/>
            </w:r>
            <w:r>
              <w:rPr>
                <w:sz w:val="16"/>
                <w:rtl w:val="0"/>
              </w:rPr>
              <w:t>- Bộ trưởng (để b/c);</w:t>
            </w:r>
            <w:r>
              <w:rPr>
                <w:sz w:val="16"/>
                <w:rtl w:val="0"/>
              </w:rPr>
              <w:br/>
            </w:r>
            <w:r>
              <w:rPr>
                <w:sz w:val="16"/>
                <w:rtl w:val="0"/>
              </w:rPr>
              <w:t>- Thứ trưởng Lê Xuân Định;</w:t>
            </w:r>
            <w:r>
              <w:rPr>
                <w:sz w:val="16"/>
                <w:rtl w:val="0"/>
              </w:rPr>
              <w:br/>
            </w:r>
            <w:r>
              <w:rPr>
                <w:sz w:val="16"/>
                <w:rtl w:val="0"/>
              </w:rPr>
              <w:t>- Bộ Công an;</w:t>
            </w:r>
            <w:r>
              <w:rPr>
                <w:sz w:val="16"/>
                <w:rtl w:val="0"/>
              </w:rPr>
              <w:br/>
            </w:r>
            <w:r>
              <w:rPr>
                <w:sz w:val="16"/>
                <w:rtl w:val="0"/>
              </w:rPr>
              <w:t>- Lưu: VT, TĐC (07).</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KT. BỘ TRƯỞNG</w:t>
            </w:r>
            <w:r>
              <w:rPr>
                <w:b/>
                <w:bCs/>
                <w:rtl w:val="0"/>
              </w:rPr>
              <w:br/>
            </w:r>
            <w:r>
              <w:rPr>
                <w:b/>
                <w:bCs/>
                <w:rtl w:val="0"/>
              </w:rPr>
              <w:t>THỨ TRƯỞNG</w:t>
            </w:r>
            <w:r>
              <w:rPr>
                <w:rtl w:val="0"/>
              </w:rPr>
              <w:br/>
            </w:r>
            <w:r>
              <w:rPr>
                <w:rtl w:val="0"/>
              </w:rPr>
              <w:br/>
            </w:r>
            <w:r>
              <w:rPr>
                <w:rtl w:val="0"/>
              </w:rPr>
              <w:br/>
            </w:r>
            <w:r>
              <w:rPr>
                <w:rtl w:val="0"/>
              </w:rPr>
              <w:br/>
            </w:r>
            <w:r>
              <w:rPr>
                <w:rtl w:val="0"/>
              </w:rPr>
              <w:br/>
            </w:r>
            <w:r>
              <w:rPr>
                <w:b/>
                <w:bCs/>
                <w:rtl w:val="0"/>
              </w:rPr>
              <w:t>Lê Xuân Định</w:t>
            </w:r>
          </w:p>
        </w:tc>
      </w:tr>
    </w:tbl>
    <w:p>
      <w:pPr>
        <w:bidi w:val="0"/>
        <w:spacing w:after="120" w:afterAutospacing="0"/>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