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440"/>
      </w:pPr>
      <w:r>
        <w:rPr>
          <w:rFonts w:ascii="Times New Roman" w:hAnsi="Times New Roman"/>
          <w:b/>
          <w:color w:val="12354D"/>
          <w:sz w:val="36"/>
        </w:rPr>
        <w:t>Reinforcement Learning Summative Assignment Report</w:t>
      </w:r>
    </w:p>
    <w:p>
      <w:pPr>
        <w:spacing w:after="80" w:line="259" w:lineRule="auto"/>
      </w:pPr>
      <w:r>
        <w:rPr>
          <w:rFonts w:ascii="Times New Roman" w:hAnsi="Times New Roman"/>
          <w:b/>
          <w:sz w:val="21"/>
        </w:rPr>
        <w:t>Student Name:</w:t>
      </w:r>
      <w:r>
        <w:rPr>
          <w:rFonts w:ascii="Times New Roman" w:hAnsi="Times New Roman"/>
          <w:sz w:val="21"/>
        </w:rPr>
        <w:t xml:space="preserve"> Mugabo Patricia</w:t>
      </w:r>
    </w:p>
    <w:p>
      <w:pPr>
        <w:spacing w:after="80" w:line="259" w:lineRule="auto"/>
      </w:pPr>
      <w:r>
        <w:rPr>
          <w:rFonts w:ascii="Times New Roman" w:hAnsi="Times New Roman"/>
          <w:b/>
          <w:sz w:val="19"/>
        </w:rPr>
        <w:t>Video Recording:</w:t>
      </w:r>
      <w:r>
        <w:rPr>
          <w:rFonts w:ascii="Times New Roman" w:hAnsi="Times New Roman"/>
          <w:sz w:val="19"/>
        </w:rPr>
        <w:t xml:space="preserve"> [ADD VIDEO URL BEFORE SUBMISSION]</w:t>
      </w:r>
    </w:p>
    <w:p>
      <w:pPr>
        <w:spacing w:after="80" w:line="259" w:lineRule="auto"/>
      </w:pPr>
      <w:r>
        <w:rPr>
          <w:rFonts w:ascii="Times New Roman" w:hAnsi="Times New Roman"/>
          <w:b/>
          <w:sz w:val="19"/>
        </w:rPr>
        <w:t>GitHub Repository:</w:t>
      </w:r>
      <w:r>
        <w:rPr>
          <w:rFonts w:ascii="Times New Roman" w:hAnsi="Times New Roman"/>
          <w:sz w:val="19"/>
        </w:rPr>
        <w:t xml:space="preserve"> [ADD GITHUB URL BEFORE SUBMISSION]</w:t>
      </w:r>
    </w:p>
    <w:p>
      <w:pPr>
        <w:spacing w:before="160" w:after="80"/>
      </w:pPr>
      <w:r>
        <w:rPr>
          <w:rFonts w:ascii="Times New Roman" w:hAnsi="Times New Roman"/>
          <w:b/>
          <w:color w:val="12354D"/>
          <w:sz w:val="28"/>
        </w:rPr>
        <w:t>1. Project Overview</w:t>
      </w:r>
    </w:p>
    <w:p>
      <w:pPr>
        <w:spacing w:after="80" w:line="259" w:lineRule="auto"/>
      </w:pPr>
      <w:r>
        <w:rPr>
          <w:rFonts w:ascii="Times New Roman" w:hAnsi="Times New Roman"/>
          <w:sz w:val="19"/>
        </w:rPr>
        <w:t>AquaForecast is a mission-based reinforcement-learning extension of a water-demand forecasting and decision-support platform for Kimironko Sector, Gasabo District, Kigali. The simulated agent recommends a daily operating strategy that balances service reliability, reservoir resilience, treatment limits, leakage, energy use and uncertain weather-driven demand. DQN, REINFORCE, PPO and A2C interact with the same stochastic Gymnasium environment for objective comparison. Recommendations remain subject to human operator approval and are not sent directly to infrastructure.</w:t>
      </w:r>
    </w:p>
    <w:p>
      <w:pPr>
        <w:jc w:val="center"/>
      </w:pPr>
      <w:r>
        <w:drawing>
          <wp:inline>
            <wp:extent cx="5715000" cy="3469821"/>
            <wp:docPr id="1" name="Picture 1" title="Environment Visual" descr="Figure 1. OpenGL-backed AquaForecast dashboard showing reservoir status, operational observations and the agent recommendation."/>
            <wp:cNvGraphicFramePr>
              <a:graphicFrameLocks noChangeAspect="1"/>
            </wp:cNvGraphicFramePr>
            <a:graphic>
              <a:graphicData uri="http://schemas.openxmlformats.org/drawingml/2006/picture">
                <pic:pic>
                  <pic:nvPicPr>
                    <pic:cNvPr id="0" name="environment_visual.png"/>
                    <pic:cNvPicPr/>
                  </pic:nvPicPr>
                  <pic:blipFill>
                    <a:blip r:embed="rId8"/>
                    <a:stretch>
                      <a:fillRect/>
                    </a:stretch>
                  </pic:blipFill>
                  <pic:spPr>
                    <a:xfrm>
                      <a:off x="0" y="0"/>
                      <a:ext cx="5715000" cy="3469821"/>
                    </a:xfrm>
                    <a:prstGeom prst="rect"/>
                  </pic:spPr>
                </pic:pic>
              </a:graphicData>
            </a:graphic>
          </wp:inline>
        </w:drawing>
      </w:r>
    </w:p>
    <w:p>
      <w:pPr>
        <w:spacing w:before="20" w:after="80"/>
        <w:jc w:val="center"/>
      </w:pPr>
      <w:r>
        <w:rPr>
          <w:rFonts w:ascii="Times New Roman" w:hAnsi="Times New Roman"/>
          <w:i/>
          <w:sz w:val="15"/>
        </w:rPr>
        <w:t>Figure 1. OpenGL-backed AquaForecast dashboard showing reservoir status, operational observations and the agent recommendation.</w:t>
      </w:r>
    </w:p>
    <w:p>
      <w:r>
        <w:br w:type="page"/>
      </w:r>
    </w:p>
    <w:p>
      <w:pPr>
        <w:spacing w:before="160" w:after="80"/>
      </w:pPr>
      <w:r>
        <w:rPr>
          <w:rFonts w:ascii="Times New Roman" w:hAnsi="Times New Roman"/>
          <w:b/>
          <w:color w:val="12354D"/>
          <w:sz w:val="28"/>
        </w:rPr>
        <w:t>2. Environment Description</w:t>
      </w:r>
    </w:p>
    <w:p>
      <w:pPr>
        <w:spacing w:before="100" w:after="80"/>
      </w:pPr>
      <w:r>
        <w:rPr>
          <w:rFonts w:ascii="Times New Roman" w:hAnsi="Times New Roman"/>
          <w:b/>
          <w:color w:val="167EB2"/>
          <w:sz w:val="22"/>
        </w:rPr>
        <w:t>2.1 Agent, start state and dynamics</w:t>
      </w:r>
    </w:p>
    <w:p>
      <w:pPr>
        <w:spacing w:after="80" w:line="259" w:lineRule="auto"/>
      </w:pPr>
      <w:r>
        <w:rPr>
          <w:rFonts w:ascii="Times New Roman" w:hAnsi="Times New Roman"/>
          <w:sz w:val="19"/>
        </w:rPr>
        <w:t>The agent represents a human-in-the-loop operational planner. Each step equals one day. At reset, the simulator randomizes day of year, 5.4–9.6 ML reservoir storage, recent demand, treatment and pipe health, and 1.2–2.5 ML strategic reserve. Scenario options modify these values for drought, demand surge, high leakage, plant outage or mixed stress. Weather, demand, forecast error, tariff, leakage and equipment health then evolve stochastically.</w:t>
      </w:r>
    </w:p>
    <w:p>
      <w:pPr>
        <w:spacing w:before="100" w:after="80"/>
      </w:pPr>
      <w:r>
        <w:rPr>
          <w:rFonts w:ascii="Times New Roman" w:hAnsi="Times New Roman"/>
          <w:b/>
          <w:color w:val="167EB2"/>
          <w:sz w:val="22"/>
        </w:rPr>
        <w:t>2.2 Discrete action space</w:t>
      </w:r>
    </w:p>
    <w:tbl>
      <w:tblPr>
        <w:tblW w:type="auto" w:w="0"/>
        <w:jc w:val="center"/>
        <w:tblLayout w:type="fixed"/>
        <w:tblLook w:firstColumn="1" w:firstRow="1" w:lastColumn="0" w:lastRow="0" w:noHBand="0" w:noVBand="1" w:val="04A0"/>
        <w:tblBorders>
          <w:top w:val="single" w:sz="5" w:color="A8B6BF"/>
          <w:left w:val="single" w:sz="5" w:color="A8B6BF"/>
          <w:bottom w:val="single" w:sz="5" w:color="A8B6BF"/>
          <w:right w:val="single" w:sz="5" w:color="A8B6BF"/>
          <w:insideH w:val="single" w:sz="5" w:color="A8B6BF"/>
          <w:insideV w:val="single" w:sz="5" w:color="A8B6BF"/>
        </w:tblBorders>
      </w:tblPr>
      <w:tblGrid>
        <w:gridCol w:w="605"/>
        <w:gridCol w:w="3096"/>
        <w:gridCol w:w="5400"/>
      </w:tblGrid>
      <w:tr>
        <w:trPr>
          <w:tblHeader w:val="true"/>
        </w:trPr>
        <w:tc>
          <w:tcPr>
            <w:tcW w:type="dxa" w:w="3214"/>
            <w:vAlign w:val="center"/>
            <w:tcMar>
              <w:top w:w="50" w:type="dxa"/>
              <w:start w:w="70" w:type="dxa"/>
              <w:bottom w:w="50" w:type="dxa"/>
              <w:end w:w="70" w:type="dxa"/>
            </w:tcMar>
            <w:shd w:fill="12354D"/>
          </w:tcPr>
          <w:p>
            <w:pPr>
              <w:spacing w:after="0" w:line="240" w:lineRule="auto"/>
              <w:jc w:val="center"/>
            </w:pPr>
            <w:r/>
            <w:r>
              <w:rPr>
                <w:rFonts w:ascii="Arial" w:hAnsi="Arial"/>
                <w:b/>
                <w:color w:val="FFFFFF"/>
                <w:sz w:val="15"/>
              </w:rPr>
              <w:t>ID</w:t>
            </w:r>
          </w:p>
        </w:tc>
        <w:tc>
          <w:tcPr>
            <w:tcW w:type="dxa" w:w="3214"/>
            <w:vAlign w:val="center"/>
            <w:tcMar>
              <w:top w:w="50" w:type="dxa"/>
              <w:start w:w="70" w:type="dxa"/>
              <w:bottom w:w="50" w:type="dxa"/>
              <w:end w:w="70" w:type="dxa"/>
            </w:tcMar>
            <w:shd w:fill="12354D"/>
          </w:tcPr>
          <w:p>
            <w:pPr>
              <w:spacing w:after="0" w:line="240" w:lineRule="auto"/>
              <w:jc w:val="center"/>
            </w:pPr>
            <w:r/>
            <w:r>
              <w:rPr>
                <w:rFonts w:ascii="Arial" w:hAnsi="Arial"/>
                <w:b/>
                <w:color w:val="FFFFFF"/>
                <w:sz w:val="15"/>
              </w:rPr>
              <w:t>Action</w:t>
            </w:r>
          </w:p>
        </w:tc>
        <w:tc>
          <w:tcPr>
            <w:tcW w:type="dxa" w:w="3214"/>
            <w:vAlign w:val="center"/>
            <w:tcMar>
              <w:top w:w="50" w:type="dxa"/>
              <w:start w:w="70" w:type="dxa"/>
              <w:bottom w:w="50" w:type="dxa"/>
              <w:end w:w="70" w:type="dxa"/>
            </w:tcMar>
            <w:shd w:fill="12354D"/>
          </w:tcPr>
          <w:p>
            <w:pPr>
              <w:spacing w:after="0" w:line="240" w:lineRule="auto"/>
              <w:jc w:val="center"/>
            </w:pPr>
            <w:r/>
            <w:r>
              <w:rPr>
                <w:rFonts w:ascii="Arial" w:hAnsi="Arial"/>
                <w:b/>
                <w:color w:val="FFFFFF"/>
                <w:sz w:val="15"/>
              </w:rPr>
              <w:t>Real-world mapping</w:t>
            </w:r>
          </w:p>
        </w:tc>
      </w:tr>
      <w:tr>
        <w:tc>
          <w:tcPr>
            <w:tcW w:type="dxa" w:w="605"/>
            <w:vAlign w:val="center"/>
            <w:tcMar>
              <w:top w:w="50" w:type="dxa"/>
              <w:start w:w="70" w:type="dxa"/>
              <w:bottom w:w="50" w:type="dxa"/>
              <w:end w:w="70" w:type="dxa"/>
            </w:tcMar>
          </w:tcPr>
          <w:p>
            <w:pPr>
              <w:spacing w:after="0" w:line="240" w:lineRule="auto"/>
              <w:jc w:val="center"/>
            </w:pPr>
            <w:r/>
            <w:r>
              <w:rPr>
                <w:rFonts w:ascii="Arial" w:hAnsi="Arial"/>
                <w:b w:val="0"/>
                <w:color w:val="000000"/>
                <w:sz w:val="15"/>
              </w:rPr>
              <w:t>0</w:t>
            </w:r>
          </w:p>
        </w:tc>
        <w:tc>
          <w:tcPr>
            <w:tcW w:type="dxa" w:w="3096"/>
            <w:vAlign w:val="center"/>
            <w:tcMar>
              <w:top w:w="50" w:type="dxa"/>
              <w:start w:w="70" w:type="dxa"/>
              <w:bottom w:w="50" w:type="dxa"/>
              <w:end w:w="70" w:type="dxa"/>
            </w:tcMar>
          </w:tcPr>
          <w:p>
            <w:pPr>
              <w:spacing w:after="0" w:line="240" w:lineRule="auto"/>
              <w:jc w:val="center"/>
            </w:pPr>
            <w:r/>
            <w:r>
              <w:rPr>
                <w:rFonts w:ascii="Arial" w:hAnsi="Arial"/>
                <w:b w:val="0"/>
                <w:color w:val="000000"/>
                <w:sz w:val="15"/>
              </w:rPr>
              <w:t>Maintain forecast plan</w:t>
            </w:r>
          </w:p>
        </w:tc>
        <w:tc>
          <w:tcPr>
            <w:tcW w:type="dxa" w:w="5400"/>
            <w:vAlign w:val="center"/>
            <w:tcMar>
              <w:top w:w="50" w:type="dxa"/>
              <w:start w:w="70" w:type="dxa"/>
              <w:bottom w:w="50" w:type="dxa"/>
              <w:end w:w="70" w:type="dxa"/>
            </w:tcMar>
          </w:tcPr>
          <w:p>
            <w:pPr>
              <w:spacing w:after="0" w:line="240" w:lineRule="auto"/>
              <w:jc w:val="center"/>
            </w:pPr>
            <w:r/>
            <w:r>
              <w:rPr>
                <w:rFonts w:ascii="Arial" w:hAnsi="Arial"/>
                <w:b w:val="0"/>
                <w:color w:val="000000"/>
                <w:sz w:val="15"/>
              </w:rPr>
              <w:t>Forecast-based production and monitoring</w:t>
            </w:r>
          </w:p>
        </w:tc>
      </w:tr>
      <w:tr>
        <w:tc>
          <w:tcPr>
            <w:tcW w:type="dxa" w:w="60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1</w:t>
            </w:r>
          </w:p>
        </w:tc>
        <w:tc>
          <w:tcPr>
            <w:tcW w:type="dxa" w:w="309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Reduce production 20%</w:t>
            </w:r>
          </w:p>
        </w:tc>
        <w:tc>
          <w:tcPr>
            <w:tcW w:type="dxa" w:w="54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Save energy when shortage risk is low</w:t>
            </w:r>
          </w:p>
        </w:tc>
      </w:tr>
      <w:tr>
        <w:tc>
          <w:tcPr>
            <w:tcW w:type="dxa" w:w="605"/>
            <w:vAlign w:val="center"/>
            <w:tcMar>
              <w:top w:w="50" w:type="dxa"/>
              <w:start w:w="70" w:type="dxa"/>
              <w:bottom w:w="50" w:type="dxa"/>
              <w:end w:w="70" w:type="dxa"/>
            </w:tcMar>
          </w:tcPr>
          <w:p>
            <w:pPr>
              <w:spacing w:after="0" w:line="240" w:lineRule="auto"/>
              <w:jc w:val="center"/>
            </w:pPr>
            <w:r/>
            <w:r>
              <w:rPr>
                <w:rFonts w:ascii="Arial" w:hAnsi="Arial"/>
                <w:b w:val="0"/>
                <w:color w:val="000000"/>
                <w:sz w:val="15"/>
              </w:rPr>
              <w:t>2</w:t>
            </w:r>
          </w:p>
        </w:tc>
        <w:tc>
          <w:tcPr>
            <w:tcW w:type="dxa" w:w="3096"/>
            <w:vAlign w:val="center"/>
            <w:tcMar>
              <w:top w:w="50" w:type="dxa"/>
              <w:start w:w="70" w:type="dxa"/>
              <w:bottom w:w="50" w:type="dxa"/>
              <w:end w:w="70" w:type="dxa"/>
            </w:tcMar>
          </w:tcPr>
          <w:p>
            <w:pPr>
              <w:spacing w:after="0" w:line="240" w:lineRule="auto"/>
              <w:jc w:val="center"/>
            </w:pPr>
            <w:r/>
            <w:r>
              <w:rPr>
                <w:rFonts w:ascii="Arial" w:hAnsi="Arial"/>
                <w:b w:val="0"/>
                <w:color w:val="000000"/>
                <w:sz w:val="15"/>
              </w:rPr>
              <w:t>Increase production 20%</w:t>
            </w:r>
          </w:p>
        </w:tc>
        <w:tc>
          <w:tcPr>
            <w:tcW w:type="dxa" w:w="5400"/>
            <w:vAlign w:val="center"/>
            <w:tcMar>
              <w:top w:w="50" w:type="dxa"/>
              <w:start w:w="70" w:type="dxa"/>
              <w:bottom w:w="50" w:type="dxa"/>
              <w:end w:w="70" w:type="dxa"/>
            </w:tcMar>
          </w:tcPr>
          <w:p>
            <w:pPr>
              <w:spacing w:after="0" w:line="240" w:lineRule="auto"/>
              <w:jc w:val="center"/>
            </w:pPr>
            <w:r/>
            <w:r>
              <w:rPr>
                <w:rFonts w:ascii="Arial" w:hAnsi="Arial"/>
                <w:b w:val="0"/>
                <w:color w:val="000000"/>
                <w:sz w:val="15"/>
              </w:rPr>
              <w:t>Prepare for moderate peak demand</w:t>
            </w:r>
          </w:p>
        </w:tc>
      </w:tr>
      <w:tr>
        <w:tc>
          <w:tcPr>
            <w:tcW w:type="dxa" w:w="60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3</w:t>
            </w:r>
          </w:p>
        </w:tc>
        <w:tc>
          <w:tcPr>
            <w:tcW w:type="dxa" w:w="309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Increase production 40%</w:t>
            </w:r>
          </w:p>
        </w:tc>
        <w:tc>
          <w:tcPr>
            <w:tcW w:type="dxa" w:w="54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Respond to high demand or low storage</w:t>
            </w:r>
          </w:p>
        </w:tc>
      </w:tr>
      <w:tr>
        <w:tc>
          <w:tcPr>
            <w:tcW w:type="dxa" w:w="605"/>
            <w:vAlign w:val="center"/>
            <w:tcMar>
              <w:top w:w="50" w:type="dxa"/>
              <w:start w:w="70" w:type="dxa"/>
              <w:bottom w:w="50" w:type="dxa"/>
              <w:end w:w="70" w:type="dxa"/>
            </w:tcMar>
          </w:tcPr>
          <w:p>
            <w:pPr>
              <w:spacing w:after="0" w:line="240" w:lineRule="auto"/>
              <w:jc w:val="center"/>
            </w:pPr>
            <w:r/>
            <w:r>
              <w:rPr>
                <w:rFonts w:ascii="Arial" w:hAnsi="Arial"/>
                <w:b w:val="0"/>
                <w:color w:val="000000"/>
                <w:sz w:val="15"/>
              </w:rPr>
              <w:t>4</w:t>
            </w:r>
          </w:p>
        </w:tc>
        <w:tc>
          <w:tcPr>
            <w:tcW w:type="dxa" w:w="3096"/>
            <w:vAlign w:val="center"/>
            <w:tcMar>
              <w:top w:w="50" w:type="dxa"/>
              <w:start w:w="70" w:type="dxa"/>
              <w:bottom w:w="50" w:type="dxa"/>
              <w:end w:w="70" w:type="dxa"/>
            </w:tcMar>
          </w:tcPr>
          <w:p>
            <w:pPr>
              <w:spacing w:after="0" w:line="240" w:lineRule="auto"/>
              <w:jc w:val="center"/>
            </w:pPr>
            <w:r/>
            <w:r>
              <w:rPr>
                <w:rFonts w:ascii="Arial" w:hAnsi="Arial"/>
                <w:b w:val="0"/>
                <w:color w:val="000000"/>
                <w:sz w:val="15"/>
              </w:rPr>
              <w:t>Release strategic reserve</w:t>
            </w:r>
          </w:p>
        </w:tc>
        <w:tc>
          <w:tcPr>
            <w:tcW w:type="dxa" w:w="5400"/>
            <w:vAlign w:val="center"/>
            <w:tcMar>
              <w:top w:w="50" w:type="dxa"/>
              <w:start w:w="70" w:type="dxa"/>
              <w:bottom w:w="50" w:type="dxa"/>
              <w:end w:w="70" w:type="dxa"/>
            </w:tcMar>
          </w:tcPr>
          <w:p>
            <w:pPr>
              <w:spacing w:after="0" w:line="240" w:lineRule="auto"/>
              <w:jc w:val="center"/>
            </w:pPr>
            <w:r/>
            <w:r>
              <w:rPr>
                <w:rFonts w:ascii="Arial" w:hAnsi="Arial"/>
                <w:b w:val="0"/>
                <w:color w:val="000000"/>
                <w:sz w:val="15"/>
              </w:rPr>
              <w:t>Controlled 0.16 ML release; reserve is finite</w:t>
            </w:r>
          </w:p>
        </w:tc>
      </w:tr>
      <w:tr>
        <w:tc>
          <w:tcPr>
            <w:tcW w:type="dxa" w:w="60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5</w:t>
            </w:r>
          </w:p>
        </w:tc>
        <w:tc>
          <w:tcPr>
            <w:tcW w:type="dxa" w:w="309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Activate backup supply</w:t>
            </w:r>
          </w:p>
        </w:tc>
        <w:tc>
          <w:tcPr>
            <w:tcW w:type="dxa" w:w="54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High-cost 0.13 ML borehole/tanker equivalent</w:t>
            </w:r>
          </w:p>
        </w:tc>
      </w:tr>
      <w:tr>
        <w:tc>
          <w:tcPr>
            <w:tcW w:type="dxa" w:w="605"/>
            <w:vAlign w:val="center"/>
            <w:tcMar>
              <w:top w:w="50" w:type="dxa"/>
              <w:start w:w="70" w:type="dxa"/>
              <w:bottom w:w="50" w:type="dxa"/>
              <w:end w:w="70" w:type="dxa"/>
            </w:tcMar>
          </w:tcPr>
          <w:p>
            <w:pPr>
              <w:spacing w:after="0" w:line="240" w:lineRule="auto"/>
              <w:jc w:val="center"/>
            </w:pPr>
            <w:r/>
            <w:r>
              <w:rPr>
                <w:rFonts w:ascii="Arial" w:hAnsi="Arial"/>
                <w:b w:val="0"/>
                <w:color w:val="000000"/>
                <w:sz w:val="15"/>
              </w:rPr>
              <w:t>6</w:t>
            </w:r>
          </w:p>
        </w:tc>
        <w:tc>
          <w:tcPr>
            <w:tcW w:type="dxa" w:w="3096"/>
            <w:vAlign w:val="center"/>
            <w:tcMar>
              <w:top w:w="50" w:type="dxa"/>
              <w:start w:w="70" w:type="dxa"/>
              <w:bottom w:w="50" w:type="dxa"/>
              <w:end w:w="70" w:type="dxa"/>
            </w:tcMar>
          </w:tcPr>
          <w:p>
            <w:pPr>
              <w:spacing w:after="0" w:line="240" w:lineRule="auto"/>
              <w:jc w:val="center"/>
            </w:pPr>
            <w:r/>
            <w:r>
              <w:rPr>
                <w:rFonts w:ascii="Arial" w:hAnsi="Arial"/>
                <w:b w:val="0"/>
                <w:color w:val="000000"/>
                <w:sz w:val="15"/>
              </w:rPr>
              <w:t>Issue conservation advisory</w:t>
            </w:r>
          </w:p>
        </w:tc>
        <w:tc>
          <w:tcPr>
            <w:tcW w:type="dxa" w:w="5400"/>
            <w:vAlign w:val="center"/>
            <w:tcMar>
              <w:top w:w="50" w:type="dxa"/>
              <w:start w:w="70" w:type="dxa"/>
              <w:bottom w:w="50" w:type="dxa"/>
              <w:end w:w="70" w:type="dxa"/>
            </w:tcMar>
          </w:tcPr>
          <w:p>
            <w:pPr>
              <w:spacing w:after="0" w:line="240" w:lineRule="auto"/>
              <w:jc w:val="center"/>
            </w:pPr>
            <w:r/>
            <w:r>
              <w:rPr>
                <w:rFonts w:ascii="Arial" w:hAnsi="Arial"/>
                <w:b w:val="0"/>
                <w:color w:val="000000"/>
                <w:sz w:val="15"/>
              </w:rPr>
              <w:t>Five-day voluntary demand reduction</w:t>
            </w:r>
          </w:p>
        </w:tc>
      </w:tr>
      <w:tr>
        <w:tc>
          <w:tcPr>
            <w:tcW w:type="dxa" w:w="60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7</w:t>
            </w:r>
          </w:p>
        </w:tc>
        <w:tc>
          <w:tcPr>
            <w:tcW w:type="dxa" w:w="309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Dispatch leak-response crew</w:t>
            </w:r>
          </w:p>
        </w:tc>
        <w:tc>
          <w:tcPr>
            <w:tcW w:type="dxa" w:w="54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Immediate leak reduction and pipe-health gain</w:t>
            </w:r>
          </w:p>
        </w:tc>
      </w:tr>
      <w:tr>
        <w:tc>
          <w:tcPr>
            <w:tcW w:type="dxa" w:w="605"/>
            <w:vAlign w:val="center"/>
            <w:tcMar>
              <w:top w:w="50" w:type="dxa"/>
              <w:start w:w="70" w:type="dxa"/>
              <w:bottom w:w="50" w:type="dxa"/>
              <w:end w:w="70" w:type="dxa"/>
            </w:tcMar>
          </w:tcPr>
          <w:p>
            <w:pPr>
              <w:spacing w:after="0" w:line="240" w:lineRule="auto"/>
              <w:jc w:val="center"/>
            </w:pPr>
            <w:r/>
            <w:r>
              <w:rPr>
                <w:rFonts w:ascii="Arial" w:hAnsi="Arial"/>
                <w:b w:val="0"/>
                <w:color w:val="000000"/>
                <w:sz w:val="15"/>
              </w:rPr>
              <w:t>8</w:t>
            </w:r>
          </w:p>
        </w:tc>
        <w:tc>
          <w:tcPr>
            <w:tcW w:type="dxa" w:w="3096"/>
            <w:vAlign w:val="center"/>
            <w:tcMar>
              <w:top w:w="50" w:type="dxa"/>
              <w:start w:w="70" w:type="dxa"/>
              <w:bottom w:w="50" w:type="dxa"/>
              <w:end w:w="70" w:type="dxa"/>
            </w:tcMar>
          </w:tcPr>
          <w:p>
            <w:pPr>
              <w:spacing w:after="0" w:line="240" w:lineRule="auto"/>
              <w:jc w:val="center"/>
            </w:pPr>
            <w:r/>
            <w:r>
              <w:rPr>
                <w:rFonts w:ascii="Arial" w:hAnsi="Arial"/>
                <w:b w:val="0"/>
                <w:color w:val="000000"/>
                <w:sz w:val="15"/>
              </w:rPr>
              <w:t>Combined drought response</w:t>
            </w:r>
          </w:p>
        </w:tc>
        <w:tc>
          <w:tcPr>
            <w:tcW w:type="dxa" w:w="5400"/>
            <w:vAlign w:val="center"/>
            <w:tcMar>
              <w:top w:w="50" w:type="dxa"/>
              <w:start w:w="70" w:type="dxa"/>
              <w:bottom w:w="50" w:type="dxa"/>
              <w:end w:w="70" w:type="dxa"/>
            </w:tcMar>
          </w:tcPr>
          <w:p>
            <w:pPr>
              <w:spacing w:after="0" w:line="240" w:lineRule="auto"/>
              <w:jc w:val="center"/>
            </w:pPr>
            <w:r/>
            <w:r>
              <w:rPr>
                <w:rFonts w:ascii="Arial" w:hAnsi="Arial"/>
                <w:b w:val="0"/>
                <w:color w:val="000000"/>
                <w:sz w:val="15"/>
              </w:rPr>
              <w:t>Production increase plus seven-day advisory</w:t>
            </w:r>
          </w:p>
        </w:tc>
      </w:tr>
      <w:tr>
        <w:tc>
          <w:tcPr>
            <w:tcW w:type="dxa" w:w="60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9</w:t>
            </w:r>
          </w:p>
        </w:tc>
        <w:tc>
          <w:tcPr>
            <w:tcW w:type="dxa" w:w="309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Preventive maintenance</w:t>
            </w:r>
          </w:p>
        </w:tc>
        <w:tc>
          <w:tcPr>
            <w:tcW w:type="dxa" w:w="54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5"/>
              </w:rPr>
              <w:t>Temporary throughput loss; long-term health gain</w:t>
            </w:r>
          </w:p>
        </w:tc>
      </w:tr>
    </w:tbl>
    <w:p>
      <w:pPr>
        <w:spacing w:before="100" w:after="80"/>
      </w:pPr>
      <w:r>
        <w:rPr>
          <w:rFonts w:ascii="Times New Roman" w:hAnsi="Times New Roman"/>
          <w:b/>
          <w:color w:val="167EB2"/>
          <w:sz w:val="22"/>
        </w:rPr>
        <w:t>2.3 Terminal conditions</w:t>
      </w:r>
    </w:p>
    <w:p>
      <w:pPr>
        <w:spacing w:after="80" w:line="259" w:lineRule="auto"/>
      </w:pPr>
      <w:r>
        <w:rPr>
          <w:rFonts w:ascii="Times New Roman" w:hAnsi="Times New Roman"/>
          <w:sz w:val="19"/>
        </w:rPr>
        <w:t>An episode is truncated after 90 simulated days. It terminates early after three consecutive days with more than 30% unmet demand, representing unacceptable service failure. The tests also cover every action, observation bounds, seeded reset behavior, time-limit behavior and frontend JSON serialization.</w:t>
      </w:r>
    </w:p>
    <w:p>
      <w:r>
        <w:br w:type="page"/>
      </w:r>
    </w:p>
    <w:p>
      <w:pPr>
        <w:spacing w:before="160" w:after="80"/>
      </w:pPr>
      <w:r>
        <w:rPr>
          <w:rFonts w:ascii="Times New Roman" w:hAnsi="Times New Roman"/>
          <w:b/>
          <w:color w:val="12354D"/>
          <w:sz w:val="28"/>
        </w:rPr>
        <w:t>2.4 Observation space</w:t>
      </w:r>
    </w:p>
    <w:tbl>
      <w:tblPr>
        <w:tblW w:type="auto" w:w="0"/>
        <w:jc w:val="center"/>
        <w:tblLayout w:type="fixed"/>
        <w:tblLook w:firstColumn="1" w:firstRow="1" w:lastColumn="0" w:lastRow="0" w:noHBand="0" w:noVBand="1" w:val="04A0"/>
        <w:tblBorders>
          <w:top w:val="single" w:sz="5" w:color="A8B6BF"/>
          <w:left w:val="single" w:sz="5" w:color="A8B6BF"/>
          <w:bottom w:val="single" w:sz="5" w:color="A8B6BF"/>
          <w:right w:val="single" w:sz="5" w:color="A8B6BF"/>
          <w:insideH w:val="single" w:sz="5" w:color="A8B6BF"/>
          <w:insideV w:val="single" w:sz="5" w:color="A8B6BF"/>
        </w:tblBorders>
      </w:tblPr>
      <w:tblGrid>
        <w:gridCol w:w="1699"/>
        <w:gridCol w:w="2131"/>
        <w:gridCol w:w="2376"/>
        <w:gridCol w:w="1008"/>
        <w:gridCol w:w="1800"/>
      </w:tblGrid>
      <w:tr>
        <w:trPr>
          <w:tblHeader w:val="true"/>
        </w:trPr>
        <w:tc>
          <w:tcPr>
            <w:tcW w:type="dxa" w:w="1928"/>
            <w:vAlign w:val="center"/>
            <w:tcMar>
              <w:top w:w="50" w:type="dxa"/>
              <w:start w:w="70" w:type="dxa"/>
              <w:bottom w:w="50" w:type="dxa"/>
              <w:end w:w="70" w:type="dxa"/>
            </w:tcMar>
            <w:shd w:fill="12354D"/>
          </w:tcPr>
          <w:p>
            <w:pPr>
              <w:spacing w:after="0" w:line="240" w:lineRule="auto"/>
              <w:jc w:val="center"/>
            </w:pPr>
            <w:r/>
            <w:r>
              <w:rPr>
                <w:rFonts w:ascii="Arial" w:hAnsi="Arial"/>
                <w:b/>
                <w:color w:val="FFFFFF"/>
                <w:sz w:val="12"/>
              </w:rPr>
              <w:t>Observation</w:t>
            </w:r>
          </w:p>
        </w:tc>
        <w:tc>
          <w:tcPr>
            <w:tcW w:type="dxa" w:w="1928"/>
            <w:vAlign w:val="center"/>
            <w:tcMar>
              <w:top w:w="50" w:type="dxa"/>
              <w:start w:w="70" w:type="dxa"/>
              <w:bottom w:w="50" w:type="dxa"/>
              <w:end w:w="70" w:type="dxa"/>
            </w:tcMar>
            <w:shd w:fill="12354D"/>
          </w:tcPr>
          <w:p>
            <w:pPr>
              <w:spacing w:after="0" w:line="240" w:lineRule="auto"/>
              <w:jc w:val="center"/>
            </w:pPr>
            <w:r/>
            <w:r>
              <w:rPr>
                <w:rFonts w:ascii="Arial" w:hAnsi="Arial"/>
                <w:b/>
                <w:color w:val="FFFFFF"/>
                <w:sz w:val="12"/>
              </w:rPr>
              <w:t>Meaning</w:t>
            </w:r>
          </w:p>
        </w:tc>
        <w:tc>
          <w:tcPr>
            <w:tcW w:type="dxa" w:w="1928"/>
            <w:vAlign w:val="center"/>
            <w:tcMar>
              <w:top w:w="50" w:type="dxa"/>
              <w:start w:w="70" w:type="dxa"/>
              <w:bottom w:w="50" w:type="dxa"/>
              <w:end w:w="70" w:type="dxa"/>
            </w:tcMar>
            <w:shd w:fill="12354D"/>
          </w:tcPr>
          <w:p>
            <w:pPr>
              <w:spacing w:after="0" w:line="240" w:lineRule="auto"/>
              <w:jc w:val="center"/>
            </w:pPr>
            <w:r/>
            <w:r>
              <w:rPr>
                <w:rFonts w:ascii="Arial" w:hAnsi="Arial"/>
                <w:b/>
                <w:color w:val="FFFFFF"/>
                <w:sz w:val="12"/>
              </w:rPr>
              <w:t>Real source</w:t>
            </w:r>
          </w:p>
        </w:tc>
        <w:tc>
          <w:tcPr>
            <w:tcW w:type="dxa" w:w="1928"/>
            <w:vAlign w:val="center"/>
            <w:tcMar>
              <w:top w:w="50" w:type="dxa"/>
              <w:start w:w="70" w:type="dxa"/>
              <w:bottom w:w="50" w:type="dxa"/>
              <w:end w:w="70" w:type="dxa"/>
            </w:tcMar>
            <w:shd w:fill="12354D"/>
          </w:tcPr>
          <w:p>
            <w:pPr>
              <w:spacing w:after="0" w:line="240" w:lineRule="auto"/>
              <w:jc w:val="center"/>
            </w:pPr>
            <w:r/>
            <w:r>
              <w:rPr>
                <w:rFonts w:ascii="Arial" w:hAnsi="Arial"/>
                <w:b/>
                <w:color w:val="FFFFFF"/>
                <w:sz w:val="12"/>
              </w:rPr>
              <w:t>Type</w:t>
            </w:r>
          </w:p>
        </w:tc>
        <w:tc>
          <w:tcPr>
            <w:tcW w:type="dxa" w:w="1928"/>
            <w:vAlign w:val="center"/>
            <w:tcMar>
              <w:top w:w="50" w:type="dxa"/>
              <w:start w:w="70" w:type="dxa"/>
              <w:bottom w:w="50" w:type="dxa"/>
              <w:end w:w="70" w:type="dxa"/>
            </w:tcMar>
            <w:shd w:fill="12354D"/>
          </w:tcPr>
          <w:p>
            <w:pPr>
              <w:spacing w:after="0" w:line="240" w:lineRule="auto"/>
              <w:jc w:val="center"/>
            </w:pPr>
            <w:r/>
            <w:r>
              <w:rPr>
                <w:rFonts w:ascii="Arial" w:hAnsi="Arial"/>
                <w:b/>
                <w:color w:val="FFFFFF"/>
                <w:sz w:val="12"/>
              </w:rPr>
              <w:t>Physical range</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Reservoir level</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Stored treated water</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Level/pressure sensor</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0–12 ML</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Forecast demand</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Next-day requirement</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AquaForecast ML/API</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0.20–0.95 ML</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Previous demand</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Most recent use</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Smart meters/dataset</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0.25–0.95 ML</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Rainfall forecast</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Expected rainfall</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Weather API</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0–25 mm</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Temperature</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Demand driver</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Weather API/sensor</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17–35 C</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Humidity</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Weather context</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Weather API/sensor</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25–95%</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Dry-season index</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Seasonal water stress</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Calendar/climate data</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0–1</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Leakage risk</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Distribution loss risk</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Flow/pressure sensors</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2.5–18%</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Treatment health</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Available plant capacity</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SCADA/maintenance</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45–100%</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Energy tariff</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Production cost signal</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Utility API</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0.40–1.00 norm.</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Forecast uncertainty</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Prediction confidence</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ML model output</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4–25%</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Conservation active</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Advisory time remaining</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Campaign database</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0–7 days</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Maintenance benefit</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Health benefit remaining</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Maintenance system</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0–14 days</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Strategic reserve</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Emergency stock available</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Inventory/level sensor</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0–2.5 ML</w:t>
            </w:r>
          </w:p>
        </w:tc>
      </w:tr>
      <w:tr>
        <w:tc>
          <w:tcPr>
            <w:tcW w:type="dxa" w:w="1699"/>
            <w:vAlign w:val="center"/>
            <w:tcMar>
              <w:top w:w="50" w:type="dxa"/>
              <w:start w:w="70" w:type="dxa"/>
              <w:bottom w:w="50" w:type="dxa"/>
              <w:end w:w="70" w:type="dxa"/>
            </w:tcMar>
          </w:tcPr>
          <w:p>
            <w:pPr>
              <w:spacing w:after="0" w:line="240" w:lineRule="auto"/>
              <w:jc w:val="center"/>
            </w:pPr>
            <w:r/>
            <w:r>
              <w:rPr>
                <w:rFonts w:ascii="Arial" w:hAnsi="Arial"/>
                <w:b w:val="0"/>
                <w:color w:val="000000"/>
                <w:sz w:val="12"/>
              </w:rPr>
              <w:t>Day sine</w:t>
            </w:r>
          </w:p>
        </w:tc>
        <w:tc>
          <w:tcPr>
            <w:tcW w:type="dxa" w:w="2131"/>
            <w:vAlign w:val="center"/>
            <w:tcMar>
              <w:top w:w="50" w:type="dxa"/>
              <w:start w:w="70" w:type="dxa"/>
              <w:bottom w:w="50" w:type="dxa"/>
              <w:end w:w="70" w:type="dxa"/>
            </w:tcMar>
          </w:tcPr>
          <w:p>
            <w:pPr>
              <w:spacing w:after="0" w:line="240" w:lineRule="auto"/>
              <w:jc w:val="center"/>
            </w:pPr>
            <w:r/>
            <w:r>
              <w:rPr>
                <w:rFonts w:ascii="Arial" w:hAnsi="Arial"/>
                <w:b w:val="0"/>
                <w:color w:val="000000"/>
                <w:sz w:val="12"/>
              </w:rPr>
              <w:t>Cyclical season encoding</w:t>
            </w:r>
          </w:p>
        </w:tc>
        <w:tc>
          <w:tcPr>
            <w:tcW w:type="dxa" w:w="2376"/>
            <w:vAlign w:val="center"/>
            <w:tcMar>
              <w:top w:w="50" w:type="dxa"/>
              <w:start w:w="70" w:type="dxa"/>
              <w:bottom w:w="50" w:type="dxa"/>
              <w:end w:w="70" w:type="dxa"/>
            </w:tcMar>
          </w:tcPr>
          <w:p>
            <w:pPr>
              <w:spacing w:after="0" w:line="240" w:lineRule="auto"/>
              <w:jc w:val="center"/>
            </w:pPr>
            <w:r/>
            <w:r>
              <w:rPr>
                <w:rFonts w:ascii="Arial" w:hAnsi="Arial"/>
                <w:b w:val="0"/>
                <w:color w:val="000000"/>
                <w:sz w:val="12"/>
              </w:rPr>
              <w:t>Calendar</w:t>
            </w:r>
          </w:p>
        </w:tc>
        <w:tc>
          <w:tcPr>
            <w:tcW w:type="dxa" w:w="1008"/>
            <w:vAlign w:val="center"/>
            <w:tcMar>
              <w:top w:w="50" w:type="dxa"/>
              <w:start w:w="70" w:type="dxa"/>
              <w:bottom w:w="50" w:type="dxa"/>
              <w:end w:w="70" w:type="dxa"/>
            </w:tcMar>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tcPr>
          <w:p>
            <w:pPr>
              <w:spacing w:after="0" w:line="240" w:lineRule="auto"/>
              <w:jc w:val="center"/>
            </w:pPr>
            <w:r/>
            <w:r>
              <w:rPr>
                <w:rFonts w:ascii="Arial" w:hAnsi="Arial"/>
                <w:b w:val="0"/>
                <w:color w:val="000000"/>
                <w:sz w:val="12"/>
              </w:rPr>
              <w:t>0–1</w:t>
            </w:r>
          </w:p>
        </w:tc>
      </w:tr>
      <w:tr>
        <w:tc>
          <w:tcPr>
            <w:tcW w:type="dxa" w:w="169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Day cosine</w:t>
            </w:r>
          </w:p>
        </w:tc>
        <w:tc>
          <w:tcPr>
            <w:tcW w:type="dxa" w:w="213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Cyclical season encoding</w:t>
            </w:r>
          </w:p>
        </w:tc>
        <w:tc>
          <w:tcPr>
            <w:tcW w:type="dxa" w:w="237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Calendar</w:t>
            </w:r>
          </w:p>
        </w:tc>
        <w:tc>
          <w:tcPr>
            <w:tcW w:type="dxa" w:w="100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float32</w:t>
            </w:r>
          </w:p>
        </w:tc>
        <w:tc>
          <w:tcPr>
            <w:tcW w:type="dxa" w:w="180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2"/>
              </w:rPr>
              <w:t>0–1</w:t>
            </w:r>
          </w:p>
        </w:tc>
      </w:tr>
    </w:tbl>
    <w:p>
      <w:pPr>
        <w:spacing w:before="100" w:after="80"/>
      </w:pPr>
      <w:r>
        <w:rPr>
          <w:rFonts w:ascii="Times New Roman" w:hAnsi="Times New Roman"/>
          <w:b/>
          <w:color w:val="167EB2"/>
          <w:sz w:val="22"/>
        </w:rPr>
        <w:t>2.5 Reward structure</w:t>
      </w:r>
    </w:p>
    <w:p>
      <w:pPr>
        <w:spacing w:after="80" w:line="259" w:lineRule="auto"/>
      </w:pPr>
      <w:r>
        <w:rPr>
          <w:rFonts w:ascii="Times New Roman" w:hAnsi="Times New Roman"/>
          <w:sz w:val="19"/>
        </w:rPr>
        <w:t>The daily reward is R = 5S − 15U² − 4I(U&gt;0.10) − 2|L−0.55| − 1.25E − 6O − C + 0.45B. Here S is service ratio, U unmet-demand ratio, L normalized reservoir level, E normalized production energy cost, O overflow fraction, C action cost including repeat-advisory fatigue, and B indicates safe storage with at least 98.5% service. This prevents unlimited production, emergency supply and repeated conservation messages from becoming cost-free shortcuts.</w:t>
      </w:r>
    </w:p>
    <w:p>
      <w:r>
        <w:br w:type="page"/>
      </w:r>
    </w:p>
    <w:p>
      <w:pPr>
        <w:spacing w:before="160" w:after="80"/>
      </w:pPr>
      <w:r>
        <w:rPr>
          <w:rFonts w:ascii="Times New Roman" w:hAnsi="Times New Roman"/>
          <w:b/>
          <w:color w:val="12354D"/>
          <w:sz w:val="28"/>
        </w:rPr>
        <w:t>3. System Analysis and Design</w:t>
      </w:r>
    </w:p>
    <w:p>
      <w:pPr>
        <w:spacing w:before="100" w:after="80"/>
      </w:pPr>
      <w:r>
        <w:rPr>
          <w:rFonts w:ascii="Times New Roman" w:hAnsi="Times New Roman"/>
          <w:b/>
          <w:color w:val="167EB2"/>
          <w:sz w:val="22"/>
        </w:rPr>
        <w:t>3.1 Shared comparison protocol</w:t>
      </w:r>
    </w:p>
    <w:p>
      <w:pPr>
        <w:spacing w:after="80" w:line="259" w:lineRule="auto"/>
      </w:pPr>
      <w:r>
        <w:rPr>
          <w:rFonts w:ascii="Times New Roman" w:hAnsi="Times New Roman"/>
          <w:sz w:val="19"/>
        </w:rPr>
        <w:t>All methods use the same 16-value Box observation, ten-action Discrete space, 90-day horizon, reward function, evaluation seeds and six evaluation scenarios. The policy network uses two 64-unit hidden layers unless the relevant experiment changes hidden width. Best models are selected by mean reward over seeded evaluation episodes, with failure rate used as a safety tie-breaker.</w:t>
      </w:r>
    </w:p>
    <w:p>
      <w:pPr>
        <w:spacing w:before="100" w:after="80"/>
      </w:pPr>
      <w:r>
        <w:rPr>
          <w:rFonts w:ascii="Times New Roman" w:hAnsi="Times New Roman"/>
          <w:b/>
          <w:color w:val="167EB2"/>
          <w:sz w:val="22"/>
        </w:rPr>
        <w:t>3.2 Deep Q-Network (DQN)</w:t>
      </w:r>
    </w:p>
    <w:p>
      <w:pPr>
        <w:spacing w:after="80" w:line="259" w:lineRule="auto"/>
      </w:pPr>
      <w:r>
        <w:rPr>
          <w:rFonts w:ascii="Times New Roman" w:hAnsi="Times New Roman"/>
          <w:sz w:val="19"/>
        </w:rPr>
        <w:t>Stable-Baselines3 DQN is the value-based method. It uses an online Q-network, target network, replay buffer, mini-batch temporal-difference updates and epsilon-greedy exploration. Experiments vary learning rate, discount factor, replay capacity, batch size, exploration decay/final epsilon and target update interval.</w:t>
      </w:r>
    </w:p>
    <w:p>
      <w:pPr>
        <w:spacing w:before="100" w:after="80"/>
      </w:pPr>
      <w:r>
        <w:rPr>
          <w:rFonts w:ascii="Times New Roman" w:hAnsi="Times New Roman"/>
          <w:b/>
          <w:color w:val="167EB2"/>
          <w:sz w:val="22"/>
        </w:rPr>
        <w:t>3.3 REINFORCE</w:t>
      </w:r>
    </w:p>
    <w:p>
      <w:pPr>
        <w:spacing w:after="80" w:line="259" w:lineRule="auto"/>
      </w:pPr>
      <w:r>
        <w:rPr>
          <w:rFonts w:ascii="Times New Roman" w:hAnsi="Times New Roman"/>
          <w:sz w:val="19"/>
        </w:rPr>
        <w:t>Because Stable-Baselines3 does not ship a REINFORCE class, the required Monte-Carlo policy-gradient algorithm is implemented in PyTorch while retaining the identical Gymnasium environment and evaluation interface. A categorical policy samples actions, discounted returns are normalized, entropy supports exploration and gradients are accumulated across several episodes.</w:t>
      </w:r>
    </w:p>
    <w:p>
      <w:pPr>
        <w:spacing w:before="100" w:after="80"/>
      </w:pPr>
      <w:r>
        <w:rPr>
          <w:rFonts w:ascii="Times New Roman" w:hAnsi="Times New Roman"/>
          <w:b/>
          <w:color w:val="167EB2"/>
          <w:sz w:val="22"/>
        </w:rPr>
        <w:t>3.4 Proximal Policy Optimization (PPO)</w:t>
      </w:r>
    </w:p>
    <w:p>
      <w:pPr>
        <w:spacing w:after="80" w:line="259" w:lineRule="auto"/>
      </w:pPr>
      <w:r>
        <w:rPr>
          <w:rFonts w:ascii="Times New Roman" w:hAnsi="Times New Roman"/>
          <w:sz w:val="19"/>
        </w:rPr>
        <w:t>Stable-Baselines3 PPO is an on-policy actor–critic method. It uses generalized advantage estimation, separate policy/value branches and a clipped surrogate objective that limits destabilizing policy updates. Tuning covers learning rate, gamma, rollout length, batch size, GAE lambda, clip range and entropy coefficient.</w:t>
      </w:r>
    </w:p>
    <w:p>
      <w:pPr>
        <w:spacing w:before="100" w:after="80"/>
      </w:pPr>
      <w:r>
        <w:rPr>
          <w:rFonts w:ascii="Times New Roman" w:hAnsi="Times New Roman"/>
          <w:b/>
          <w:color w:val="167EB2"/>
          <w:sz w:val="22"/>
        </w:rPr>
        <w:t>3.5 Advantage Actor–Critic (A2C)</w:t>
      </w:r>
    </w:p>
    <w:p>
      <w:pPr>
        <w:spacing w:after="80" w:line="259" w:lineRule="auto"/>
      </w:pPr>
      <w:r>
        <w:rPr>
          <w:rFonts w:ascii="Times New Roman" w:hAnsi="Times New Roman"/>
          <w:sz w:val="19"/>
        </w:rPr>
        <w:t>Stable-Baselines3 A2C jointly optimizes a categorical actor and state-value critic from short on-policy rollouts. Experiments vary learning rate, gamma, rollout length, GAE lambda, entropy coefficient, value-loss weight and maximum gradient norm.</w:t>
      </w:r>
    </w:p>
    <w:p>
      <w:pPr>
        <w:spacing w:before="100" w:after="80"/>
      </w:pPr>
      <w:r>
        <w:rPr>
          <w:rFonts w:ascii="Times New Roman" w:hAnsi="Times New Roman"/>
          <w:b/>
          <w:color w:val="167EB2"/>
          <w:sz w:val="22"/>
        </w:rPr>
        <w:t>3.6 Product integration</w:t>
      </w:r>
    </w:p>
    <w:p>
      <w:pPr>
        <w:spacing w:after="80" w:line="259" w:lineRule="auto"/>
      </w:pPr>
      <w:r>
        <w:rPr>
          <w:rFonts w:ascii="Times New Roman" w:hAnsi="Times New Roman"/>
          <w:sz w:val="19"/>
        </w:rPr>
        <w:t>The environment exposes a JSON-serializable payload containing location, timestamp, system measurements, action, explanation and a human-approval notice. This can be returned by an API to an AquaForecast web/mobile dashboard without exposing the training object or granting direct infrastructure control.</w:t>
      </w:r>
    </w:p>
    <w:p>
      <w:r>
        <w:br w:type="page"/>
      </w:r>
    </w:p>
    <w:p>
      <w:pPr>
        <w:spacing w:before="160" w:after="80"/>
      </w:pPr>
      <w:r>
        <w:rPr>
          <w:rFonts w:ascii="Times New Roman" w:hAnsi="Times New Roman"/>
          <w:b/>
          <w:color w:val="12354D"/>
          <w:sz w:val="28"/>
        </w:rPr>
        <w:t>4. Hyperparameter Experiments</w:t>
      </w:r>
    </w:p>
    <w:p>
      <w:pPr>
        <w:spacing w:after="80" w:line="259" w:lineRule="auto"/>
      </w:pPr>
      <w:r>
        <w:rPr>
          <w:rFonts w:ascii="Times New Roman" w:hAnsi="Times New Roman"/>
          <w:sz w:val="16"/>
        </w:rPr>
        <w:t>Each algorithm used ten deliberately different configurations. Stable-Baselines3 methods trained for 25,000 timesteps per run; REINFORCE trained for 250 episodes. Mean reward +/- standard deviation is measured over twelve seeded normal-condition evaluation episodes. Green identifies the promoted model.</w:t>
      </w:r>
    </w:p>
    <w:p>
      <w:pPr>
        <w:spacing w:before="100" w:after="80"/>
      </w:pPr>
      <w:r>
        <w:rPr>
          <w:rFonts w:ascii="Times New Roman" w:hAnsi="Times New Roman"/>
          <w:b/>
          <w:color w:val="167EB2"/>
          <w:sz w:val="22"/>
        </w:rPr>
        <w:t>4.1 DQN - 10 runs</w:t>
      </w:r>
    </w:p>
    <w:tbl>
      <w:tblPr>
        <w:tblW w:type="auto" w:w="0"/>
        <w:jc w:val="center"/>
        <w:tblLayout w:type="fixed"/>
        <w:tblLook w:firstColumn="1" w:firstRow="1" w:lastColumn="0" w:lastRow="0" w:noHBand="0" w:noVBand="1" w:val="04A0"/>
        <w:tblBorders>
          <w:top w:val="single" w:sz="5" w:color="A8B6BF"/>
          <w:left w:val="single" w:sz="5" w:color="A8B6BF"/>
          <w:bottom w:val="single" w:sz="5" w:color="A8B6BF"/>
          <w:right w:val="single" w:sz="5" w:color="A8B6BF"/>
          <w:insideH w:val="single" w:sz="5" w:color="A8B6BF"/>
          <w:insideV w:val="single" w:sz="5" w:color="A8B6BF"/>
        </w:tblBorders>
      </w:tblPr>
      <w:tblGrid>
        <w:gridCol w:w="446"/>
        <w:gridCol w:w="720"/>
        <w:gridCol w:w="691"/>
        <w:gridCol w:w="864"/>
        <w:gridCol w:w="691"/>
        <w:gridCol w:w="763"/>
        <w:gridCol w:w="792"/>
        <w:gridCol w:w="821"/>
        <w:gridCol w:w="1512"/>
      </w:tblGrid>
      <w:tr>
        <w:trPr>
          <w:tblHeader w:val="true"/>
        </w:trPr>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Run</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LR</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Gamma</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Buffer</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Batch</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Explore</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Final eps</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Target</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Reward +/- SD</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1</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1e-04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0.95</w:t>
            </w:r>
          </w:p>
        </w:tc>
        <w:tc>
          <w:tcPr>
            <w:tcW w:type="dxa" w:w="864"/>
            <w:vAlign w:val="center"/>
            <w:tcMar>
              <w:top w:w="50" w:type="dxa"/>
              <w:start w:w="70" w:type="dxa"/>
              <w:bottom w:w="50" w:type="dxa"/>
              <w:end w:w="70" w:type="dxa"/>
            </w:tcMar>
          </w:tcPr>
          <w:p>
            <w:pPr>
              <w:spacing w:after="0" w:line="240" w:lineRule="auto"/>
              <w:jc w:val="center"/>
            </w:pPr>
            <w:r/>
            <w:r>
              <w:rPr>
                <w:rFonts w:ascii="Arial" w:hAnsi="Arial"/>
                <w:b w:val="0"/>
                <w:color w:val="000000"/>
                <w:sz w:val="10"/>
              </w:rPr>
              <w:t>5000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32</w:t>
            </w:r>
          </w:p>
        </w:tc>
        <w:tc>
          <w:tcPr>
            <w:tcW w:type="dxa" w:w="763"/>
            <w:vAlign w:val="center"/>
            <w:tcMar>
              <w:top w:w="50" w:type="dxa"/>
              <w:start w:w="70" w:type="dxa"/>
              <w:bottom w:w="50" w:type="dxa"/>
              <w:end w:w="70" w:type="dxa"/>
            </w:tcMar>
          </w:tcPr>
          <w:p>
            <w:pPr>
              <w:spacing w:after="0" w:line="240" w:lineRule="auto"/>
              <w:jc w:val="center"/>
            </w:pPr>
            <w:r/>
            <w:r>
              <w:rPr>
                <w:rFonts w:ascii="Arial" w:hAnsi="Arial"/>
                <w:b w:val="0"/>
                <w:color w:val="000000"/>
                <w:sz w:val="10"/>
              </w:rPr>
              <w:t>0.3</w:t>
            </w:r>
          </w:p>
        </w:tc>
        <w:tc>
          <w:tcPr>
            <w:tcW w:type="dxa" w:w="792"/>
            <w:vAlign w:val="center"/>
            <w:tcMar>
              <w:top w:w="50" w:type="dxa"/>
              <w:start w:w="70" w:type="dxa"/>
              <w:bottom w:w="50" w:type="dxa"/>
              <w:end w:w="70" w:type="dxa"/>
            </w:tcMar>
          </w:tcPr>
          <w:p>
            <w:pPr>
              <w:spacing w:after="0" w:line="240" w:lineRule="auto"/>
              <w:jc w:val="center"/>
            </w:pPr>
            <w:r/>
            <w:r>
              <w:rPr>
                <w:rFonts w:ascii="Arial" w:hAnsi="Arial"/>
                <w:b w:val="0"/>
                <w:color w:val="000000"/>
                <w:sz w:val="10"/>
              </w:rPr>
              <w:t>0.08</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500</w:t>
            </w:r>
          </w:p>
        </w:tc>
        <w:tc>
          <w:tcPr>
            <w:tcW w:type="dxa" w:w="1512"/>
            <w:vAlign w:val="center"/>
            <w:tcMar>
              <w:top w:w="50" w:type="dxa"/>
              <w:start w:w="70" w:type="dxa"/>
              <w:bottom w:w="50" w:type="dxa"/>
              <w:end w:w="70" w:type="dxa"/>
            </w:tcMar>
          </w:tcPr>
          <w:p>
            <w:pPr>
              <w:spacing w:after="0" w:line="240" w:lineRule="auto"/>
              <w:jc w:val="center"/>
            </w:pPr>
            <w:r/>
            <w:r>
              <w:rPr>
                <w:rFonts w:ascii="Arial" w:hAnsi="Arial"/>
                <w:b w:val="0"/>
                <w:color w:val="000000"/>
                <w:sz w:val="10"/>
              </w:rPr>
              <w:t>405.73 +/- 65.62</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0.97</w:t>
            </w:r>
          </w:p>
        </w:tc>
        <w:tc>
          <w:tcPr>
            <w:tcW w:type="dxa" w:w="86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10000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64</w:t>
            </w:r>
          </w:p>
        </w:tc>
        <w:tc>
          <w:tcPr>
            <w:tcW w:type="dxa" w:w="76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0.4</w:t>
            </w:r>
          </w:p>
        </w:tc>
        <w:tc>
          <w:tcPr>
            <w:tcW w:type="dxa" w:w="79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0.05</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750</w:t>
            </w:r>
          </w:p>
        </w:tc>
        <w:tc>
          <w:tcPr>
            <w:tcW w:type="dxa" w:w="151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393.28 +/- 62.51</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3</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5e-04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0.99</w:t>
            </w:r>
          </w:p>
        </w:tc>
        <w:tc>
          <w:tcPr>
            <w:tcW w:type="dxa" w:w="864"/>
            <w:vAlign w:val="center"/>
            <w:tcMar>
              <w:top w:w="50" w:type="dxa"/>
              <w:start w:w="70" w:type="dxa"/>
              <w:bottom w:w="50" w:type="dxa"/>
              <w:end w:w="70" w:type="dxa"/>
            </w:tcMar>
          </w:tcPr>
          <w:p>
            <w:pPr>
              <w:spacing w:after="0" w:line="240" w:lineRule="auto"/>
              <w:jc w:val="center"/>
            </w:pPr>
            <w:r/>
            <w:r>
              <w:rPr>
                <w:rFonts w:ascii="Arial" w:hAnsi="Arial"/>
                <w:b w:val="0"/>
                <w:color w:val="000000"/>
                <w:sz w:val="10"/>
              </w:rPr>
              <w:t>10000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64</w:t>
            </w:r>
          </w:p>
        </w:tc>
        <w:tc>
          <w:tcPr>
            <w:tcW w:type="dxa" w:w="763"/>
            <w:vAlign w:val="center"/>
            <w:tcMar>
              <w:top w:w="50" w:type="dxa"/>
              <w:start w:w="70" w:type="dxa"/>
              <w:bottom w:w="50" w:type="dxa"/>
              <w:end w:w="70" w:type="dxa"/>
            </w:tcMar>
          </w:tcPr>
          <w:p>
            <w:pPr>
              <w:spacing w:after="0" w:line="240" w:lineRule="auto"/>
              <w:jc w:val="center"/>
            </w:pPr>
            <w:r/>
            <w:r>
              <w:rPr>
                <w:rFonts w:ascii="Arial" w:hAnsi="Arial"/>
                <w:b w:val="0"/>
                <w:color w:val="000000"/>
                <w:sz w:val="10"/>
              </w:rPr>
              <w:t>0.5</w:t>
            </w:r>
          </w:p>
        </w:tc>
        <w:tc>
          <w:tcPr>
            <w:tcW w:type="dxa" w:w="792"/>
            <w:vAlign w:val="center"/>
            <w:tcMar>
              <w:top w:w="50" w:type="dxa"/>
              <w:start w:w="70" w:type="dxa"/>
              <w:bottom w:w="50" w:type="dxa"/>
              <w:end w:w="70" w:type="dxa"/>
            </w:tcMar>
          </w:tcPr>
          <w:p>
            <w:pPr>
              <w:spacing w:after="0" w:line="240" w:lineRule="auto"/>
              <w:jc w:val="center"/>
            </w:pPr>
            <w:r/>
            <w:r>
              <w:rPr>
                <w:rFonts w:ascii="Arial" w:hAnsi="Arial"/>
                <w:b w:val="0"/>
                <w:color w:val="000000"/>
                <w:sz w:val="10"/>
              </w:rPr>
              <w:t>0.03</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1000</w:t>
            </w:r>
          </w:p>
        </w:tc>
        <w:tc>
          <w:tcPr>
            <w:tcW w:type="dxa" w:w="1512"/>
            <w:vAlign w:val="center"/>
            <w:tcMar>
              <w:top w:w="50" w:type="dxa"/>
              <w:start w:w="70" w:type="dxa"/>
              <w:bottom w:w="50" w:type="dxa"/>
              <w:end w:w="70" w:type="dxa"/>
            </w:tcMar>
          </w:tcPr>
          <w:p>
            <w:pPr>
              <w:spacing w:after="0" w:line="240" w:lineRule="auto"/>
              <w:jc w:val="center"/>
            </w:pPr>
            <w:r/>
            <w:r>
              <w:rPr>
                <w:rFonts w:ascii="Arial" w:hAnsi="Arial"/>
                <w:b w:val="0"/>
                <w:color w:val="000000"/>
                <w:sz w:val="10"/>
              </w:rPr>
              <w:t>392.87 +/- 5.22</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1e-03</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w:t>
            </w:r>
          </w:p>
        </w:tc>
        <w:tc>
          <w:tcPr>
            <w:tcW w:type="dxa" w:w="86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15000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128</w:t>
            </w:r>
          </w:p>
        </w:tc>
        <w:tc>
          <w:tcPr>
            <w:tcW w:type="dxa" w:w="76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0.35</w:t>
            </w:r>
          </w:p>
        </w:tc>
        <w:tc>
          <w:tcPr>
            <w:tcW w:type="dxa" w:w="79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0.05</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500</w:t>
            </w:r>
          </w:p>
        </w:tc>
        <w:tc>
          <w:tcPr>
            <w:tcW w:type="dxa" w:w="151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400.00 +/- 61.57</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5</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5e-05</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0.995</w:t>
            </w:r>
          </w:p>
        </w:tc>
        <w:tc>
          <w:tcPr>
            <w:tcW w:type="dxa" w:w="864"/>
            <w:vAlign w:val="center"/>
            <w:tcMar>
              <w:top w:w="50" w:type="dxa"/>
              <w:start w:w="70" w:type="dxa"/>
              <w:bottom w:w="50" w:type="dxa"/>
              <w:end w:w="70" w:type="dxa"/>
            </w:tcMar>
          </w:tcPr>
          <w:p>
            <w:pPr>
              <w:spacing w:after="0" w:line="240" w:lineRule="auto"/>
              <w:jc w:val="center"/>
            </w:pPr>
            <w:r/>
            <w:r>
              <w:rPr>
                <w:rFonts w:ascii="Arial" w:hAnsi="Arial"/>
                <w:b w:val="0"/>
                <w:color w:val="000000"/>
                <w:sz w:val="10"/>
              </w:rPr>
              <w:t>15000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128</w:t>
            </w:r>
          </w:p>
        </w:tc>
        <w:tc>
          <w:tcPr>
            <w:tcW w:type="dxa" w:w="763"/>
            <w:vAlign w:val="center"/>
            <w:tcMar>
              <w:top w:w="50" w:type="dxa"/>
              <w:start w:w="70" w:type="dxa"/>
              <w:bottom w:w="50" w:type="dxa"/>
              <w:end w:w="70" w:type="dxa"/>
            </w:tcMar>
          </w:tcPr>
          <w:p>
            <w:pPr>
              <w:spacing w:after="0" w:line="240" w:lineRule="auto"/>
              <w:jc w:val="center"/>
            </w:pPr>
            <w:r/>
            <w:r>
              <w:rPr>
                <w:rFonts w:ascii="Arial" w:hAnsi="Arial"/>
                <w:b w:val="0"/>
                <w:color w:val="000000"/>
                <w:sz w:val="10"/>
              </w:rPr>
              <w:t>0.7</w:t>
            </w:r>
          </w:p>
        </w:tc>
        <w:tc>
          <w:tcPr>
            <w:tcW w:type="dxa" w:w="792"/>
            <w:vAlign w:val="center"/>
            <w:tcMar>
              <w:top w:w="50" w:type="dxa"/>
              <w:start w:w="70" w:type="dxa"/>
              <w:bottom w:w="50" w:type="dxa"/>
              <w:end w:w="70" w:type="dxa"/>
            </w:tcMar>
          </w:tcPr>
          <w:p>
            <w:pPr>
              <w:spacing w:after="0" w:line="240" w:lineRule="auto"/>
              <w:jc w:val="center"/>
            </w:pPr>
            <w:r/>
            <w:r>
              <w:rPr>
                <w:rFonts w:ascii="Arial" w:hAnsi="Arial"/>
                <w:b w:val="0"/>
                <w:color w:val="000000"/>
                <w:sz w:val="10"/>
              </w:rPr>
              <w:t>0.02</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1500</w:t>
            </w:r>
          </w:p>
        </w:tc>
        <w:tc>
          <w:tcPr>
            <w:tcW w:type="dxa" w:w="1512"/>
            <w:vAlign w:val="center"/>
            <w:tcMar>
              <w:top w:w="50" w:type="dxa"/>
              <w:start w:w="70" w:type="dxa"/>
              <w:bottom w:w="50" w:type="dxa"/>
              <w:end w:w="70" w:type="dxa"/>
            </w:tcMar>
          </w:tcPr>
          <w:p>
            <w:pPr>
              <w:spacing w:after="0" w:line="240" w:lineRule="auto"/>
              <w:jc w:val="center"/>
            </w:pPr>
            <w:r/>
            <w:r>
              <w:rPr>
                <w:rFonts w:ascii="Arial" w:hAnsi="Arial"/>
                <w:b w:val="0"/>
                <w:color w:val="000000"/>
                <w:sz w:val="10"/>
              </w:rPr>
              <w:t>220.49 +/- 100.76</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w:t>
            </w:r>
          </w:p>
        </w:tc>
        <w:tc>
          <w:tcPr>
            <w:tcW w:type="dxa" w:w="86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5000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32</w:t>
            </w:r>
          </w:p>
        </w:tc>
        <w:tc>
          <w:tcPr>
            <w:tcW w:type="dxa" w:w="76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0.2</w:t>
            </w:r>
          </w:p>
        </w:tc>
        <w:tc>
          <w:tcPr>
            <w:tcW w:type="dxa" w:w="79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0.1</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250</w:t>
            </w:r>
          </w:p>
        </w:tc>
        <w:tc>
          <w:tcPr>
            <w:tcW w:type="dxa" w:w="151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402.52 +/- 79.63</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7</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7e-04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0.97</w:t>
            </w:r>
          </w:p>
        </w:tc>
        <w:tc>
          <w:tcPr>
            <w:tcW w:type="dxa" w:w="864"/>
            <w:vAlign w:val="center"/>
            <w:tcMar>
              <w:top w:w="50" w:type="dxa"/>
              <w:start w:w="70" w:type="dxa"/>
              <w:bottom w:w="50" w:type="dxa"/>
              <w:end w:w="70" w:type="dxa"/>
            </w:tcMar>
          </w:tcPr>
          <w:p>
            <w:pPr>
              <w:spacing w:after="0" w:line="240" w:lineRule="auto"/>
              <w:jc w:val="center"/>
            </w:pPr>
            <w:r/>
            <w:r>
              <w:rPr>
                <w:rFonts w:ascii="Arial" w:hAnsi="Arial"/>
                <w:b w:val="0"/>
                <w:color w:val="000000"/>
                <w:sz w:val="10"/>
              </w:rPr>
              <w:t>12500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64</w:t>
            </w:r>
          </w:p>
        </w:tc>
        <w:tc>
          <w:tcPr>
            <w:tcW w:type="dxa" w:w="763"/>
            <w:vAlign w:val="center"/>
            <w:tcMar>
              <w:top w:w="50" w:type="dxa"/>
              <w:start w:w="70" w:type="dxa"/>
              <w:bottom w:w="50" w:type="dxa"/>
              <w:end w:w="70" w:type="dxa"/>
            </w:tcMar>
          </w:tcPr>
          <w:p>
            <w:pPr>
              <w:spacing w:after="0" w:line="240" w:lineRule="auto"/>
              <w:jc w:val="center"/>
            </w:pPr>
            <w:r/>
            <w:r>
              <w:rPr>
                <w:rFonts w:ascii="Arial" w:hAnsi="Arial"/>
                <w:b w:val="0"/>
                <w:color w:val="000000"/>
                <w:sz w:val="10"/>
              </w:rPr>
              <w:t>0.6</w:t>
            </w:r>
          </w:p>
        </w:tc>
        <w:tc>
          <w:tcPr>
            <w:tcW w:type="dxa" w:w="792"/>
            <w:vAlign w:val="center"/>
            <w:tcMar>
              <w:top w:w="50" w:type="dxa"/>
              <w:start w:w="70" w:type="dxa"/>
              <w:bottom w:w="50" w:type="dxa"/>
              <w:end w:w="70" w:type="dxa"/>
            </w:tcMar>
          </w:tcPr>
          <w:p>
            <w:pPr>
              <w:spacing w:after="0" w:line="240" w:lineRule="auto"/>
              <w:jc w:val="center"/>
            </w:pPr>
            <w:r/>
            <w:r>
              <w:rPr>
                <w:rFonts w:ascii="Arial" w:hAnsi="Arial"/>
                <w:b w:val="0"/>
                <w:color w:val="000000"/>
                <w:sz w:val="10"/>
              </w:rPr>
              <w:t>0.01</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1000</w:t>
            </w:r>
          </w:p>
        </w:tc>
        <w:tc>
          <w:tcPr>
            <w:tcW w:type="dxa" w:w="1512"/>
            <w:vAlign w:val="center"/>
            <w:tcMar>
              <w:top w:w="50" w:type="dxa"/>
              <w:start w:w="70" w:type="dxa"/>
              <w:bottom w:w="50" w:type="dxa"/>
              <w:end w:w="70" w:type="dxa"/>
            </w:tcMar>
          </w:tcPr>
          <w:p>
            <w:pPr>
              <w:spacing w:after="0" w:line="240" w:lineRule="auto"/>
              <w:jc w:val="center"/>
            </w:pPr>
            <w:r/>
            <w:r>
              <w:rPr>
                <w:rFonts w:ascii="Arial" w:hAnsi="Arial"/>
                <w:b w:val="0"/>
                <w:color w:val="000000"/>
                <w:sz w:val="10"/>
              </w:rPr>
              <w:t>414.75 +/- 62.40</w:t>
            </w:r>
          </w:p>
        </w:tc>
      </w:tr>
      <w:tr>
        <w:tc>
          <w:tcPr>
            <w:tcW w:type="dxa" w:w="446"/>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8</w:t>
            </w:r>
          </w:p>
        </w:tc>
        <w:tc>
          <w:tcPr>
            <w:tcW w:type="dxa" w:w="720"/>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1e-04</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0.999</w:t>
            </w:r>
          </w:p>
        </w:tc>
        <w:tc>
          <w:tcPr>
            <w:tcW w:type="dxa" w:w="864"/>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20000</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256</w:t>
            </w:r>
          </w:p>
        </w:tc>
        <w:tc>
          <w:tcPr>
            <w:tcW w:type="dxa" w:w="763"/>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0.55</w:t>
            </w:r>
          </w:p>
        </w:tc>
        <w:tc>
          <w:tcPr>
            <w:tcW w:type="dxa" w:w="792"/>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0.04</w:t>
            </w:r>
          </w:p>
        </w:tc>
        <w:tc>
          <w:tcPr>
            <w:tcW w:type="dxa" w:w="82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2000</w:t>
            </w:r>
          </w:p>
        </w:tc>
        <w:tc>
          <w:tcPr>
            <w:tcW w:type="dxa" w:w="1512"/>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420.20 +/- 66.29</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9</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3e-04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0.93</w:t>
            </w:r>
          </w:p>
        </w:tc>
        <w:tc>
          <w:tcPr>
            <w:tcW w:type="dxa" w:w="864"/>
            <w:vAlign w:val="center"/>
            <w:tcMar>
              <w:top w:w="50" w:type="dxa"/>
              <w:start w:w="70" w:type="dxa"/>
              <w:bottom w:w="50" w:type="dxa"/>
              <w:end w:w="70" w:type="dxa"/>
            </w:tcMar>
          </w:tcPr>
          <w:p>
            <w:pPr>
              <w:spacing w:after="0" w:line="240" w:lineRule="auto"/>
              <w:jc w:val="center"/>
            </w:pPr>
            <w:r/>
            <w:r>
              <w:rPr>
                <w:rFonts w:ascii="Arial" w:hAnsi="Arial"/>
                <w:b w:val="0"/>
                <w:color w:val="000000"/>
                <w:sz w:val="10"/>
              </w:rPr>
              <w:t>7500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64</w:t>
            </w:r>
          </w:p>
        </w:tc>
        <w:tc>
          <w:tcPr>
            <w:tcW w:type="dxa" w:w="763"/>
            <w:vAlign w:val="center"/>
            <w:tcMar>
              <w:top w:w="50" w:type="dxa"/>
              <w:start w:w="70" w:type="dxa"/>
              <w:bottom w:w="50" w:type="dxa"/>
              <w:end w:w="70" w:type="dxa"/>
            </w:tcMar>
          </w:tcPr>
          <w:p>
            <w:pPr>
              <w:spacing w:after="0" w:line="240" w:lineRule="auto"/>
              <w:jc w:val="center"/>
            </w:pPr>
            <w:r/>
            <w:r>
              <w:rPr>
                <w:rFonts w:ascii="Arial" w:hAnsi="Arial"/>
                <w:b w:val="0"/>
                <w:color w:val="000000"/>
                <w:sz w:val="10"/>
              </w:rPr>
              <w:t>0.25</w:t>
            </w:r>
          </w:p>
        </w:tc>
        <w:tc>
          <w:tcPr>
            <w:tcW w:type="dxa" w:w="792"/>
            <w:vAlign w:val="center"/>
            <w:tcMar>
              <w:top w:w="50" w:type="dxa"/>
              <w:start w:w="70" w:type="dxa"/>
              <w:bottom w:w="50" w:type="dxa"/>
              <w:end w:w="70" w:type="dxa"/>
            </w:tcMar>
          </w:tcPr>
          <w:p>
            <w:pPr>
              <w:spacing w:after="0" w:line="240" w:lineRule="auto"/>
              <w:jc w:val="center"/>
            </w:pPr>
            <w:r/>
            <w:r>
              <w:rPr>
                <w:rFonts w:ascii="Arial" w:hAnsi="Arial"/>
                <w:b w:val="0"/>
                <w:color w:val="000000"/>
                <w:sz w:val="10"/>
              </w:rPr>
              <w:t>0.15</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400</w:t>
            </w:r>
          </w:p>
        </w:tc>
        <w:tc>
          <w:tcPr>
            <w:tcW w:type="dxa" w:w="1512"/>
            <w:vAlign w:val="center"/>
            <w:tcMar>
              <w:top w:w="50" w:type="dxa"/>
              <w:start w:w="70" w:type="dxa"/>
              <w:bottom w:w="50" w:type="dxa"/>
              <w:end w:w="70" w:type="dxa"/>
            </w:tcMar>
          </w:tcPr>
          <w:p>
            <w:pPr>
              <w:spacing w:after="0" w:line="240" w:lineRule="auto"/>
              <w:jc w:val="center"/>
            </w:pPr>
            <w:r/>
            <w:r>
              <w:rPr>
                <w:rFonts w:ascii="Arial" w:hAnsi="Arial"/>
                <w:b w:val="0"/>
                <w:color w:val="000000"/>
                <w:sz w:val="10"/>
              </w:rPr>
              <w:t>413.50 +/- 64.47</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10</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8e-04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0.995</w:t>
            </w:r>
          </w:p>
        </w:tc>
        <w:tc>
          <w:tcPr>
            <w:tcW w:type="dxa" w:w="86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17500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128</w:t>
            </w:r>
          </w:p>
        </w:tc>
        <w:tc>
          <w:tcPr>
            <w:tcW w:type="dxa" w:w="76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0.65</w:t>
            </w:r>
          </w:p>
        </w:tc>
        <w:tc>
          <w:tcPr>
            <w:tcW w:type="dxa" w:w="79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0.02</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1250</w:t>
            </w:r>
          </w:p>
        </w:tc>
        <w:tc>
          <w:tcPr>
            <w:tcW w:type="dxa" w:w="1512"/>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411.79 +/- 28.53</w:t>
            </w:r>
          </w:p>
        </w:tc>
      </w:tr>
    </w:tbl>
    <w:p>
      <w:pPr>
        <w:spacing w:after="80" w:line="259" w:lineRule="auto"/>
      </w:pPr>
      <w:r>
        <w:rPr>
          <w:rFonts w:ascii="Times New Roman" w:hAnsi="Times New Roman"/>
          <w:sz w:val="16"/>
        </w:rPr>
        <w:t>DQN run 8 achieved the largest normal-condition mean (420.20), although its SD was 66.29. High gamma (0.999), a 20,000-transition buffer and slower target updates supported long-horizon planning. Run 3 was most stable (SD 5.22), while the smallest learning rate in run 5 learned too slowly and scored 220.49.</w:t>
      </w:r>
    </w:p>
    <w:p>
      <w:pPr>
        <w:spacing w:before="100" w:after="80"/>
      </w:pPr>
      <w:r>
        <w:rPr>
          <w:rFonts w:ascii="Times New Roman" w:hAnsi="Times New Roman"/>
          <w:b/>
          <w:color w:val="167EB2"/>
          <w:sz w:val="22"/>
        </w:rPr>
        <w:t>4.2 REINFORCE - 10 runs</w:t>
      </w:r>
    </w:p>
    <w:tbl>
      <w:tblPr>
        <w:tblW w:type="auto" w:w="0"/>
        <w:jc w:val="center"/>
        <w:tblLayout w:type="fixed"/>
        <w:tblLook w:firstColumn="1" w:firstRow="1" w:lastColumn="0" w:lastRow="0" w:noHBand="0" w:noVBand="1" w:val="04A0"/>
        <w:tblBorders>
          <w:top w:val="single" w:sz="5" w:color="A8B6BF"/>
          <w:left w:val="single" w:sz="5" w:color="A8B6BF"/>
          <w:bottom w:val="single" w:sz="5" w:color="A8B6BF"/>
          <w:right w:val="single" w:sz="5" w:color="A8B6BF"/>
          <w:insideH w:val="single" w:sz="5" w:color="A8B6BF"/>
          <w:insideV w:val="single" w:sz="5" w:color="A8B6BF"/>
        </w:tblBorders>
      </w:tblPr>
      <w:tblGrid>
        <w:gridCol w:w="547"/>
        <w:gridCol w:w="936"/>
        <w:gridCol w:w="835"/>
        <w:gridCol w:w="893"/>
        <w:gridCol w:w="979"/>
        <w:gridCol w:w="1037"/>
        <w:gridCol w:w="1944"/>
      </w:tblGrid>
      <w:tr>
        <w:trPr>
          <w:tblHeader w:val="true"/>
        </w:trPr>
        <w:tc>
          <w:tcPr>
            <w:tcW w:type="dxa" w:w="137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1"/>
              </w:rPr>
              <w:t>Run</w:t>
            </w:r>
          </w:p>
        </w:tc>
        <w:tc>
          <w:tcPr>
            <w:tcW w:type="dxa" w:w="137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1"/>
              </w:rPr>
              <w:t>LR</w:t>
            </w:r>
          </w:p>
        </w:tc>
        <w:tc>
          <w:tcPr>
            <w:tcW w:type="dxa" w:w="137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1"/>
              </w:rPr>
              <w:t>Gamma</w:t>
            </w:r>
          </w:p>
        </w:tc>
        <w:tc>
          <w:tcPr>
            <w:tcW w:type="dxa" w:w="137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1"/>
              </w:rPr>
              <w:t>Hidden</w:t>
            </w:r>
          </w:p>
        </w:tc>
        <w:tc>
          <w:tcPr>
            <w:tcW w:type="dxa" w:w="137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1"/>
              </w:rPr>
              <w:t>Entropy</w:t>
            </w:r>
          </w:p>
        </w:tc>
        <w:tc>
          <w:tcPr>
            <w:tcW w:type="dxa" w:w="137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1"/>
              </w:rPr>
              <w:t>Batch eps</w:t>
            </w:r>
          </w:p>
        </w:tc>
        <w:tc>
          <w:tcPr>
            <w:tcW w:type="dxa" w:w="137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1"/>
              </w:rPr>
              <w:t>Reward +/- SD</w:t>
            </w:r>
          </w:p>
        </w:tc>
      </w:tr>
      <w:tr>
        <w:tc>
          <w:tcPr>
            <w:tcW w:type="dxa" w:w="547"/>
            <w:vAlign w:val="center"/>
            <w:tcMar>
              <w:top w:w="50" w:type="dxa"/>
              <w:start w:w="70" w:type="dxa"/>
              <w:bottom w:w="50" w:type="dxa"/>
              <w:end w:w="70" w:type="dxa"/>
            </w:tcMar>
          </w:tcPr>
          <w:p>
            <w:pPr>
              <w:spacing w:after="0" w:line="240" w:lineRule="auto"/>
              <w:jc w:val="center"/>
            </w:pPr>
            <w:r/>
            <w:r>
              <w:rPr>
                <w:rFonts w:ascii="Arial" w:hAnsi="Arial"/>
                <w:b w:val="0"/>
                <w:color w:val="000000"/>
                <w:sz w:val="11"/>
              </w:rPr>
              <w:t>1</w:t>
            </w:r>
          </w:p>
        </w:tc>
        <w:tc>
          <w:tcPr>
            <w:tcW w:type="dxa" w:w="936"/>
            <w:vAlign w:val="center"/>
            <w:tcMar>
              <w:top w:w="50" w:type="dxa"/>
              <w:start w:w="70" w:type="dxa"/>
              <w:bottom w:w="50" w:type="dxa"/>
              <w:end w:w="70" w:type="dxa"/>
            </w:tcMar>
          </w:tcPr>
          <w:p>
            <w:pPr>
              <w:spacing w:after="0" w:line="240" w:lineRule="auto"/>
              <w:jc w:val="center"/>
            </w:pPr>
            <w:r/>
            <w:r>
              <w:rPr>
                <w:rFonts w:ascii="Arial" w:hAnsi="Arial"/>
                <w:b w:val="0"/>
                <w:color w:val="000000"/>
                <w:sz w:val="11"/>
              </w:rPr>
              <w:t>1e-04</w:t>
            </w:r>
          </w:p>
        </w:tc>
        <w:tc>
          <w:tcPr>
            <w:tcW w:type="dxa" w:w="835"/>
            <w:vAlign w:val="center"/>
            <w:tcMar>
              <w:top w:w="50" w:type="dxa"/>
              <w:start w:w="70" w:type="dxa"/>
              <w:bottom w:w="50" w:type="dxa"/>
              <w:end w:w="70" w:type="dxa"/>
            </w:tcMar>
          </w:tcPr>
          <w:p>
            <w:pPr>
              <w:spacing w:after="0" w:line="240" w:lineRule="auto"/>
              <w:jc w:val="center"/>
            </w:pPr>
            <w:r/>
            <w:r>
              <w:rPr>
                <w:rFonts w:ascii="Arial" w:hAnsi="Arial"/>
                <w:b w:val="0"/>
                <w:color w:val="000000"/>
                <w:sz w:val="11"/>
              </w:rPr>
              <w:t>0.95</w:t>
            </w:r>
          </w:p>
        </w:tc>
        <w:tc>
          <w:tcPr>
            <w:tcW w:type="dxa" w:w="893"/>
            <w:vAlign w:val="center"/>
            <w:tcMar>
              <w:top w:w="50" w:type="dxa"/>
              <w:start w:w="70" w:type="dxa"/>
              <w:bottom w:w="50" w:type="dxa"/>
              <w:end w:w="70" w:type="dxa"/>
            </w:tcMar>
          </w:tcPr>
          <w:p>
            <w:pPr>
              <w:spacing w:after="0" w:line="240" w:lineRule="auto"/>
              <w:jc w:val="center"/>
            </w:pPr>
            <w:r/>
            <w:r>
              <w:rPr>
                <w:rFonts w:ascii="Arial" w:hAnsi="Arial"/>
                <w:b w:val="0"/>
                <w:color w:val="000000"/>
                <w:sz w:val="11"/>
              </w:rPr>
              <w:t>64</w:t>
            </w:r>
          </w:p>
        </w:tc>
        <w:tc>
          <w:tcPr>
            <w:tcW w:type="dxa" w:w="979"/>
            <w:vAlign w:val="center"/>
            <w:tcMar>
              <w:top w:w="50" w:type="dxa"/>
              <w:start w:w="70" w:type="dxa"/>
              <w:bottom w:w="50" w:type="dxa"/>
              <w:end w:w="70" w:type="dxa"/>
            </w:tcMar>
          </w:tcPr>
          <w:p>
            <w:pPr>
              <w:spacing w:after="0" w:line="240" w:lineRule="auto"/>
              <w:jc w:val="center"/>
            </w:pPr>
            <w:r/>
            <w:r>
              <w:rPr>
                <w:rFonts w:ascii="Arial" w:hAnsi="Arial"/>
                <w:b w:val="0"/>
                <w:color w:val="000000"/>
                <w:sz w:val="11"/>
              </w:rPr>
              <w:t>0.0</w:t>
            </w:r>
          </w:p>
        </w:tc>
        <w:tc>
          <w:tcPr>
            <w:tcW w:type="dxa" w:w="1037"/>
            <w:vAlign w:val="center"/>
            <w:tcMar>
              <w:top w:w="50" w:type="dxa"/>
              <w:start w:w="70" w:type="dxa"/>
              <w:bottom w:w="50" w:type="dxa"/>
              <w:end w:w="70" w:type="dxa"/>
            </w:tcMar>
          </w:tcPr>
          <w:p>
            <w:pPr>
              <w:spacing w:after="0" w:line="240" w:lineRule="auto"/>
              <w:jc w:val="center"/>
            </w:pPr>
            <w:r/>
            <w:r>
              <w:rPr>
                <w:rFonts w:ascii="Arial" w:hAnsi="Arial"/>
                <w:b w:val="0"/>
                <w:color w:val="000000"/>
                <w:sz w:val="11"/>
              </w:rPr>
              <w:t>4</w:t>
            </w:r>
          </w:p>
        </w:tc>
        <w:tc>
          <w:tcPr>
            <w:tcW w:type="dxa" w:w="1944"/>
            <w:vAlign w:val="center"/>
            <w:tcMar>
              <w:top w:w="50" w:type="dxa"/>
              <w:start w:w="70" w:type="dxa"/>
              <w:bottom w:w="50" w:type="dxa"/>
              <w:end w:w="70" w:type="dxa"/>
            </w:tcMar>
          </w:tcPr>
          <w:p>
            <w:pPr>
              <w:spacing w:after="0" w:line="240" w:lineRule="auto"/>
              <w:jc w:val="center"/>
            </w:pPr>
            <w:r/>
            <w:r>
              <w:rPr>
                <w:rFonts w:ascii="Arial" w:hAnsi="Arial"/>
                <w:b w:val="0"/>
                <w:color w:val="000000"/>
                <w:sz w:val="11"/>
              </w:rPr>
              <w:t>342.88 +/- 83.05</w:t>
            </w:r>
          </w:p>
        </w:tc>
      </w:tr>
      <w:tr>
        <w:tc>
          <w:tcPr>
            <w:tcW w:type="dxa" w:w="547"/>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1"/>
              </w:rPr>
              <w:t>2</w:t>
            </w:r>
          </w:p>
        </w:tc>
        <w:tc>
          <w:tcPr>
            <w:tcW w:type="dxa" w:w="936"/>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1"/>
              </w:rPr>
              <w:t>3e-04</w:t>
            </w:r>
          </w:p>
        </w:tc>
        <w:tc>
          <w:tcPr>
            <w:tcW w:type="dxa" w:w="835"/>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1"/>
              </w:rPr>
              <w:t>0.97</w:t>
            </w:r>
          </w:p>
        </w:tc>
        <w:tc>
          <w:tcPr>
            <w:tcW w:type="dxa" w:w="893"/>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1"/>
              </w:rPr>
              <w:t>64</w:t>
            </w:r>
          </w:p>
        </w:tc>
        <w:tc>
          <w:tcPr>
            <w:tcW w:type="dxa" w:w="979"/>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1"/>
              </w:rPr>
              <w:t>0.005</w:t>
            </w:r>
          </w:p>
        </w:tc>
        <w:tc>
          <w:tcPr>
            <w:tcW w:type="dxa" w:w="1037"/>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1"/>
              </w:rPr>
              <w:t>4</w:t>
            </w:r>
          </w:p>
        </w:tc>
        <w:tc>
          <w:tcPr>
            <w:tcW w:type="dxa" w:w="1944"/>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1"/>
              </w:rPr>
              <w:t>400.43 +/- 62.36</w:t>
            </w:r>
          </w:p>
        </w:tc>
      </w:tr>
      <w:tr>
        <w:tc>
          <w:tcPr>
            <w:tcW w:type="dxa" w:w="547"/>
            <w:vAlign w:val="center"/>
            <w:tcMar>
              <w:top w:w="50" w:type="dxa"/>
              <w:start w:w="70" w:type="dxa"/>
              <w:bottom w:w="50" w:type="dxa"/>
              <w:end w:w="70" w:type="dxa"/>
            </w:tcMar>
          </w:tcPr>
          <w:p>
            <w:pPr>
              <w:spacing w:after="0" w:line="240" w:lineRule="auto"/>
              <w:jc w:val="center"/>
            </w:pPr>
            <w:r/>
            <w:r>
              <w:rPr>
                <w:rFonts w:ascii="Arial" w:hAnsi="Arial"/>
                <w:b w:val="0"/>
                <w:color w:val="000000"/>
                <w:sz w:val="11"/>
              </w:rPr>
              <w:t>3</w:t>
            </w:r>
          </w:p>
        </w:tc>
        <w:tc>
          <w:tcPr>
            <w:tcW w:type="dxa" w:w="936"/>
            <w:vAlign w:val="center"/>
            <w:tcMar>
              <w:top w:w="50" w:type="dxa"/>
              <w:start w:w="70" w:type="dxa"/>
              <w:bottom w:w="50" w:type="dxa"/>
              <w:end w:w="70" w:type="dxa"/>
            </w:tcMar>
          </w:tcPr>
          <w:p>
            <w:pPr>
              <w:spacing w:after="0" w:line="240" w:lineRule="auto"/>
              <w:jc w:val="center"/>
            </w:pPr>
            <w:r/>
            <w:r>
              <w:rPr>
                <w:rFonts w:ascii="Arial" w:hAnsi="Arial"/>
                <w:b w:val="0"/>
                <w:color w:val="000000"/>
                <w:sz w:val="11"/>
              </w:rPr>
              <w:t>5e-04</w:t>
            </w:r>
          </w:p>
        </w:tc>
        <w:tc>
          <w:tcPr>
            <w:tcW w:type="dxa" w:w="835"/>
            <w:vAlign w:val="center"/>
            <w:tcMar>
              <w:top w:w="50" w:type="dxa"/>
              <w:start w:w="70" w:type="dxa"/>
              <w:bottom w:w="50" w:type="dxa"/>
              <w:end w:w="70" w:type="dxa"/>
            </w:tcMar>
          </w:tcPr>
          <w:p>
            <w:pPr>
              <w:spacing w:after="0" w:line="240" w:lineRule="auto"/>
              <w:jc w:val="center"/>
            </w:pPr>
            <w:r/>
            <w:r>
              <w:rPr>
                <w:rFonts w:ascii="Arial" w:hAnsi="Arial"/>
                <w:b w:val="0"/>
                <w:color w:val="000000"/>
                <w:sz w:val="11"/>
              </w:rPr>
              <w:t>0.99</w:t>
            </w:r>
          </w:p>
        </w:tc>
        <w:tc>
          <w:tcPr>
            <w:tcW w:type="dxa" w:w="893"/>
            <w:vAlign w:val="center"/>
            <w:tcMar>
              <w:top w:w="50" w:type="dxa"/>
              <w:start w:w="70" w:type="dxa"/>
              <w:bottom w:w="50" w:type="dxa"/>
              <w:end w:w="70" w:type="dxa"/>
            </w:tcMar>
          </w:tcPr>
          <w:p>
            <w:pPr>
              <w:spacing w:after="0" w:line="240" w:lineRule="auto"/>
              <w:jc w:val="center"/>
            </w:pPr>
            <w:r/>
            <w:r>
              <w:rPr>
                <w:rFonts w:ascii="Arial" w:hAnsi="Arial"/>
                <w:b w:val="0"/>
                <w:color w:val="000000"/>
                <w:sz w:val="11"/>
              </w:rPr>
              <w:t>64</w:t>
            </w:r>
          </w:p>
        </w:tc>
        <w:tc>
          <w:tcPr>
            <w:tcW w:type="dxa" w:w="979"/>
            <w:vAlign w:val="center"/>
            <w:tcMar>
              <w:top w:w="50" w:type="dxa"/>
              <w:start w:w="70" w:type="dxa"/>
              <w:bottom w:w="50" w:type="dxa"/>
              <w:end w:w="70" w:type="dxa"/>
            </w:tcMar>
          </w:tcPr>
          <w:p>
            <w:pPr>
              <w:spacing w:after="0" w:line="240" w:lineRule="auto"/>
              <w:jc w:val="center"/>
            </w:pPr>
            <w:r/>
            <w:r>
              <w:rPr>
                <w:rFonts w:ascii="Arial" w:hAnsi="Arial"/>
                <w:b w:val="0"/>
                <w:color w:val="000000"/>
                <w:sz w:val="11"/>
              </w:rPr>
              <w:t>0.01</w:t>
            </w:r>
          </w:p>
        </w:tc>
        <w:tc>
          <w:tcPr>
            <w:tcW w:type="dxa" w:w="1037"/>
            <w:vAlign w:val="center"/>
            <w:tcMar>
              <w:top w:w="50" w:type="dxa"/>
              <w:start w:w="70" w:type="dxa"/>
              <w:bottom w:w="50" w:type="dxa"/>
              <w:end w:w="70" w:type="dxa"/>
            </w:tcMar>
          </w:tcPr>
          <w:p>
            <w:pPr>
              <w:spacing w:after="0" w:line="240" w:lineRule="auto"/>
              <w:jc w:val="center"/>
            </w:pPr>
            <w:r/>
            <w:r>
              <w:rPr>
                <w:rFonts w:ascii="Arial" w:hAnsi="Arial"/>
                <w:b w:val="0"/>
                <w:color w:val="000000"/>
                <w:sz w:val="11"/>
              </w:rPr>
              <w:t>8</w:t>
            </w:r>
          </w:p>
        </w:tc>
        <w:tc>
          <w:tcPr>
            <w:tcW w:type="dxa" w:w="1944"/>
            <w:vAlign w:val="center"/>
            <w:tcMar>
              <w:top w:w="50" w:type="dxa"/>
              <w:start w:w="70" w:type="dxa"/>
              <w:bottom w:w="50" w:type="dxa"/>
              <w:end w:w="70" w:type="dxa"/>
            </w:tcMar>
          </w:tcPr>
          <w:p>
            <w:pPr>
              <w:spacing w:after="0" w:line="240" w:lineRule="auto"/>
              <w:jc w:val="center"/>
            </w:pPr>
            <w:r/>
            <w:r>
              <w:rPr>
                <w:rFonts w:ascii="Arial" w:hAnsi="Arial"/>
                <w:b w:val="0"/>
                <w:color w:val="000000"/>
                <w:sz w:val="11"/>
              </w:rPr>
              <w:t>249.08 +/- 119.79</w:t>
            </w:r>
          </w:p>
        </w:tc>
      </w:tr>
      <w:tr>
        <w:tc>
          <w:tcPr>
            <w:tcW w:type="dxa" w:w="54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4</w:t>
            </w:r>
          </w:p>
        </w:tc>
        <w:tc>
          <w:tcPr>
            <w:tcW w:type="dxa" w:w="93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1e-03</w:t>
            </w:r>
          </w:p>
        </w:tc>
        <w:tc>
          <w:tcPr>
            <w:tcW w:type="dxa" w:w="83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0.99</w:t>
            </w:r>
          </w:p>
        </w:tc>
        <w:tc>
          <w:tcPr>
            <w:tcW w:type="dxa" w:w="89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128</w:t>
            </w:r>
          </w:p>
        </w:tc>
        <w:tc>
          <w:tcPr>
            <w:tcW w:type="dxa" w:w="97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0.01</w:t>
            </w:r>
          </w:p>
        </w:tc>
        <w:tc>
          <w:tcPr>
            <w:tcW w:type="dxa" w:w="103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8</w:t>
            </w:r>
          </w:p>
        </w:tc>
        <w:tc>
          <w:tcPr>
            <w:tcW w:type="dxa" w:w="194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316.11 +/- 18.57</w:t>
            </w:r>
          </w:p>
        </w:tc>
      </w:tr>
      <w:tr>
        <w:tc>
          <w:tcPr>
            <w:tcW w:type="dxa" w:w="547"/>
            <w:vAlign w:val="center"/>
            <w:tcMar>
              <w:top w:w="50" w:type="dxa"/>
              <w:start w:w="70" w:type="dxa"/>
              <w:bottom w:w="50" w:type="dxa"/>
              <w:end w:w="70" w:type="dxa"/>
            </w:tcMar>
          </w:tcPr>
          <w:p>
            <w:pPr>
              <w:spacing w:after="0" w:line="240" w:lineRule="auto"/>
              <w:jc w:val="center"/>
            </w:pPr>
            <w:r/>
            <w:r>
              <w:rPr>
                <w:rFonts w:ascii="Arial" w:hAnsi="Arial"/>
                <w:b w:val="0"/>
                <w:color w:val="000000"/>
                <w:sz w:val="11"/>
              </w:rPr>
              <w:t>5</w:t>
            </w:r>
          </w:p>
        </w:tc>
        <w:tc>
          <w:tcPr>
            <w:tcW w:type="dxa" w:w="936"/>
            <w:vAlign w:val="center"/>
            <w:tcMar>
              <w:top w:w="50" w:type="dxa"/>
              <w:start w:w="70" w:type="dxa"/>
              <w:bottom w:w="50" w:type="dxa"/>
              <w:end w:w="70" w:type="dxa"/>
            </w:tcMar>
          </w:tcPr>
          <w:p>
            <w:pPr>
              <w:spacing w:after="0" w:line="240" w:lineRule="auto"/>
              <w:jc w:val="center"/>
            </w:pPr>
            <w:r/>
            <w:r>
              <w:rPr>
                <w:rFonts w:ascii="Arial" w:hAnsi="Arial"/>
                <w:b w:val="0"/>
                <w:color w:val="000000"/>
                <w:sz w:val="11"/>
              </w:rPr>
              <w:t>5e-05</w:t>
            </w:r>
          </w:p>
        </w:tc>
        <w:tc>
          <w:tcPr>
            <w:tcW w:type="dxa" w:w="835"/>
            <w:vAlign w:val="center"/>
            <w:tcMar>
              <w:top w:w="50" w:type="dxa"/>
              <w:start w:w="70" w:type="dxa"/>
              <w:bottom w:w="50" w:type="dxa"/>
              <w:end w:w="70" w:type="dxa"/>
            </w:tcMar>
          </w:tcPr>
          <w:p>
            <w:pPr>
              <w:spacing w:after="0" w:line="240" w:lineRule="auto"/>
              <w:jc w:val="center"/>
            </w:pPr>
            <w:r/>
            <w:r>
              <w:rPr>
                <w:rFonts w:ascii="Arial" w:hAnsi="Arial"/>
                <w:b w:val="0"/>
                <w:color w:val="000000"/>
                <w:sz w:val="11"/>
              </w:rPr>
              <w:t>0.995</w:t>
            </w:r>
          </w:p>
        </w:tc>
        <w:tc>
          <w:tcPr>
            <w:tcW w:type="dxa" w:w="893"/>
            <w:vAlign w:val="center"/>
            <w:tcMar>
              <w:top w:w="50" w:type="dxa"/>
              <w:start w:w="70" w:type="dxa"/>
              <w:bottom w:w="50" w:type="dxa"/>
              <w:end w:w="70" w:type="dxa"/>
            </w:tcMar>
          </w:tcPr>
          <w:p>
            <w:pPr>
              <w:spacing w:after="0" w:line="240" w:lineRule="auto"/>
              <w:jc w:val="center"/>
            </w:pPr>
            <w:r/>
            <w:r>
              <w:rPr>
                <w:rFonts w:ascii="Arial" w:hAnsi="Arial"/>
                <w:b w:val="0"/>
                <w:color w:val="000000"/>
                <w:sz w:val="11"/>
              </w:rPr>
              <w:t>128</w:t>
            </w:r>
          </w:p>
        </w:tc>
        <w:tc>
          <w:tcPr>
            <w:tcW w:type="dxa" w:w="979"/>
            <w:vAlign w:val="center"/>
            <w:tcMar>
              <w:top w:w="50" w:type="dxa"/>
              <w:start w:w="70" w:type="dxa"/>
              <w:bottom w:w="50" w:type="dxa"/>
              <w:end w:w="70" w:type="dxa"/>
            </w:tcMar>
          </w:tcPr>
          <w:p>
            <w:pPr>
              <w:spacing w:after="0" w:line="240" w:lineRule="auto"/>
              <w:jc w:val="center"/>
            </w:pPr>
            <w:r/>
            <w:r>
              <w:rPr>
                <w:rFonts w:ascii="Arial" w:hAnsi="Arial"/>
                <w:b w:val="0"/>
                <w:color w:val="000000"/>
                <w:sz w:val="11"/>
              </w:rPr>
              <w:t>0.02</w:t>
            </w:r>
          </w:p>
        </w:tc>
        <w:tc>
          <w:tcPr>
            <w:tcW w:type="dxa" w:w="1037"/>
            <w:vAlign w:val="center"/>
            <w:tcMar>
              <w:top w:w="50" w:type="dxa"/>
              <w:start w:w="70" w:type="dxa"/>
              <w:bottom w:w="50" w:type="dxa"/>
              <w:end w:w="70" w:type="dxa"/>
            </w:tcMar>
          </w:tcPr>
          <w:p>
            <w:pPr>
              <w:spacing w:after="0" w:line="240" w:lineRule="auto"/>
              <w:jc w:val="center"/>
            </w:pPr>
            <w:r/>
            <w:r>
              <w:rPr>
                <w:rFonts w:ascii="Arial" w:hAnsi="Arial"/>
                <w:b w:val="0"/>
                <w:color w:val="000000"/>
                <w:sz w:val="11"/>
              </w:rPr>
              <w:t>12</w:t>
            </w:r>
          </w:p>
        </w:tc>
        <w:tc>
          <w:tcPr>
            <w:tcW w:type="dxa" w:w="1944"/>
            <w:vAlign w:val="center"/>
            <w:tcMar>
              <w:top w:w="50" w:type="dxa"/>
              <w:start w:w="70" w:type="dxa"/>
              <w:bottom w:w="50" w:type="dxa"/>
              <w:end w:w="70" w:type="dxa"/>
            </w:tcMar>
          </w:tcPr>
          <w:p>
            <w:pPr>
              <w:spacing w:after="0" w:line="240" w:lineRule="auto"/>
              <w:jc w:val="center"/>
            </w:pPr>
            <w:r/>
            <w:r>
              <w:rPr>
                <w:rFonts w:ascii="Arial" w:hAnsi="Arial"/>
                <w:b w:val="0"/>
                <w:color w:val="000000"/>
                <w:sz w:val="11"/>
              </w:rPr>
              <w:t>397.50 +/- 78.16</w:t>
            </w:r>
          </w:p>
        </w:tc>
      </w:tr>
      <w:tr>
        <w:tc>
          <w:tcPr>
            <w:tcW w:type="dxa" w:w="54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6</w:t>
            </w:r>
          </w:p>
        </w:tc>
        <w:tc>
          <w:tcPr>
            <w:tcW w:type="dxa" w:w="93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2e-04</w:t>
            </w:r>
          </w:p>
        </w:tc>
        <w:tc>
          <w:tcPr>
            <w:tcW w:type="dxa" w:w="83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0.9</w:t>
            </w:r>
          </w:p>
        </w:tc>
        <w:tc>
          <w:tcPr>
            <w:tcW w:type="dxa" w:w="89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32</w:t>
            </w:r>
          </w:p>
        </w:tc>
        <w:tc>
          <w:tcPr>
            <w:tcW w:type="dxa" w:w="97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0.0</w:t>
            </w:r>
          </w:p>
        </w:tc>
        <w:tc>
          <w:tcPr>
            <w:tcW w:type="dxa" w:w="103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4</w:t>
            </w:r>
          </w:p>
        </w:tc>
        <w:tc>
          <w:tcPr>
            <w:tcW w:type="dxa" w:w="194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346.28 +/- 29.14</w:t>
            </w:r>
          </w:p>
        </w:tc>
      </w:tr>
      <w:tr>
        <w:tc>
          <w:tcPr>
            <w:tcW w:type="dxa" w:w="547"/>
            <w:vAlign w:val="center"/>
            <w:tcMar>
              <w:top w:w="50" w:type="dxa"/>
              <w:start w:w="70" w:type="dxa"/>
              <w:bottom w:w="50" w:type="dxa"/>
              <w:end w:w="70" w:type="dxa"/>
            </w:tcMar>
          </w:tcPr>
          <w:p>
            <w:pPr>
              <w:spacing w:after="0" w:line="240" w:lineRule="auto"/>
              <w:jc w:val="center"/>
            </w:pPr>
            <w:r/>
            <w:r>
              <w:rPr>
                <w:rFonts w:ascii="Arial" w:hAnsi="Arial"/>
                <w:b w:val="0"/>
                <w:color w:val="000000"/>
                <w:sz w:val="11"/>
              </w:rPr>
              <w:t>7</w:t>
            </w:r>
          </w:p>
        </w:tc>
        <w:tc>
          <w:tcPr>
            <w:tcW w:type="dxa" w:w="936"/>
            <w:vAlign w:val="center"/>
            <w:tcMar>
              <w:top w:w="50" w:type="dxa"/>
              <w:start w:w="70" w:type="dxa"/>
              <w:bottom w:w="50" w:type="dxa"/>
              <w:end w:w="70" w:type="dxa"/>
            </w:tcMar>
          </w:tcPr>
          <w:p>
            <w:pPr>
              <w:spacing w:after="0" w:line="240" w:lineRule="auto"/>
              <w:jc w:val="center"/>
            </w:pPr>
            <w:r/>
            <w:r>
              <w:rPr>
                <w:rFonts w:ascii="Arial" w:hAnsi="Arial"/>
                <w:b w:val="0"/>
                <w:color w:val="000000"/>
                <w:sz w:val="11"/>
              </w:rPr>
              <w:t>7e-04</w:t>
            </w:r>
          </w:p>
        </w:tc>
        <w:tc>
          <w:tcPr>
            <w:tcW w:type="dxa" w:w="835"/>
            <w:vAlign w:val="center"/>
            <w:tcMar>
              <w:top w:w="50" w:type="dxa"/>
              <w:start w:w="70" w:type="dxa"/>
              <w:bottom w:w="50" w:type="dxa"/>
              <w:end w:w="70" w:type="dxa"/>
            </w:tcMar>
          </w:tcPr>
          <w:p>
            <w:pPr>
              <w:spacing w:after="0" w:line="240" w:lineRule="auto"/>
              <w:jc w:val="center"/>
            </w:pPr>
            <w:r/>
            <w:r>
              <w:rPr>
                <w:rFonts w:ascii="Arial" w:hAnsi="Arial"/>
                <w:b w:val="0"/>
                <w:color w:val="000000"/>
                <w:sz w:val="11"/>
              </w:rPr>
              <w:t>0.97</w:t>
            </w:r>
          </w:p>
        </w:tc>
        <w:tc>
          <w:tcPr>
            <w:tcW w:type="dxa" w:w="893"/>
            <w:vAlign w:val="center"/>
            <w:tcMar>
              <w:top w:w="50" w:type="dxa"/>
              <w:start w:w="70" w:type="dxa"/>
              <w:bottom w:w="50" w:type="dxa"/>
              <w:end w:w="70" w:type="dxa"/>
            </w:tcMar>
          </w:tcPr>
          <w:p>
            <w:pPr>
              <w:spacing w:after="0" w:line="240" w:lineRule="auto"/>
              <w:jc w:val="center"/>
            </w:pPr>
            <w:r/>
            <w:r>
              <w:rPr>
                <w:rFonts w:ascii="Arial" w:hAnsi="Arial"/>
                <w:b w:val="0"/>
                <w:color w:val="000000"/>
                <w:sz w:val="11"/>
              </w:rPr>
              <w:t>128</w:t>
            </w:r>
          </w:p>
        </w:tc>
        <w:tc>
          <w:tcPr>
            <w:tcW w:type="dxa" w:w="979"/>
            <w:vAlign w:val="center"/>
            <w:tcMar>
              <w:top w:w="50" w:type="dxa"/>
              <w:start w:w="70" w:type="dxa"/>
              <w:bottom w:w="50" w:type="dxa"/>
              <w:end w:w="70" w:type="dxa"/>
            </w:tcMar>
          </w:tcPr>
          <w:p>
            <w:pPr>
              <w:spacing w:after="0" w:line="240" w:lineRule="auto"/>
              <w:jc w:val="center"/>
            </w:pPr>
            <w:r/>
            <w:r>
              <w:rPr>
                <w:rFonts w:ascii="Arial" w:hAnsi="Arial"/>
                <w:b w:val="0"/>
                <w:color w:val="000000"/>
                <w:sz w:val="11"/>
              </w:rPr>
              <w:t>0.03</w:t>
            </w:r>
          </w:p>
        </w:tc>
        <w:tc>
          <w:tcPr>
            <w:tcW w:type="dxa" w:w="1037"/>
            <w:vAlign w:val="center"/>
            <w:tcMar>
              <w:top w:w="50" w:type="dxa"/>
              <w:start w:w="70" w:type="dxa"/>
              <w:bottom w:w="50" w:type="dxa"/>
              <w:end w:w="70" w:type="dxa"/>
            </w:tcMar>
          </w:tcPr>
          <w:p>
            <w:pPr>
              <w:spacing w:after="0" w:line="240" w:lineRule="auto"/>
              <w:jc w:val="center"/>
            </w:pPr>
            <w:r/>
            <w:r>
              <w:rPr>
                <w:rFonts w:ascii="Arial" w:hAnsi="Arial"/>
                <w:b w:val="0"/>
                <w:color w:val="000000"/>
                <w:sz w:val="11"/>
              </w:rPr>
              <w:t>8</w:t>
            </w:r>
          </w:p>
        </w:tc>
        <w:tc>
          <w:tcPr>
            <w:tcW w:type="dxa" w:w="1944"/>
            <w:vAlign w:val="center"/>
            <w:tcMar>
              <w:top w:w="50" w:type="dxa"/>
              <w:start w:w="70" w:type="dxa"/>
              <w:bottom w:w="50" w:type="dxa"/>
              <w:end w:w="70" w:type="dxa"/>
            </w:tcMar>
          </w:tcPr>
          <w:p>
            <w:pPr>
              <w:spacing w:after="0" w:line="240" w:lineRule="auto"/>
              <w:jc w:val="center"/>
            </w:pPr>
            <w:r/>
            <w:r>
              <w:rPr>
                <w:rFonts w:ascii="Arial" w:hAnsi="Arial"/>
                <w:b w:val="0"/>
                <w:color w:val="000000"/>
                <w:sz w:val="11"/>
              </w:rPr>
              <w:t>347.28 +/- 30.50</w:t>
            </w:r>
          </w:p>
        </w:tc>
      </w:tr>
      <w:tr>
        <w:tc>
          <w:tcPr>
            <w:tcW w:type="dxa" w:w="54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8</w:t>
            </w:r>
          </w:p>
        </w:tc>
        <w:tc>
          <w:tcPr>
            <w:tcW w:type="dxa" w:w="93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1e-04</w:t>
            </w:r>
          </w:p>
        </w:tc>
        <w:tc>
          <w:tcPr>
            <w:tcW w:type="dxa" w:w="83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0.999</w:t>
            </w:r>
          </w:p>
        </w:tc>
        <w:tc>
          <w:tcPr>
            <w:tcW w:type="dxa" w:w="89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256</w:t>
            </w:r>
          </w:p>
        </w:tc>
        <w:tc>
          <w:tcPr>
            <w:tcW w:type="dxa" w:w="97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0.015</w:t>
            </w:r>
          </w:p>
        </w:tc>
        <w:tc>
          <w:tcPr>
            <w:tcW w:type="dxa" w:w="103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12</w:t>
            </w:r>
          </w:p>
        </w:tc>
        <w:tc>
          <w:tcPr>
            <w:tcW w:type="dxa" w:w="194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231.21 +/- 116.68</w:t>
            </w:r>
          </w:p>
        </w:tc>
      </w:tr>
      <w:tr>
        <w:tc>
          <w:tcPr>
            <w:tcW w:type="dxa" w:w="547"/>
            <w:vAlign w:val="center"/>
            <w:tcMar>
              <w:top w:w="50" w:type="dxa"/>
              <w:start w:w="70" w:type="dxa"/>
              <w:bottom w:w="50" w:type="dxa"/>
              <w:end w:w="70" w:type="dxa"/>
            </w:tcMar>
          </w:tcPr>
          <w:p>
            <w:pPr>
              <w:spacing w:after="0" w:line="240" w:lineRule="auto"/>
              <w:jc w:val="center"/>
            </w:pPr>
            <w:r/>
            <w:r>
              <w:rPr>
                <w:rFonts w:ascii="Arial" w:hAnsi="Arial"/>
                <w:b w:val="0"/>
                <w:color w:val="000000"/>
                <w:sz w:val="11"/>
              </w:rPr>
              <w:t>9</w:t>
            </w:r>
          </w:p>
        </w:tc>
        <w:tc>
          <w:tcPr>
            <w:tcW w:type="dxa" w:w="936"/>
            <w:vAlign w:val="center"/>
            <w:tcMar>
              <w:top w:w="50" w:type="dxa"/>
              <w:start w:w="70" w:type="dxa"/>
              <w:bottom w:w="50" w:type="dxa"/>
              <w:end w:w="70" w:type="dxa"/>
            </w:tcMar>
          </w:tcPr>
          <w:p>
            <w:pPr>
              <w:spacing w:after="0" w:line="240" w:lineRule="auto"/>
              <w:jc w:val="center"/>
            </w:pPr>
            <w:r/>
            <w:r>
              <w:rPr>
                <w:rFonts w:ascii="Arial" w:hAnsi="Arial"/>
                <w:b w:val="0"/>
                <w:color w:val="000000"/>
                <w:sz w:val="11"/>
              </w:rPr>
              <w:t>3e-04</w:t>
            </w:r>
          </w:p>
        </w:tc>
        <w:tc>
          <w:tcPr>
            <w:tcW w:type="dxa" w:w="835"/>
            <w:vAlign w:val="center"/>
            <w:tcMar>
              <w:top w:w="50" w:type="dxa"/>
              <w:start w:w="70" w:type="dxa"/>
              <w:bottom w:w="50" w:type="dxa"/>
              <w:end w:w="70" w:type="dxa"/>
            </w:tcMar>
          </w:tcPr>
          <w:p>
            <w:pPr>
              <w:spacing w:after="0" w:line="240" w:lineRule="auto"/>
              <w:jc w:val="center"/>
            </w:pPr>
            <w:r/>
            <w:r>
              <w:rPr>
                <w:rFonts w:ascii="Arial" w:hAnsi="Arial"/>
                <w:b w:val="0"/>
                <w:color w:val="000000"/>
                <w:sz w:val="11"/>
              </w:rPr>
              <w:t>0.93</w:t>
            </w:r>
          </w:p>
        </w:tc>
        <w:tc>
          <w:tcPr>
            <w:tcW w:type="dxa" w:w="893"/>
            <w:vAlign w:val="center"/>
            <w:tcMar>
              <w:top w:w="50" w:type="dxa"/>
              <w:start w:w="70" w:type="dxa"/>
              <w:bottom w:w="50" w:type="dxa"/>
              <w:end w:w="70" w:type="dxa"/>
            </w:tcMar>
          </w:tcPr>
          <w:p>
            <w:pPr>
              <w:spacing w:after="0" w:line="240" w:lineRule="auto"/>
              <w:jc w:val="center"/>
            </w:pPr>
            <w:r/>
            <w:r>
              <w:rPr>
                <w:rFonts w:ascii="Arial" w:hAnsi="Arial"/>
                <w:b w:val="0"/>
                <w:color w:val="000000"/>
                <w:sz w:val="11"/>
              </w:rPr>
              <w:t>32</w:t>
            </w:r>
          </w:p>
        </w:tc>
        <w:tc>
          <w:tcPr>
            <w:tcW w:type="dxa" w:w="979"/>
            <w:vAlign w:val="center"/>
            <w:tcMar>
              <w:top w:w="50" w:type="dxa"/>
              <w:start w:w="70" w:type="dxa"/>
              <w:bottom w:w="50" w:type="dxa"/>
              <w:end w:w="70" w:type="dxa"/>
            </w:tcMar>
          </w:tcPr>
          <w:p>
            <w:pPr>
              <w:spacing w:after="0" w:line="240" w:lineRule="auto"/>
              <w:jc w:val="center"/>
            </w:pPr>
            <w:r/>
            <w:r>
              <w:rPr>
                <w:rFonts w:ascii="Arial" w:hAnsi="Arial"/>
                <w:b w:val="0"/>
                <w:color w:val="000000"/>
                <w:sz w:val="11"/>
              </w:rPr>
              <w:t>0.04</w:t>
            </w:r>
          </w:p>
        </w:tc>
        <w:tc>
          <w:tcPr>
            <w:tcW w:type="dxa" w:w="1037"/>
            <w:vAlign w:val="center"/>
            <w:tcMar>
              <w:top w:w="50" w:type="dxa"/>
              <w:start w:w="70" w:type="dxa"/>
              <w:bottom w:w="50" w:type="dxa"/>
              <w:end w:w="70" w:type="dxa"/>
            </w:tcMar>
          </w:tcPr>
          <w:p>
            <w:pPr>
              <w:spacing w:after="0" w:line="240" w:lineRule="auto"/>
              <w:jc w:val="center"/>
            </w:pPr>
            <w:r/>
            <w:r>
              <w:rPr>
                <w:rFonts w:ascii="Arial" w:hAnsi="Arial"/>
                <w:b w:val="0"/>
                <w:color w:val="000000"/>
                <w:sz w:val="11"/>
              </w:rPr>
              <w:t>6</w:t>
            </w:r>
          </w:p>
        </w:tc>
        <w:tc>
          <w:tcPr>
            <w:tcW w:type="dxa" w:w="1944"/>
            <w:vAlign w:val="center"/>
            <w:tcMar>
              <w:top w:w="50" w:type="dxa"/>
              <w:start w:w="70" w:type="dxa"/>
              <w:bottom w:w="50" w:type="dxa"/>
              <w:end w:w="70" w:type="dxa"/>
            </w:tcMar>
          </w:tcPr>
          <w:p>
            <w:pPr>
              <w:spacing w:after="0" w:line="240" w:lineRule="auto"/>
              <w:jc w:val="center"/>
            </w:pPr>
            <w:r/>
            <w:r>
              <w:rPr>
                <w:rFonts w:ascii="Arial" w:hAnsi="Arial"/>
                <w:b w:val="0"/>
                <w:color w:val="000000"/>
                <w:sz w:val="11"/>
              </w:rPr>
              <w:t>229.75 +/- 117.67</w:t>
            </w:r>
          </w:p>
        </w:tc>
      </w:tr>
      <w:tr>
        <w:tc>
          <w:tcPr>
            <w:tcW w:type="dxa" w:w="54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10</w:t>
            </w:r>
          </w:p>
        </w:tc>
        <w:tc>
          <w:tcPr>
            <w:tcW w:type="dxa" w:w="93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8e-04</w:t>
            </w:r>
          </w:p>
        </w:tc>
        <w:tc>
          <w:tcPr>
            <w:tcW w:type="dxa" w:w="83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0.995</w:t>
            </w:r>
          </w:p>
        </w:tc>
        <w:tc>
          <w:tcPr>
            <w:tcW w:type="dxa" w:w="89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64</w:t>
            </w:r>
          </w:p>
        </w:tc>
        <w:tc>
          <w:tcPr>
            <w:tcW w:type="dxa" w:w="979"/>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0.005</w:t>
            </w:r>
          </w:p>
        </w:tc>
        <w:tc>
          <w:tcPr>
            <w:tcW w:type="dxa" w:w="103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10</w:t>
            </w:r>
          </w:p>
        </w:tc>
        <w:tc>
          <w:tcPr>
            <w:tcW w:type="dxa" w:w="194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1"/>
              </w:rPr>
              <w:t>392.69 +/- 5.04</w:t>
            </w:r>
          </w:p>
        </w:tc>
      </w:tr>
    </w:tbl>
    <w:p>
      <w:pPr>
        <w:spacing w:after="80" w:line="259" w:lineRule="auto"/>
      </w:pPr>
      <w:r>
        <w:rPr>
          <w:rFonts w:ascii="Times New Roman" w:hAnsi="Times New Roman"/>
          <w:sz w:val="16"/>
        </w:rPr>
        <w:t>REINFORCE run 2 produced the best mean (400.43) with LR 3e-4, gamma 0.97 and light entropy regularization. Run 10 was slightly lower (392.69) but far more consistent (SD 5.04). Large networks, very high gamma or strong entropy did not improve the 250-episode budget.</w:t>
      </w:r>
    </w:p>
    <w:p>
      <w:r>
        <w:br w:type="page"/>
      </w:r>
    </w:p>
    <w:p>
      <w:pPr>
        <w:spacing w:before="100" w:after="80"/>
      </w:pPr>
      <w:r>
        <w:rPr>
          <w:rFonts w:ascii="Times New Roman" w:hAnsi="Times New Roman"/>
          <w:b/>
          <w:color w:val="167EB2"/>
          <w:sz w:val="22"/>
        </w:rPr>
        <w:t>4.3 PPO - 10 runs</w:t>
      </w:r>
    </w:p>
    <w:tbl>
      <w:tblPr>
        <w:tblW w:type="auto" w:w="0"/>
        <w:jc w:val="center"/>
        <w:tblLayout w:type="fixed"/>
        <w:tblLook w:firstColumn="1" w:firstRow="1" w:lastColumn="0" w:lastRow="0" w:noHBand="0" w:noVBand="1" w:val="04A0"/>
        <w:tblBorders>
          <w:top w:val="single" w:sz="5" w:color="A8B6BF"/>
          <w:left w:val="single" w:sz="5" w:color="A8B6BF"/>
          <w:bottom w:val="single" w:sz="5" w:color="A8B6BF"/>
          <w:right w:val="single" w:sz="5" w:color="A8B6BF"/>
          <w:insideH w:val="single" w:sz="5" w:color="A8B6BF"/>
          <w:insideV w:val="single" w:sz="5" w:color="A8B6BF"/>
        </w:tblBorders>
      </w:tblPr>
      <w:tblGrid>
        <w:gridCol w:w="446"/>
        <w:gridCol w:w="720"/>
        <w:gridCol w:w="691"/>
        <w:gridCol w:w="720"/>
        <w:gridCol w:w="691"/>
        <w:gridCol w:w="691"/>
        <w:gridCol w:w="691"/>
        <w:gridCol w:w="806"/>
        <w:gridCol w:w="1613"/>
      </w:tblGrid>
      <w:tr>
        <w:trPr>
          <w:tblHeader w:val="true"/>
        </w:trPr>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Run</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LR</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Gamma</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Steps</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Batch</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GAE</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Clip</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Entropy</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Reward +/- SD</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1</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1e-04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0.95</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128</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32</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0.1</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405.73 +/- 65.62</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0.97</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256</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0.95</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0.2</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0.005</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414.78 +/- 19.56</w:t>
            </w:r>
          </w:p>
        </w:tc>
      </w:tr>
      <w:tr>
        <w:tc>
          <w:tcPr>
            <w:tcW w:type="dxa" w:w="446"/>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3</w:t>
            </w:r>
          </w:p>
        </w:tc>
        <w:tc>
          <w:tcPr>
            <w:tcW w:type="dxa" w:w="720"/>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5e-04</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0.99</w:t>
            </w:r>
          </w:p>
        </w:tc>
        <w:tc>
          <w:tcPr>
            <w:tcW w:type="dxa" w:w="720"/>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256</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64</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0.98</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0.2</w:t>
            </w:r>
          </w:p>
        </w:tc>
        <w:tc>
          <w:tcPr>
            <w:tcW w:type="dxa" w:w="806"/>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0.01</w:t>
            </w:r>
          </w:p>
        </w:tc>
        <w:tc>
          <w:tcPr>
            <w:tcW w:type="dxa" w:w="1613"/>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418.84 +/- 25.41</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1e-03</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128</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0.95</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0.3</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0.01</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403.56 +/- 64.47</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5</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5e-05</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0.995</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512</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128</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0.99</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0.1</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0.02</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244.54 +/- 124.76</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32</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0.85</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0.25</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338.23 +/- 105.68</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7</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7e-04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0.97</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256</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32</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0.92</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0.15</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0.03</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394.70 +/- 45.87</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8</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0.999</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512</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0.2</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0.015</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231.21 +/- 116.68</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9</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3e-04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0.93</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128</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32</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0.88</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0.3</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0.04</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342.40 +/- 103.72</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10</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8e-04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0.995</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256</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128</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0.97</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0.12</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0.005</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402.65 +/- 77.25</w:t>
            </w:r>
          </w:p>
        </w:tc>
      </w:tr>
    </w:tbl>
    <w:p>
      <w:pPr>
        <w:spacing w:after="80" w:line="259" w:lineRule="auto"/>
      </w:pPr>
      <w:r>
        <w:rPr>
          <w:rFonts w:ascii="Times New Roman" w:hAnsi="Times New Roman"/>
          <w:sz w:val="16"/>
        </w:rPr>
        <w:t>PPO run 3 achieved 418.84 +/- 25.41 with zero evaluation failures and only 0.094 ML mean unmet water. The moderate clip (0.20), 256-step rollouts and GAE 0.98 balanced update size and variance. Runs 5 and 8 combined small learning rates with long rollouts and underperformed.</w:t>
      </w:r>
    </w:p>
    <w:p>
      <w:pPr>
        <w:spacing w:before="100" w:after="80"/>
      </w:pPr>
      <w:r>
        <w:rPr>
          <w:rFonts w:ascii="Times New Roman" w:hAnsi="Times New Roman"/>
          <w:b/>
          <w:color w:val="167EB2"/>
          <w:sz w:val="22"/>
        </w:rPr>
        <w:t>4.4 A2C - 10 runs</w:t>
      </w:r>
    </w:p>
    <w:tbl>
      <w:tblPr>
        <w:tblW w:type="auto" w:w="0"/>
        <w:jc w:val="center"/>
        <w:tblLayout w:type="fixed"/>
        <w:tblLook w:firstColumn="1" w:firstRow="1" w:lastColumn="0" w:lastRow="0" w:noHBand="0" w:noVBand="1" w:val="04A0"/>
        <w:tblBorders>
          <w:top w:val="single" w:sz="5" w:color="A8B6BF"/>
          <w:left w:val="single" w:sz="5" w:color="A8B6BF"/>
          <w:bottom w:val="single" w:sz="5" w:color="A8B6BF"/>
          <w:right w:val="single" w:sz="5" w:color="A8B6BF"/>
          <w:insideH w:val="single" w:sz="5" w:color="A8B6BF"/>
          <w:insideV w:val="single" w:sz="5" w:color="A8B6BF"/>
        </w:tblBorders>
      </w:tblPr>
      <w:tblGrid>
        <w:gridCol w:w="446"/>
        <w:gridCol w:w="720"/>
        <w:gridCol w:w="691"/>
        <w:gridCol w:w="720"/>
        <w:gridCol w:w="691"/>
        <w:gridCol w:w="806"/>
        <w:gridCol w:w="821"/>
        <w:gridCol w:w="850"/>
        <w:gridCol w:w="1613"/>
      </w:tblGrid>
      <w:tr>
        <w:trPr>
          <w:tblHeader w:val="true"/>
        </w:trPr>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Run</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LR</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Gamma</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Steps</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GAE</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Entropy</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VF coef</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Grad norm</w:t>
            </w:r>
          </w:p>
        </w:tc>
        <w:tc>
          <w:tcPr>
            <w:tcW w:type="dxa" w:w="1071"/>
            <w:vAlign w:val="center"/>
            <w:tcMar>
              <w:top w:w="50" w:type="dxa"/>
              <w:start w:w="70" w:type="dxa"/>
              <w:bottom w:w="50" w:type="dxa"/>
              <w:end w:w="70" w:type="dxa"/>
            </w:tcMar>
            <w:shd w:fill="12354D"/>
          </w:tcPr>
          <w:p>
            <w:pPr>
              <w:spacing w:after="0" w:line="240" w:lineRule="auto"/>
              <w:jc w:val="center"/>
            </w:pPr>
            <w:r/>
            <w:r>
              <w:rPr>
                <w:rFonts w:ascii="Arial" w:hAnsi="Arial"/>
                <w:b/>
                <w:color w:val="FFFFFF"/>
                <w:sz w:val="10"/>
              </w:rPr>
              <w:t>Reward +/- SD</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1</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1e-04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0.95</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5</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0.5</w:t>
            </w:r>
          </w:p>
        </w:tc>
        <w:tc>
          <w:tcPr>
            <w:tcW w:type="dxa" w:w="850"/>
            <w:vAlign w:val="center"/>
            <w:tcMar>
              <w:top w:w="50" w:type="dxa"/>
              <w:start w:w="70" w:type="dxa"/>
              <w:bottom w:w="50" w:type="dxa"/>
              <w:end w:w="70" w:type="dxa"/>
            </w:tcMar>
          </w:tcPr>
          <w:p>
            <w:pPr>
              <w:spacing w:after="0" w:line="240" w:lineRule="auto"/>
              <w:jc w:val="center"/>
            </w:pPr>
            <w:r/>
            <w:r>
              <w:rPr>
                <w:rFonts w:ascii="Arial" w:hAnsi="Arial"/>
                <w:b w:val="0"/>
                <w:color w:val="000000"/>
                <w:sz w:val="10"/>
              </w:rPr>
              <w:t>0.5</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405.73 +/- 65.62</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0.97</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0.95</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0.005</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0.5</w:t>
            </w:r>
          </w:p>
        </w:tc>
        <w:tc>
          <w:tcPr>
            <w:tcW w:type="dxa" w:w="85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0.5</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371.75 +/- 65.27</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3</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5e-04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0.99</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20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0.98</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0.01</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0.6</w:t>
            </w:r>
          </w:p>
        </w:tc>
        <w:tc>
          <w:tcPr>
            <w:tcW w:type="dxa" w:w="850"/>
            <w:vAlign w:val="center"/>
            <w:tcMar>
              <w:top w:w="50" w:type="dxa"/>
              <w:start w:w="70" w:type="dxa"/>
              <w:bottom w:w="50" w:type="dxa"/>
              <w:end w:w="70" w:type="dxa"/>
            </w:tcMar>
          </w:tcPr>
          <w:p>
            <w:pPr>
              <w:spacing w:after="0" w:line="240" w:lineRule="auto"/>
              <w:jc w:val="center"/>
            </w:pPr>
            <w:r/>
            <w:r>
              <w:rPr>
                <w:rFonts w:ascii="Arial" w:hAnsi="Arial"/>
                <w:b w:val="0"/>
                <w:color w:val="000000"/>
                <w:sz w:val="10"/>
              </w:rPr>
              <w:t>0.5</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223.38 +/- 95.90</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1e-03</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0.95</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0.01</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0.4</w:t>
            </w:r>
          </w:p>
        </w:tc>
        <w:tc>
          <w:tcPr>
            <w:tcW w:type="dxa" w:w="85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0.7</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351.57 +/- 23.99</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5</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5e-05</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0.995</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40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0.99</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0.02</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0.7</w:t>
            </w:r>
          </w:p>
        </w:tc>
        <w:tc>
          <w:tcPr>
            <w:tcW w:type="dxa" w:w="850"/>
            <w:vAlign w:val="center"/>
            <w:tcMar>
              <w:top w:w="50" w:type="dxa"/>
              <w:start w:w="70" w:type="dxa"/>
              <w:bottom w:w="50" w:type="dxa"/>
              <w:end w:w="70" w:type="dxa"/>
            </w:tcMar>
          </w:tcPr>
          <w:p>
            <w:pPr>
              <w:spacing w:after="0" w:line="240" w:lineRule="auto"/>
              <w:jc w:val="center"/>
            </w:pPr>
            <w:r/>
            <w:r>
              <w:rPr>
                <w:rFonts w:ascii="Arial" w:hAnsi="Arial"/>
                <w:b w:val="0"/>
                <w:color w:val="000000"/>
                <w:sz w:val="10"/>
              </w:rPr>
              <w:t>0.3</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341.73 +/- 20.25</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6</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5</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0.85</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0.5</w:t>
            </w:r>
          </w:p>
        </w:tc>
        <w:tc>
          <w:tcPr>
            <w:tcW w:type="dxa" w:w="85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1.0</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338.23 +/- 105.68</w:t>
            </w:r>
          </w:p>
        </w:tc>
      </w:tr>
      <w:tr>
        <w:tc>
          <w:tcPr>
            <w:tcW w:type="dxa" w:w="446"/>
            <w:vAlign w:val="center"/>
            <w:tcMar>
              <w:top w:w="50" w:type="dxa"/>
              <w:start w:w="70" w:type="dxa"/>
              <w:bottom w:w="50" w:type="dxa"/>
              <w:end w:w="70" w:type="dxa"/>
            </w:tcMar>
          </w:tcPr>
          <w:p>
            <w:pPr>
              <w:spacing w:after="0" w:line="240" w:lineRule="auto"/>
              <w:jc w:val="center"/>
            </w:pPr>
            <w:r/>
            <w:r>
              <w:rPr>
                <w:rFonts w:ascii="Arial" w:hAnsi="Arial"/>
                <w:b w:val="0"/>
                <w:color w:val="000000"/>
                <w:sz w:val="10"/>
              </w:rPr>
              <w:t>7</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7e-04</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0.97</w:t>
            </w:r>
          </w:p>
        </w:tc>
        <w:tc>
          <w:tcPr>
            <w:tcW w:type="dxa" w:w="720"/>
            <w:vAlign w:val="center"/>
            <w:tcMar>
              <w:top w:w="50" w:type="dxa"/>
              <w:start w:w="70" w:type="dxa"/>
              <w:bottom w:w="50" w:type="dxa"/>
              <w:end w:w="70" w:type="dxa"/>
            </w:tcMar>
          </w:tcPr>
          <w:p>
            <w:pPr>
              <w:spacing w:after="0" w:line="240" w:lineRule="auto"/>
              <w:jc w:val="center"/>
            </w:pPr>
            <w:r/>
            <w:r>
              <w:rPr>
                <w:rFonts w:ascii="Arial" w:hAnsi="Arial"/>
                <w:b w:val="0"/>
                <w:color w:val="000000"/>
                <w:sz w:val="10"/>
              </w:rPr>
              <w:t>20</w:t>
            </w:r>
          </w:p>
        </w:tc>
        <w:tc>
          <w:tcPr>
            <w:tcW w:type="dxa" w:w="691"/>
            <w:vAlign w:val="center"/>
            <w:tcMar>
              <w:top w:w="50" w:type="dxa"/>
              <w:start w:w="70" w:type="dxa"/>
              <w:bottom w:w="50" w:type="dxa"/>
              <w:end w:w="70" w:type="dxa"/>
            </w:tcMar>
          </w:tcPr>
          <w:p>
            <w:pPr>
              <w:spacing w:after="0" w:line="240" w:lineRule="auto"/>
              <w:jc w:val="center"/>
            </w:pPr>
            <w:r/>
            <w:r>
              <w:rPr>
                <w:rFonts w:ascii="Arial" w:hAnsi="Arial"/>
                <w:b w:val="0"/>
                <w:color w:val="000000"/>
                <w:sz w:val="10"/>
              </w:rPr>
              <w:t>0.92</w:t>
            </w:r>
          </w:p>
        </w:tc>
        <w:tc>
          <w:tcPr>
            <w:tcW w:type="dxa" w:w="806"/>
            <w:vAlign w:val="center"/>
            <w:tcMar>
              <w:top w:w="50" w:type="dxa"/>
              <w:start w:w="70" w:type="dxa"/>
              <w:bottom w:w="50" w:type="dxa"/>
              <w:end w:w="70" w:type="dxa"/>
            </w:tcMar>
          </w:tcPr>
          <w:p>
            <w:pPr>
              <w:spacing w:after="0" w:line="240" w:lineRule="auto"/>
              <w:jc w:val="center"/>
            </w:pPr>
            <w:r/>
            <w:r>
              <w:rPr>
                <w:rFonts w:ascii="Arial" w:hAnsi="Arial"/>
                <w:b w:val="0"/>
                <w:color w:val="000000"/>
                <w:sz w:val="10"/>
              </w:rPr>
              <w:t>0.03</w:t>
            </w:r>
          </w:p>
        </w:tc>
        <w:tc>
          <w:tcPr>
            <w:tcW w:type="dxa" w:w="821"/>
            <w:vAlign w:val="center"/>
            <w:tcMar>
              <w:top w:w="50" w:type="dxa"/>
              <w:start w:w="70" w:type="dxa"/>
              <w:bottom w:w="50" w:type="dxa"/>
              <w:end w:w="70" w:type="dxa"/>
            </w:tcMar>
          </w:tcPr>
          <w:p>
            <w:pPr>
              <w:spacing w:after="0" w:line="240" w:lineRule="auto"/>
              <w:jc w:val="center"/>
            </w:pPr>
            <w:r/>
            <w:r>
              <w:rPr>
                <w:rFonts w:ascii="Arial" w:hAnsi="Arial"/>
                <w:b w:val="0"/>
                <w:color w:val="000000"/>
                <w:sz w:val="10"/>
              </w:rPr>
              <w:t>0.6</w:t>
            </w:r>
          </w:p>
        </w:tc>
        <w:tc>
          <w:tcPr>
            <w:tcW w:type="dxa" w:w="850"/>
            <w:vAlign w:val="center"/>
            <w:tcMar>
              <w:top w:w="50" w:type="dxa"/>
              <w:start w:w="70" w:type="dxa"/>
              <w:bottom w:w="50" w:type="dxa"/>
              <w:end w:w="70" w:type="dxa"/>
            </w:tcMar>
          </w:tcPr>
          <w:p>
            <w:pPr>
              <w:spacing w:after="0" w:line="240" w:lineRule="auto"/>
              <w:jc w:val="center"/>
            </w:pPr>
            <w:r/>
            <w:r>
              <w:rPr>
                <w:rFonts w:ascii="Arial" w:hAnsi="Arial"/>
                <w:b w:val="0"/>
                <w:color w:val="000000"/>
                <w:sz w:val="10"/>
              </w:rPr>
              <w:t>0.5</w:t>
            </w:r>
          </w:p>
        </w:tc>
        <w:tc>
          <w:tcPr>
            <w:tcW w:type="dxa" w:w="1613"/>
            <w:vAlign w:val="center"/>
            <w:tcMar>
              <w:top w:w="50" w:type="dxa"/>
              <w:start w:w="70" w:type="dxa"/>
              <w:bottom w:w="50" w:type="dxa"/>
              <w:end w:w="70" w:type="dxa"/>
            </w:tcMar>
          </w:tcPr>
          <w:p>
            <w:pPr>
              <w:spacing w:after="0" w:line="240" w:lineRule="auto"/>
              <w:jc w:val="center"/>
            </w:pPr>
            <w:r/>
            <w:r>
              <w:rPr>
                <w:rFonts w:ascii="Arial" w:hAnsi="Arial"/>
                <w:b w:val="0"/>
                <w:color w:val="000000"/>
                <w:sz w:val="10"/>
              </w:rPr>
              <w:t>340.39 +/- 105.83</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8</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0.999</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40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0.015</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0.8</w:t>
            </w:r>
          </w:p>
        </w:tc>
        <w:tc>
          <w:tcPr>
            <w:tcW w:type="dxa" w:w="85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0.3</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332.29 +/- 19.13</w:t>
            </w:r>
          </w:p>
        </w:tc>
      </w:tr>
      <w:tr>
        <w:tc>
          <w:tcPr>
            <w:tcW w:type="dxa" w:w="446"/>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9</w:t>
            </w:r>
          </w:p>
        </w:tc>
        <w:tc>
          <w:tcPr>
            <w:tcW w:type="dxa" w:w="720"/>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3e-04</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0.93</w:t>
            </w:r>
          </w:p>
        </w:tc>
        <w:tc>
          <w:tcPr>
            <w:tcW w:type="dxa" w:w="720"/>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10</w:t>
            </w:r>
          </w:p>
        </w:tc>
        <w:tc>
          <w:tcPr>
            <w:tcW w:type="dxa" w:w="69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0.88</w:t>
            </w:r>
          </w:p>
        </w:tc>
        <w:tc>
          <w:tcPr>
            <w:tcW w:type="dxa" w:w="806"/>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0.04</w:t>
            </w:r>
          </w:p>
        </w:tc>
        <w:tc>
          <w:tcPr>
            <w:tcW w:type="dxa" w:w="821"/>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0.4</w:t>
            </w:r>
          </w:p>
        </w:tc>
        <w:tc>
          <w:tcPr>
            <w:tcW w:type="dxa" w:w="850"/>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0.7</w:t>
            </w:r>
          </w:p>
        </w:tc>
        <w:tc>
          <w:tcPr>
            <w:tcW w:type="dxa" w:w="1613"/>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0"/>
              </w:rPr>
              <w:t>416.05 +/- 65.66</w:t>
            </w:r>
          </w:p>
        </w:tc>
      </w:tr>
      <w:tr>
        <w:tc>
          <w:tcPr>
            <w:tcW w:type="dxa" w:w="44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10</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8e-04</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0.995</w:t>
            </w:r>
          </w:p>
        </w:tc>
        <w:tc>
          <w:tcPr>
            <w:tcW w:type="dxa" w:w="72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20</w:t>
            </w:r>
          </w:p>
        </w:tc>
        <w:tc>
          <w:tcPr>
            <w:tcW w:type="dxa" w:w="69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0.97</w:t>
            </w:r>
          </w:p>
        </w:tc>
        <w:tc>
          <w:tcPr>
            <w:tcW w:type="dxa" w:w="806"/>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0.005</w:t>
            </w:r>
          </w:p>
        </w:tc>
        <w:tc>
          <w:tcPr>
            <w:tcW w:type="dxa" w:w="821"/>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0.7</w:t>
            </w:r>
          </w:p>
        </w:tc>
        <w:tc>
          <w:tcPr>
            <w:tcW w:type="dxa" w:w="85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0.4</w:t>
            </w:r>
          </w:p>
        </w:tc>
        <w:tc>
          <w:tcPr>
            <w:tcW w:type="dxa" w:w="161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0"/>
              </w:rPr>
              <w:t>331.30 +/- 115.93</w:t>
            </w:r>
          </w:p>
        </w:tc>
      </w:tr>
    </w:tbl>
    <w:p>
      <w:pPr>
        <w:spacing w:after="80" w:line="259" w:lineRule="auto"/>
      </w:pPr>
      <w:r>
        <w:rPr>
          <w:rFonts w:ascii="Times New Roman" w:hAnsi="Times New Roman"/>
          <w:sz w:val="16"/>
        </w:rPr>
        <w:t>A2C run 9 scored 416.05 with gamma 0.93, ten-step rollouts and the largest tested entropy coefficient (0.04). Run 3 fell to 223.38, indicating sensitivity to the interaction between LR, gamma and rollout length. Because one seed was used per configuration, these are comparative observations rather than isolated causal effects.</w:t>
      </w:r>
    </w:p>
    <w:p>
      <w:r>
        <w:br w:type="page"/>
      </w:r>
    </w:p>
    <w:p>
      <w:pPr>
        <w:spacing w:before="160" w:after="80"/>
      </w:pPr>
      <w:r>
        <w:rPr>
          <w:rFonts w:ascii="Times New Roman" w:hAnsi="Times New Roman"/>
          <w:b/>
          <w:color w:val="12354D"/>
          <w:sz w:val="28"/>
        </w:rPr>
        <w:t>5. Results and Discussion</w:t>
      </w:r>
    </w:p>
    <w:p>
      <w:pPr>
        <w:spacing w:before="100" w:after="80"/>
      </w:pPr>
      <w:r>
        <w:rPr>
          <w:rFonts w:ascii="Times New Roman" w:hAnsi="Times New Roman"/>
          <w:b/>
          <w:color w:val="167EB2"/>
          <w:sz w:val="22"/>
        </w:rPr>
        <w:t>5.1 Cumulative rewards</w:t>
      </w:r>
    </w:p>
    <w:p>
      <w:pPr>
        <w:jc w:val="center"/>
      </w:pPr>
      <w:r>
        <w:drawing>
          <wp:inline>
            <wp:extent cx="5074920" cy="3305762"/>
            <wp:docPr id="2" name="Picture 2" title="Cumulative Rewards All Methods" descr="Figure 2. Cumulative reward for the best run of each method. Episode counts differ slightly because SB3 training stops after the requested timestep budget."/>
            <wp:cNvGraphicFramePr>
              <a:graphicFrameLocks noChangeAspect="1"/>
            </wp:cNvGraphicFramePr>
            <a:graphic>
              <a:graphicData uri="http://schemas.openxmlformats.org/drawingml/2006/picture">
                <pic:pic>
                  <pic:nvPicPr>
                    <pic:cNvPr id="0" name="cumulative_rewards_all_methods.png"/>
                    <pic:cNvPicPr/>
                  </pic:nvPicPr>
                  <pic:blipFill>
                    <a:blip r:embed="rId9"/>
                    <a:stretch>
                      <a:fillRect/>
                    </a:stretch>
                  </pic:blipFill>
                  <pic:spPr>
                    <a:xfrm>
                      <a:off x="0" y="0"/>
                      <a:ext cx="5074920" cy="3305762"/>
                    </a:xfrm>
                    <a:prstGeom prst="rect"/>
                  </pic:spPr>
                </pic:pic>
              </a:graphicData>
            </a:graphic>
          </wp:inline>
        </w:drawing>
      </w:r>
    </w:p>
    <w:p>
      <w:pPr>
        <w:spacing w:before="20" w:after="80"/>
        <w:jc w:val="center"/>
      </w:pPr>
      <w:r>
        <w:rPr>
          <w:rFonts w:ascii="Times New Roman" w:hAnsi="Times New Roman"/>
          <w:i/>
          <w:sz w:val="15"/>
        </w:rPr>
        <w:t>Figure 2. Cumulative reward for the best run of each method. Episode counts differ slightly because SB3 training stops after the requested timestep budget.</w:t>
      </w:r>
    </w:p>
    <w:p>
      <w:pPr>
        <w:spacing w:after="80" w:line="259" w:lineRule="auto"/>
      </w:pPr>
      <w:r>
        <w:rPr>
          <w:rFonts w:ascii="Times New Roman" w:hAnsi="Times New Roman"/>
          <w:sz w:val="16"/>
        </w:rPr>
        <w:t>PPO accumulated 115,866.50 reward across 278 logged episodes and A2C accumulated 115,249.85 across 277. DQN reached 113,845.08 across 280 episodes, while REINFORCE reached 102,379.96 across its fixed 250 episodes. The nearly linear profiles show positive full-horizon returns; slope is fairer than final height when episode counts differ. Mean reward per logged episode was PPO 416.79, A2C 416.06, REINFORCE 409.52 and DQN 406.59.</w:t>
      </w:r>
    </w:p>
    <w:p>
      <w:pPr>
        <w:spacing w:before="100" w:after="80"/>
      </w:pPr>
      <w:r>
        <w:rPr>
          <w:rFonts w:ascii="Times New Roman" w:hAnsi="Times New Roman"/>
          <w:b/>
          <w:color w:val="167EB2"/>
          <w:sz w:val="22"/>
        </w:rPr>
        <w:t>5.2 Learning behavior</w:t>
      </w:r>
    </w:p>
    <w:p>
      <w:pPr>
        <w:jc w:val="center"/>
      </w:pPr>
      <w:r>
        <w:drawing>
          <wp:inline>
            <wp:extent cx="4892040" cy="2449163"/>
            <wp:docPr id="3" name="Picture 3" title="Learning Curves" descr="Figure 3. Ten-episode rolling-mean reward during training."/>
            <wp:cNvGraphicFramePr>
              <a:graphicFrameLocks noChangeAspect="1"/>
            </wp:cNvGraphicFramePr>
            <a:graphic>
              <a:graphicData uri="http://schemas.openxmlformats.org/drawingml/2006/picture">
                <pic:pic>
                  <pic:nvPicPr>
                    <pic:cNvPr id="0" name="learning_curves.png"/>
                    <pic:cNvPicPr/>
                  </pic:nvPicPr>
                  <pic:blipFill>
                    <a:blip r:embed="rId10"/>
                    <a:stretch>
                      <a:fillRect/>
                    </a:stretch>
                  </pic:blipFill>
                  <pic:spPr>
                    <a:xfrm>
                      <a:off x="0" y="0"/>
                      <a:ext cx="4892040" cy="2449163"/>
                    </a:xfrm>
                    <a:prstGeom prst="rect"/>
                  </pic:spPr>
                </pic:pic>
              </a:graphicData>
            </a:graphic>
          </wp:inline>
        </w:drawing>
      </w:r>
    </w:p>
    <w:p>
      <w:pPr>
        <w:spacing w:before="20" w:after="80"/>
        <w:jc w:val="center"/>
      </w:pPr>
      <w:r>
        <w:rPr>
          <w:rFonts w:ascii="Times New Roman" w:hAnsi="Times New Roman"/>
          <w:i/>
          <w:sz w:val="15"/>
        </w:rPr>
        <w:t>Figure 3. Ten-episode rolling-mean reward during training.</w:t>
      </w:r>
    </w:p>
    <w:p>
      <w:pPr>
        <w:spacing w:after="80" w:line="259" w:lineRule="auto"/>
      </w:pPr>
      <w:r>
        <w:rPr>
          <w:rFonts w:ascii="Times New Roman" w:hAnsi="Times New Roman"/>
          <w:sz w:val="15"/>
        </w:rPr>
        <w:t>PPO and A2C reached the highest late-training plateau. DQN showed deeper temporary drops, consistent with changing epsilon-greedy data and replay updates. REINFORCE remained smoother but plateaued lower, illustrating a stability-versus-asymptotic-performance trade-off.</w:t>
      </w:r>
    </w:p>
    <w:p>
      <w:r>
        <w:br w:type="page"/>
      </w:r>
    </w:p>
    <w:p>
      <w:pPr>
        <w:spacing w:before="100" w:after="80"/>
      </w:pPr>
      <w:r>
        <w:rPr>
          <w:rFonts w:ascii="Times New Roman" w:hAnsi="Times New Roman"/>
          <w:b/>
          <w:color w:val="167EB2"/>
          <w:sz w:val="22"/>
        </w:rPr>
        <w:t>5.3 Objective and policy entropy</w:t>
      </w:r>
    </w:p>
    <w:p>
      <w:pPr>
        <w:jc w:val="center"/>
      </w:pPr>
      <w:r>
        <w:drawing>
          <wp:inline>
            <wp:extent cx="5257800" cy="3424888"/>
            <wp:docPr id="4" name="Picture 4" title="Training Stability" descr="Figure 4. DQN TD-objective loss and policy entropy for the three policy-gradient methods."/>
            <wp:cNvGraphicFramePr>
              <a:graphicFrameLocks noChangeAspect="1"/>
            </wp:cNvGraphicFramePr>
            <a:graphic>
              <a:graphicData uri="http://schemas.openxmlformats.org/drawingml/2006/picture">
                <pic:pic>
                  <pic:nvPicPr>
                    <pic:cNvPr id="0" name="training_stability.png"/>
                    <pic:cNvPicPr/>
                  </pic:nvPicPr>
                  <pic:blipFill>
                    <a:blip r:embed="rId11"/>
                    <a:stretch>
                      <a:fillRect/>
                    </a:stretch>
                  </pic:blipFill>
                  <pic:spPr>
                    <a:xfrm>
                      <a:off x="0" y="0"/>
                      <a:ext cx="5257800" cy="3424888"/>
                    </a:xfrm>
                    <a:prstGeom prst="rect"/>
                  </pic:spPr>
                </pic:pic>
              </a:graphicData>
            </a:graphic>
          </wp:inline>
        </w:drawing>
      </w:r>
    </w:p>
    <w:p>
      <w:pPr>
        <w:spacing w:before="20" w:after="80"/>
        <w:jc w:val="center"/>
      </w:pPr>
      <w:r>
        <w:rPr>
          <w:rFonts w:ascii="Times New Roman" w:hAnsi="Times New Roman"/>
          <w:i/>
          <w:sz w:val="15"/>
        </w:rPr>
        <w:t>Figure 4. DQN TD-objective loss and policy entropy for the three policy-gradient methods.</w:t>
      </w:r>
    </w:p>
    <w:p>
      <w:pPr>
        <w:spacing w:after="80" w:line="259" w:lineRule="auto"/>
      </w:pPr>
      <w:r>
        <w:rPr>
          <w:rFonts w:ascii="Times New Roman" w:hAnsi="Times New Roman"/>
          <w:sz w:val="16"/>
        </w:rPr>
        <w:t>DQN's smoothed TD loss decreased from about 4.17 to 0.33, with later oscillations showing continued replay-based correction rather than divergence. REINFORCE entropy stayed near 2.29 (close to log(10)=2.303), so its policy remained broadly exploratory. PPO entropy declined from about 2.30 to 1.79 and A2C to 2.05, indicating increasingly selective policies without complete entropy collapse.</w:t>
      </w:r>
    </w:p>
    <w:p>
      <w:pPr>
        <w:spacing w:before="100" w:after="80"/>
      </w:pPr>
      <w:r>
        <w:rPr>
          <w:rFonts w:ascii="Times New Roman" w:hAnsi="Times New Roman"/>
          <w:b/>
          <w:color w:val="167EB2"/>
          <w:sz w:val="22"/>
        </w:rPr>
        <w:t>5.4 Episodes to converge</w:t>
      </w:r>
    </w:p>
    <w:p>
      <w:pPr>
        <w:jc w:val="center"/>
      </w:pPr>
      <w:r>
        <w:drawing>
          <wp:inline>
            <wp:extent cx="4343400" cy="2394296"/>
            <wp:docPr id="5" name="Picture 5" title="Episodes To Converge" descr="Figure 5. First stable-performance episode; lower is faster."/>
            <wp:cNvGraphicFramePr>
              <a:graphicFrameLocks noChangeAspect="1"/>
            </wp:cNvGraphicFramePr>
            <a:graphic>
              <a:graphicData uri="http://schemas.openxmlformats.org/drawingml/2006/picture">
                <pic:pic>
                  <pic:nvPicPr>
                    <pic:cNvPr id="0" name="episodes_to_converge.png"/>
                    <pic:cNvPicPr/>
                  </pic:nvPicPr>
                  <pic:blipFill>
                    <a:blip r:embed="rId12"/>
                    <a:stretch>
                      <a:fillRect/>
                    </a:stretch>
                  </pic:blipFill>
                  <pic:spPr>
                    <a:xfrm>
                      <a:off x="0" y="0"/>
                      <a:ext cx="4343400" cy="2394296"/>
                    </a:xfrm>
                    <a:prstGeom prst="rect"/>
                  </pic:spPr>
                </pic:pic>
              </a:graphicData>
            </a:graphic>
          </wp:inline>
        </w:drawing>
      </w:r>
    </w:p>
    <w:p>
      <w:pPr>
        <w:spacing w:before="20" w:after="80"/>
        <w:jc w:val="center"/>
      </w:pPr>
      <w:r>
        <w:rPr>
          <w:rFonts w:ascii="Times New Roman" w:hAnsi="Times New Roman"/>
          <w:i/>
          <w:sz w:val="15"/>
        </w:rPr>
        <w:t>Figure 5. First stable-performance episode; lower is faster.</w:t>
      </w:r>
    </w:p>
    <w:p>
      <w:pPr>
        <w:spacing w:after="80" w:line="259" w:lineRule="auto"/>
      </w:pPr>
      <w:r>
        <w:rPr>
          <w:rFonts w:ascii="Times New Roman" w:hAnsi="Times New Roman"/>
          <w:sz w:val="16"/>
        </w:rPr>
        <w:t>Convergence is the first 20-episode rolling mean within 2% of that run's peak for at least eight of the next ten windows. REINFORCE met this rule at episode 25, PPO at 91, A2C at 211 and DQN at 215. REINFORCE therefore stabilized fastest, but its lower final/generalization reward shows that rapid convergence can mean an early plateau rather than the best policy.</w:t>
      </w:r>
    </w:p>
    <w:p>
      <w:r>
        <w:br w:type="page"/>
      </w:r>
    </w:p>
    <w:p>
      <w:pPr>
        <w:spacing w:before="160" w:after="80"/>
      </w:pPr>
      <w:r>
        <w:rPr>
          <w:rFonts w:ascii="Times New Roman" w:hAnsi="Times New Roman"/>
          <w:b/>
          <w:color w:val="12354D"/>
          <w:sz w:val="28"/>
        </w:rPr>
        <w:t>5.5 Generalization</w:t>
      </w:r>
    </w:p>
    <w:p>
      <w:pPr>
        <w:jc w:val="center"/>
      </w:pPr>
      <w:r>
        <w:drawing>
          <wp:inline>
            <wp:extent cx="5715000" cy="2835294"/>
            <wp:docPr id="6" name="Picture 6" title="Generalization Tests" descr="Figure 6. Mean reward across 20 unseen seeds per operational scenario."/>
            <wp:cNvGraphicFramePr>
              <a:graphicFrameLocks noChangeAspect="1"/>
            </wp:cNvGraphicFramePr>
            <a:graphic>
              <a:graphicData uri="http://schemas.openxmlformats.org/drawingml/2006/picture">
                <pic:pic>
                  <pic:nvPicPr>
                    <pic:cNvPr id="0" name="generalization_tests.png"/>
                    <pic:cNvPicPr/>
                  </pic:nvPicPr>
                  <pic:blipFill>
                    <a:blip r:embed="rId13"/>
                    <a:stretch>
                      <a:fillRect/>
                    </a:stretch>
                  </pic:blipFill>
                  <pic:spPr>
                    <a:xfrm>
                      <a:off x="0" y="0"/>
                      <a:ext cx="5715000" cy="2835294"/>
                    </a:xfrm>
                    <a:prstGeom prst="rect"/>
                  </pic:spPr>
                </pic:pic>
              </a:graphicData>
            </a:graphic>
          </wp:inline>
        </w:drawing>
      </w:r>
    </w:p>
    <w:p>
      <w:pPr>
        <w:spacing w:before="20" w:after="80"/>
        <w:jc w:val="center"/>
      </w:pPr>
      <w:r>
        <w:rPr>
          <w:rFonts w:ascii="Times New Roman" w:hAnsi="Times New Roman"/>
          <w:i/>
          <w:sz w:val="15"/>
        </w:rPr>
        <w:t>Figure 6. Mean reward across 20 unseen seeds per operational scenario.</w:t>
      </w:r>
    </w:p>
    <w:tbl>
      <w:tblPr>
        <w:tblW w:type="auto" w:w="0"/>
        <w:jc w:val="center"/>
        <w:tblLayout w:type="fixed"/>
        <w:tblLook w:firstColumn="1" w:firstRow="1" w:lastColumn="0" w:lastRow="0" w:noHBand="0" w:noVBand="1" w:val="04A0"/>
        <w:tblBorders>
          <w:top w:val="single" w:sz="5" w:color="A8B6BF"/>
          <w:left w:val="single" w:sz="5" w:color="A8B6BF"/>
          <w:bottom w:val="single" w:sz="5" w:color="A8B6BF"/>
          <w:right w:val="single" w:sz="5" w:color="A8B6BF"/>
          <w:insideH w:val="single" w:sz="5" w:color="A8B6BF"/>
          <w:insideV w:val="single" w:sz="5" w:color="A8B6BF"/>
        </w:tblBorders>
      </w:tblPr>
      <w:tblGrid>
        <w:gridCol w:w="1238"/>
        <w:gridCol w:w="2045"/>
        <w:gridCol w:w="950"/>
        <w:gridCol w:w="1584"/>
        <w:gridCol w:w="1123"/>
        <w:gridCol w:w="1037"/>
      </w:tblGrid>
      <w:tr>
        <w:trPr>
          <w:tblHeader w:val="true"/>
        </w:trPr>
        <w:tc>
          <w:tcPr>
            <w:tcW w:type="dxa" w:w="160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3"/>
              </w:rPr>
              <w:t>Method</w:t>
            </w:r>
          </w:p>
        </w:tc>
        <w:tc>
          <w:tcPr>
            <w:tcW w:type="dxa" w:w="160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3"/>
              </w:rPr>
              <w:t>Best normal reward</w:t>
            </w:r>
          </w:p>
        </w:tc>
        <w:tc>
          <w:tcPr>
            <w:tcW w:type="dxa" w:w="160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3"/>
              </w:rPr>
              <w:t>Conv. ep.</w:t>
            </w:r>
          </w:p>
        </w:tc>
        <w:tc>
          <w:tcPr>
            <w:tcW w:type="dxa" w:w="160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3"/>
              </w:rPr>
              <w:t>6-scenario reward</w:t>
            </w:r>
          </w:p>
        </w:tc>
        <w:tc>
          <w:tcPr>
            <w:tcW w:type="dxa" w:w="160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3"/>
              </w:rPr>
              <w:t>Unmet ML</w:t>
            </w:r>
          </w:p>
        </w:tc>
        <w:tc>
          <w:tcPr>
            <w:tcW w:type="dxa" w:w="1607"/>
            <w:vAlign w:val="center"/>
            <w:tcMar>
              <w:top w:w="50" w:type="dxa"/>
              <w:start w:w="70" w:type="dxa"/>
              <w:bottom w:w="50" w:type="dxa"/>
              <w:end w:w="70" w:type="dxa"/>
            </w:tcMar>
            <w:shd w:fill="12354D"/>
          </w:tcPr>
          <w:p>
            <w:pPr>
              <w:spacing w:after="0" w:line="240" w:lineRule="auto"/>
              <w:jc w:val="center"/>
            </w:pPr>
            <w:r/>
            <w:r>
              <w:rPr>
                <w:rFonts w:ascii="Arial" w:hAnsi="Arial"/>
                <w:b/>
                <w:color w:val="FFFFFF"/>
                <w:sz w:val="13"/>
              </w:rPr>
              <w:t>Failure</w:t>
            </w:r>
          </w:p>
        </w:tc>
      </w:tr>
      <w:tr>
        <w:tc>
          <w:tcPr>
            <w:tcW w:type="dxa" w:w="1238"/>
            <w:vAlign w:val="center"/>
            <w:tcMar>
              <w:top w:w="50" w:type="dxa"/>
              <w:start w:w="70" w:type="dxa"/>
              <w:bottom w:w="50" w:type="dxa"/>
              <w:end w:w="70" w:type="dxa"/>
            </w:tcMar>
          </w:tcPr>
          <w:p>
            <w:pPr>
              <w:spacing w:after="0" w:line="240" w:lineRule="auto"/>
              <w:jc w:val="center"/>
            </w:pPr>
            <w:r/>
            <w:r>
              <w:rPr>
                <w:rFonts w:ascii="Arial" w:hAnsi="Arial"/>
                <w:b w:val="0"/>
                <w:color w:val="000000"/>
                <w:sz w:val="13"/>
              </w:rPr>
              <w:t>DQN</w:t>
            </w:r>
          </w:p>
        </w:tc>
        <w:tc>
          <w:tcPr>
            <w:tcW w:type="dxa" w:w="2045"/>
            <w:vAlign w:val="center"/>
            <w:tcMar>
              <w:top w:w="50" w:type="dxa"/>
              <w:start w:w="70" w:type="dxa"/>
              <w:bottom w:w="50" w:type="dxa"/>
              <w:end w:w="70" w:type="dxa"/>
            </w:tcMar>
          </w:tcPr>
          <w:p>
            <w:pPr>
              <w:spacing w:after="0" w:line="240" w:lineRule="auto"/>
              <w:jc w:val="center"/>
            </w:pPr>
            <w:r/>
            <w:r>
              <w:rPr>
                <w:rFonts w:ascii="Arial" w:hAnsi="Arial"/>
                <w:b w:val="0"/>
                <w:color w:val="000000"/>
                <w:sz w:val="13"/>
              </w:rPr>
              <w:t>420.20 +/- 66.29</w:t>
            </w:r>
          </w:p>
        </w:tc>
        <w:tc>
          <w:tcPr>
            <w:tcW w:type="dxa" w:w="950"/>
            <w:vAlign w:val="center"/>
            <w:tcMar>
              <w:top w:w="50" w:type="dxa"/>
              <w:start w:w="70" w:type="dxa"/>
              <w:bottom w:w="50" w:type="dxa"/>
              <w:end w:w="70" w:type="dxa"/>
            </w:tcMar>
          </w:tcPr>
          <w:p>
            <w:pPr>
              <w:spacing w:after="0" w:line="240" w:lineRule="auto"/>
              <w:jc w:val="center"/>
            </w:pPr>
            <w:r/>
            <w:r>
              <w:rPr>
                <w:rFonts w:ascii="Arial" w:hAnsi="Arial"/>
                <w:b w:val="0"/>
                <w:color w:val="000000"/>
                <w:sz w:val="13"/>
              </w:rPr>
              <w:t>215</w:t>
            </w:r>
          </w:p>
        </w:tc>
        <w:tc>
          <w:tcPr>
            <w:tcW w:type="dxa" w:w="1584"/>
            <w:vAlign w:val="center"/>
            <w:tcMar>
              <w:top w:w="50" w:type="dxa"/>
              <w:start w:w="70" w:type="dxa"/>
              <w:bottom w:w="50" w:type="dxa"/>
              <w:end w:w="70" w:type="dxa"/>
            </w:tcMar>
          </w:tcPr>
          <w:p>
            <w:pPr>
              <w:spacing w:after="0" w:line="240" w:lineRule="auto"/>
              <w:jc w:val="center"/>
            </w:pPr>
            <w:r/>
            <w:r>
              <w:rPr>
                <w:rFonts w:ascii="Arial" w:hAnsi="Arial"/>
                <w:b w:val="0"/>
                <w:color w:val="000000"/>
                <w:sz w:val="13"/>
              </w:rPr>
              <w:t>307.04</w:t>
            </w:r>
          </w:p>
        </w:tc>
        <w:tc>
          <w:tcPr>
            <w:tcW w:type="dxa" w:w="1123"/>
            <w:vAlign w:val="center"/>
            <w:tcMar>
              <w:top w:w="50" w:type="dxa"/>
              <w:start w:w="70" w:type="dxa"/>
              <w:bottom w:w="50" w:type="dxa"/>
              <w:end w:w="70" w:type="dxa"/>
            </w:tcMar>
          </w:tcPr>
          <w:p>
            <w:pPr>
              <w:spacing w:after="0" w:line="240" w:lineRule="auto"/>
              <w:jc w:val="center"/>
            </w:pPr>
            <w:r/>
            <w:r>
              <w:rPr>
                <w:rFonts w:ascii="Arial" w:hAnsi="Arial"/>
                <w:b w:val="0"/>
                <w:color w:val="000000"/>
                <w:sz w:val="13"/>
              </w:rPr>
              <w:t>0.997</w:t>
            </w:r>
          </w:p>
        </w:tc>
        <w:tc>
          <w:tcPr>
            <w:tcW w:type="dxa" w:w="1037"/>
            <w:vAlign w:val="center"/>
            <w:tcMar>
              <w:top w:w="50" w:type="dxa"/>
              <w:start w:w="70" w:type="dxa"/>
              <w:bottom w:w="50" w:type="dxa"/>
              <w:end w:w="70" w:type="dxa"/>
            </w:tcMar>
          </w:tcPr>
          <w:p>
            <w:pPr>
              <w:spacing w:after="0" w:line="240" w:lineRule="auto"/>
              <w:jc w:val="center"/>
            </w:pPr>
            <w:r/>
            <w:r>
              <w:rPr>
                <w:rFonts w:ascii="Arial" w:hAnsi="Arial"/>
                <w:b w:val="0"/>
                <w:color w:val="000000"/>
                <w:sz w:val="13"/>
              </w:rPr>
              <w:t>47.5%</w:t>
            </w:r>
          </w:p>
        </w:tc>
      </w:tr>
      <w:tr>
        <w:tc>
          <w:tcPr>
            <w:tcW w:type="dxa" w:w="123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REINFORCE</w:t>
            </w:r>
          </w:p>
        </w:tc>
        <w:tc>
          <w:tcPr>
            <w:tcW w:type="dxa" w:w="204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400.43 +/- 62.36</w:t>
            </w:r>
          </w:p>
        </w:tc>
        <w:tc>
          <w:tcPr>
            <w:tcW w:type="dxa" w:w="95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25</w:t>
            </w:r>
          </w:p>
        </w:tc>
        <w:tc>
          <w:tcPr>
            <w:tcW w:type="dxa" w:w="158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294.35</w:t>
            </w:r>
          </w:p>
        </w:tc>
        <w:tc>
          <w:tcPr>
            <w:tcW w:type="dxa" w:w="112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1.081</w:t>
            </w:r>
          </w:p>
        </w:tc>
        <w:tc>
          <w:tcPr>
            <w:tcW w:type="dxa" w:w="103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56.7%</w:t>
            </w:r>
          </w:p>
        </w:tc>
      </w:tr>
      <w:tr>
        <w:tc>
          <w:tcPr>
            <w:tcW w:type="dxa" w:w="1238"/>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3"/>
              </w:rPr>
              <w:t>PPO</w:t>
            </w:r>
          </w:p>
        </w:tc>
        <w:tc>
          <w:tcPr>
            <w:tcW w:type="dxa" w:w="2045"/>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3"/>
              </w:rPr>
              <w:t>418.84 +/- 25.41</w:t>
            </w:r>
          </w:p>
        </w:tc>
        <w:tc>
          <w:tcPr>
            <w:tcW w:type="dxa" w:w="950"/>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3"/>
              </w:rPr>
              <w:t>91</w:t>
            </w:r>
          </w:p>
        </w:tc>
        <w:tc>
          <w:tcPr>
            <w:tcW w:type="dxa" w:w="1584"/>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3"/>
              </w:rPr>
              <w:t>313.54</w:t>
            </w:r>
          </w:p>
        </w:tc>
        <w:tc>
          <w:tcPr>
            <w:tcW w:type="dxa" w:w="1123"/>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3"/>
              </w:rPr>
              <w:t>1.268</w:t>
            </w:r>
          </w:p>
        </w:tc>
        <w:tc>
          <w:tcPr>
            <w:tcW w:type="dxa" w:w="1037"/>
            <w:vAlign w:val="center"/>
            <w:tcMar>
              <w:top w:w="50" w:type="dxa"/>
              <w:start w:w="70" w:type="dxa"/>
              <w:bottom w:w="50" w:type="dxa"/>
              <w:end w:w="70" w:type="dxa"/>
            </w:tcMar>
            <w:shd w:fill="DDF1E4"/>
          </w:tcPr>
          <w:p>
            <w:pPr>
              <w:spacing w:after="0" w:line="240" w:lineRule="auto"/>
              <w:jc w:val="center"/>
            </w:pPr>
            <w:r/>
            <w:r>
              <w:rPr>
                <w:rFonts w:ascii="Arial" w:hAnsi="Arial"/>
                <w:b w:val="0"/>
                <w:color w:val="000000"/>
                <w:sz w:val="13"/>
              </w:rPr>
              <w:t>38.3%</w:t>
            </w:r>
          </w:p>
        </w:tc>
      </w:tr>
      <w:tr>
        <w:tc>
          <w:tcPr>
            <w:tcW w:type="dxa" w:w="1238"/>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A2C</w:t>
            </w:r>
          </w:p>
        </w:tc>
        <w:tc>
          <w:tcPr>
            <w:tcW w:type="dxa" w:w="2045"/>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416.05 +/- 65.66</w:t>
            </w:r>
          </w:p>
        </w:tc>
        <w:tc>
          <w:tcPr>
            <w:tcW w:type="dxa" w:w="950"/>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211</w:t>
            </w:r>
          </w:p>
        </w:tc>
        <w:tc>
          <w:tcPr>
            <w:tcW w:type="dxa" w:w="1584"/>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294.31</w:t>
            </w:r>
          </w:p>
        </w:tc>
        <w:tc>
          <w:tcPr>
            <w:tcW w:type="dxa" w:w="1123"/>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1.084</w:t>
            </w:r>
          </w:p>
        </w:tc>
        <w:tc>
          <w:tcPr>
            <w:tcW w:type="dxa" w:w="1037"/>
            <w:vAlign w:val="center"/>
            <w:tcMar>
              <w:top w:w="50" w:type="dxa"/>
              <w:start w:w="70" w:type="dxa"/>
              <w:bottom w:w="50" w:type="dxa"/>
              <w:end w:w="70" w:type="dxa"/>
            </w:tcMar>
            <w:shd w:fill="F7F9FA"/>
          </w:tcPr>
          <w:p>
            <w:pPr>
              <w:spacing w:after="0" w:line="240" w:lineRule="auto"/>
              <w:jc w:val="center"/>
            </w:pPr>
            <w:r/>
            <w:r>
              <w:rPr>
                <w:rFonts w:ascii="Arial" w:hAnsi="Arial"/>
                <w:b w:val="0"/>
                <w:color w:val="000000"/>
                <w:sz w:val="13"/>
              </w:rPr>
              <w:t>57.5%</w:t>
            </w:r>
          </w:p>
        </w:tc>
      </w:tr>
    </w:tbl>
    <w:p>
      <w:pPr>
        <w:spacing w:after="80" w:line="259" w:lineRule="auto"/>
      </w:pPr>
      <w:r>
        <w:rPr>
          <w:rFonts w:ascii="Times New Roman" w:hAnsi="Times New Roman"/>
          <w:sz w:val="16"/>
        </w:rPr>
        <w:t>PPO had the best six-scenario mean reward (313.54) and lowest average failure rate (38.3%), while DQN had the lowest average unmet water (0.997 ML). Drought and high leakage were handled relatively well; demand surge, plant outage and mixed stress reduced every method's reward. PPO's mixed-stress reward was highest (185.96) but its cumulative unmet water was 3.553 ML because it survived longer, whereas DQN terminated more often and recorded 2.016 ML. This exposes a limitation of total-return comparison when episode lengths vary.</w:t>
      </w:r>
    </w:p>
    <w:p>
      <w:pPr>
        <w:spacing w:before="160" w:after="80"/>
      </w:pPr>
      <w:r>
        <w:rPr>
          <w:rFonts w:ascii="Times New Roman" w:hAnsi="Times New Roman"/>
          <w:b/>
          <w:color w:val="12354D"/>
          <w:sz w:val="28"/>
        </w:rPr>
        <w:t>6. Conclusion and Discussion</w:t>
      </w:r>
    </w:p>
    <w:p>
      <w:pPr>
        <w:spacing w:after="80" w:line="259" w:lineRule="auto"/>
      </w:pPr>
      <w:r>
        <w:rPr>
          <w:rFonts w:ascii="Times New Roman" w:hAnsi="Times New Roman"/>
          <w:sz w:val="16"/>
        </w:rPr>
        <w:t>PPO is the recommended demonstration agent because it combined near-best normal reward, lower variability, faster convergence than DQN/A2C, the best average stress-scenario reward and the lowest failure rate. DQN is a strong alternative when minimizing unmet volume is prioritized. REINFORCE was simple and fastest to stabilize but plateaued lower; A2C matched PPO's normal mean less reliably and generalized similarly to REINFORCE. These conclusions are limited by simulated dynamics, one training seed per configuration, reward-weight sensitivity and total reward's dependence on episode length. Future work should use multi-seed tuning, normalize return by days survived, calibrate with utility data, add constrained/safe RL and test multi-zone allocation. All recommendations must remain human-approved before deployment.</w:t>
      </w:r>
    </w:p>
    <w:p>
      <w:pPr>
        <w:spacing w:before="100" w:after="80"/>
      </w:pPr>
      <w:r>
        <w:rPr>
          <w:rFonts w:ascii="Times New Roman" w:hAnsi="Times New Roman"/>
          <w:b/>
          <w:color w:val="167EB2"/>
          <w:sz w:val="22"/>
        </w:rPr>
        <w:t>References</w:t>
      </w:r>
    </w:p>
    <w:p>
      <w:pPr>
        <w:spacing w:after="80" w:line="259" w:lineRule="auto"/>
      </w:pPr>
      <w:r>
        <w:rPr>
          <w:rFonts w:ascii="Times New Roman" w:hAnsi="Times New Roman"/>
          <w:sz w:val="14"/>
        </w:rPr>
        <w:t>Mnih et al. (2015), Human-level control through deep reinforcement learning. Nature 518. Williams (1992), Simple statistical gradient-following algorithms for connectionist reinforcement learning. Machine Learning 8. Schulman et al. (2017), Proximal Policy Optimization Algorithms. arXiv:1707.06347. Raffin et al. (2021), Stable-Baselines3: Reliable Reinforcement Learning Implementations. JMLR 22.</w:t>
      </w:r>
    </w:p>
    <w:sectPr>
      <w:headerReference r:id="rId6" w:type="default"/>
      <w:footerReference w:type="default" r:id="rId7"/>
      <w:pgSz w:h="16834" w:w="11909" w:orient="portrait"/>
      <w:pgMar w:bottom="1020" w:top="1191"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Style w:val="Heading1"/>
      <w:spacing w:after="0" w:before="0" w:line="240" w:lineRule="auto"/>
      <w:rPr>
        <w:rFonts w:ascii="Helvetica Neue" w:cs="Helvetica Neue" w:eastAsia="Helvetica Neue" w:hAnsi="Helvetica Neue"/>
        <w:b w:val="1"/>
        <w:bCs w:val="1"/>
        <w:color w:val="cccccc"/>
        <w:sz w:val="20"/>
        <w:szCs w:val="20"/>
      </w:rPr>
    </w:pPr>
    <w:bookmarkStart w:colFirst="0" w:colLast="0" w:name="_1fob9te" w:id="14"/>
    <w:bookmarkEnd w:id="14"/>
    <w:r w:rsidDel="00000000" w:rsidR="00000000" w:rsidRPr="00000000">
      <w:rPr>
        <w:rtl w:val="0"/>
      </w:rPr>
    </w:r>
  </w:p>
  <w:p w:rsidR="00000000" w:rsidDel="00000000" w:rsidP="00000000" w:rsidRDefault="00000000" w:rsidRPr="00000000" w14:paraId="0000005C">
    <w:pPr>
      <w:pStyle w:val="Heading1"/>
      <w:spacing w:after="0" w:before="0" w:line="240" w:lineRule="auto"/>
      <w:rPr>
        <w:rFonts w:ascii="Helvetica Neue" w:cs="Helvetica Neue" w:eastAsia="Helvetica Neue" w:hAnsi="Helvetica Neue"/>
        <w:b w:val="1"/>
        <w:bCs w:val="1"/>
        <w:color w:val="cccccc"/>
        <w:sz w:val="20"/>
        <w:szCs w:val="20"/>
      </w:rPr>
    </w:pPr>
    <w:bookmarkStart w:colFirst="0" w:colLast="0" w:name="_3znysh7" w:id="15"/>
    <w:bookmarkEnd w:id="15"/>
    <w:r w:rsidDel="00000000" w:rsidR="00000000" w:rsidRPr="00000000">
      <w:rPr>
        <w:rFonts w:ascii="Helvetica Neue" w:cs="Helvetica Neue" w:eastAsia="Helvetica Neue" w:hAnsi="Helvetica Neue"/>
        <w:b w:val="1"/>
        <w:bCs w:val="1"/>
        <w:color w:val="cccccc"/>
        <w:sz w:val="20"/>
        <w:szCs w:val="20"/>
        <w:rtl w:val="0"/>
      </w:rPr>
      <w:t xml:space="preserve">AFRICAN LEADERSHIP UNIVERSITY</w:t>
    </w:r>
  </w:p>
  <w:p w:rsidR="00000000" w:rsidDel="00000000" w:rsidP="00000000" w:rsidRDefault="00000000" w:rsidRPr="00000000" w14:paraId="0000005D">
    <w:pPr>
      <w:pStyle w:val="Heading1"/>
      <w:spacing w:after="0" w:before="0" w:line="240" w:lineRule="auto"/>
      <w:rPr>
        <w:rFonts w:ascii="Helvetica Neue" w:cs="Helvetica Neue" w:eastAsia="Helvetica Neue" w:hAnsi="Helvetica Neue"/>
        <w:b w:val="1"/>
        <w:bCs w:val="1"/>
        <w:color w:val="cccccc"/>
        <w:sz w:val="36"/>
        <w:szCs w:val="36"/>
      </w:rPr>
    </w:pPr>
    <w:bookmarkStart w:colFirst="0" w:colLast="0" w:name="_2et92p0" w:id="16"/>
    <w:bookmarkEnd w:id="16"/>
    <w:r w:rsidDel="00000000" w:rsidR="00000000" w:rsidRPr="00000000">
      <w:rPr>
        <w:rFonts w:ascii="Helvetica Neue" w:cs="Helvetica Neue" w:eastAsia="Helvetica Neue" w:hAnsi="Helvetica Neue"/>
        <w:b w:val="1"/>
        <w:bCs w:val="1"/>
        <w:color w:val="cccccc"/>
        <w:sz w:val="36"/>
        <w:szCs w:val="36"/>
        <w:rtl w:val="0"/>
      </w:rPr>
      <w:t xml:space="preserve">[BSE] </w:t>
    </w:r>
  </w:p>
  <w:p w:rsidR="00000000" w:rsidDel="00000000" w:rsidP="00000000" w:rsidRDefault="00000000" w:rsidRPr="00000000" w14:paraId="0000005E">
    <w:pPr>
      <w:spacing w:line="240" w:lineRule="auto"/>
      <w:rPr>
        <w:rFonts w:ascii="Helvetica Neue Light" w:cs="Helvetica Neue Light" w:eastAsia="Helvetica Neue Light" w:hAnsi="Helvetica Neue Light"/>
        <w:color w:val="cccccc"/>
      </w:rPr>
    </w:pPr>
    <w:r w:rsidDel="00000000" w:rsidR="00000000" w:rsidRPr="00000000">
      <w:rPr>
        <w:rFonts w:ascii="Helvetica Neue Light" w:cs="Helvetica Neue Light" w:eastAsia="Helvetica Neue Light" w:hAnsi="Helvetica Neue Light"/>
        <w:color w:val="cccccc"/>
        <w:rtl w:val="0"/>
      </w:rPr>
      <w:t xml:space="preserve">[ML TECHNIQUES II] </w:t>
    </w:r>
  </w:p>
  <w:p w:rsidR="00000000" w:rsidDel="00000000" w:rsidP="00000000" w:rsidRDefault="00000000" w:rsidRPr="00000000" w14:paraId="0000005F">
    <w:pPr>
      <w:spacing w:line="240" w:lineRule="auto"/>
      <w:rPr/>
    </w:pPr>
    <w:r w:rsidDel="00000000" w:rsidR="00000000" w:rsidRPr="00000000">
      <w:rPr>
        <w:rFonts w:ascii="Helvetica Neue Light" w:cs="Helvetica Neue Light" w:eastAsia="Helvetica Neue Light" w:hAnsi="Helvetica Neue Light"/>
        <w:color w:val="cccccc"/>
        <w:rtl w:val="0"/>
      </w:rPr>
      <w:t xml:space="preserve">[SUMMATIVE ASSIGNMENT]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AquaForecast Mission-Based RL Summative Report</dc:title>
  <cp:lastModifiedBy>python-docx</cp:lastModifiedBy>
  <cp:revision>1</cp:revision>
  <dcterms:modified xsi:type="dcterms:W3CDTF">2026-07-21T15:21:18Z</dcterms:modified>
  <dc:creator>Mugabo Patricia</dc:creator>
</cp:coreProperties>
</file>