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2E4B7B"/>
          <w:sz w:val="44"/>
          <w:szCs w:val="44"/>
        </w:rPr>
        <w:t xml:space="preserve">NOTE DE SYNTHÈSE</w:t>
      </w:r>
    </w:p>
    <w:p>
      <w:pPr>
        <w:spacing w:after="80" w:before="0"/>
        <w:jc w:val="center"/>
      </w:pPr>
      <w:r>
        <w:rPr>
          <w:rFonts w:ascii="Arial" w:cs="Arial" w:eastAsia="Arial" w:hAnsi="Arial"/>
          <w:b/>
          <w:bCs/>
          <w:i w:val="false"/>
          <w:iCs w:val="false"/>
          <w:color w:val="2E4B7B"/>
          <w:sz w:val="28"/>
          <w:szCs w:val="28"/>
        </w:rPr>
        <w:t xml:space="preserve">Analyse du Marché Immobilier des Pyrénées-Atlantiques</w:t>
      </w:r>
    </w:p>
    <w:p>
      <w:pPr>
        <w:spacing w:after="80" w:before="0"/>
        <w:jc w:val="center"/>
      </w:pPr>
      <w:r>
        <w:rPr>
          <w:rFonts w:ascii="Arial" w:cs="Arial" w:eastAsia="Arial" w:hAnsi="Arial"/>
          <w:b w:val="false"/>
          <w:bCs w:val="false"/>
          <w:i w:val="false"/>
          <w:iCs w:val="false"/>
          <w:color w:val="444444"/>
          <w:sz w:val="22"/>
          <w:szCs w:val="22"/>
        </w:rPr>
        <w:t xml:space="preserve">Projet Business Intelligence — Microsoft Power BI</w:t>
      </w:r>
    </w:p>
    <w:p>
      <w:pPr>
        <w:spacing w:after="160" w:before="0"/>
        <w:jc w:val="center"/>
      </w:pPr>
      <w:r>
        <w:rPr>
          <w:rFonts w:ascii="Arial" w:cs="Arial" w:eastAsia="Arial" w:hAnsi="Arial"/>
          <w:b w:val="false"/>
          <w:bCs w:val="false"/>
          <w:i/>
          <w:iCs/>
          <w:color w:val="777777"/>
          <w:sz w:val="20"/>
          <w:szCs w:val="20"/>
        </w:rPr>
        <w:t xml:space="preserve">Phillip MUWONGE  |  Master Systèmes d'Information  |  Université de Pau  |  2025</w:t>
      </w:r>
    </w:p>
    <w:p>
      <w:pPr>
        <w:pBdr>
          <w:bottom w:val="single" w:color="2E4B7B" w:sz="8" w:space="1"/>
        </w:pBdr>
        <w:spacing w:after="120" w:before="120"/>
      </w:pPr>
    </w:p>
    <w:p>
      <w:pPr>
        <w:spacing w:after="0" w:before="120"/>
      </w:pPr>
    </w:p>
    <w:p>
      <w:pPr>
        <w:pStyle w:val="Heading1"/>
        <w:spacing w:after="140" w:before="280"/>
      </w:pPr>
      <w:r>
        <w:rPr>
          <w:rFonts w:ascii="Arial" w:cs="Arial" w:eastAsia="Arial" w:hAnsi="Arial"/>
          <w:b/>
          <w:bCs/>
          <w:color w:val="2E4B7B"/>
          <w:sz w:val="30"/>
          <w:szCs w:val="30"/>
        </w:rPr>
        <w:t xml:space="preserve">Résumé exécutif</w:t>
      </w:r>
    </w:p>
    <w:p>
      <w:pPr>
        <w:spacing w:after="60" w:before="60"/>
        <w:jc w:val="left"/>
      </w:pPr>
      <w:r>
        <w:rPr>
          <w:rFonts w:ascii="Arial" w:cs="Arial" w:eastAsia="Arial" w:hAnsi="Arial"/>
          <w:b w:val="false"/>
          <w:bCs w:val="false"/>
          <w:i w:val="false"/>
          <w:iCs w:val="false"/>
          <w:color w:val="000000"/>
          <w:sz w:val="19"/>
          <w:szCs w:val="19"/>
        </w:rPr>
        <w:t xml:space="preserve">Ce projet Power BI analyse les données des Demandes de Valeurs Foncières (DVF) pour le département des Pyrénées-Atlantiques (64) sur la période 2021–2024. Il s'appuie sur 10 763 transactions immobilières réelles enrichies de deux sources INSEE officielles — populations légales 2022 et revenus médians Filosofi 2021 — pour produire un tableau de bord interactif en trois pages couvrant l'analyse géographique, temporelle et socio-économique du marché immobilier local.</w:t>
      </w:r>
    </w:p>
    <w:p>
      <w:pPr>
        <w:spacing w:after="0" w:before="120"/>
      </w:pPr>
    </w:p>
    <w:p>
      <w:pPr>
        <w:pStyle w:val="Heading1"/>
        <w:spacing w:after="140" w:before="280"/>
      </w:pPr>
      <w:r>
        <w:rPr>
          <w:rFonts w:ascii="Arial" w:cs="Arial" w:eastAsia="Arial" w:hAnsi="Arial"/>
          <w:b/>
          <w:bCs/>
          <w:color w:val="2E4B7B"/>
          <w:sz w:val="30"/>
          <w:szCs w:val="30"/>
        </w:rPr>
        <w:t xml:space="preserve">1. Éléments de la démarche projet</w:t>
      </w:r>
    </w:p>
    <w:p>
      <w:pPr>
        <w:pStyle w:val="Heading2"/>
        <w:spacing w:after="100" w:before="200"/>
      </w:pPr>
      <w:r>
        <w:rPr>
          <w:rFonts w:ascii="Arial" w:cs="Arial" w:eastAsia="Arial" w:hAnsi="Arial"/>
          <w:b/>
          <w:bCs/>
          <w:color w:val="2E4B7B"/>
          <w:sz w:val="24"/>
          <w:szCs w:val="24"/>
        </w:rPr>
        <w:t xml:space="preserve">1.1 Thématique étudiée</w:t>
      </w:r>
    </w:p>
    <w:p>
      <w:pPr>
        <w:spacing w:after="60" w:before="60"/>
        <w:jc w:val="left"/>
      </w:pPr>
      <w:r>
        <w:rPr>
          <w:rFonts w:ascii="Arial" w:cs="Arial" w:eastAsia="Arial" w:hAnsi="Arial"/>
          <w:b w:val="false"/>
          <w:bCs w:val="false"/>
          <w:i w:val="false"/>
          <w:iCs w:val="false"/>
          <w:color w:val="000000"/>
          <w:sz w:val="19"/>
          <w:szCs w:val="19"/>
        </w:rPr>
        <w:t xml:space="preserve">Ce projet porte sur l'analyse décisionnelle du marché immobilier des Pyrénées-Atlantiques à partir des Demandes de Valeurs Foncières (DVF), base officielle du gouvernement français recensant l'ensemble des transactions immobilières réelles. L'objectif est de transformer des données brutes multi-sources en tableaux de bord interactifs répondant à trois axes d'analyse :</w:t>
      </w:r>
    </w:p>
    <w:p>
      <w:pPr>
        <w:spacing w:after="0" w:before="60"/>
      </w:pPr>
    </w:p>
    <w:p>
      <w:pPr>
        <w:pStyle w:val="ListParagraph"/>
        <w:numPr>
          <w:ilvl w:val="0"/>
          <w:numId w:val="2"/>
        </w:numPr>
        <w:spacing w:after="40" w:before="40"/>
      </w:pPr>
      <w:r>
        <w:rPr>
          <w:rFonts w:ascii="Arial" w:cs="Arial" w:eastAsia="Arial" w:hAnsi="Arial"/>
          <w:b/>
          <w:bCs/>
          <w:sz w:val="19"/>
          <w:szCs w:val="19"/>
        </w:rPr>
        <w:t xml:space="preserve">Analyse géographique : </w:t>
      </w:r>
      <w:r>
        <w:rPr>
          <w:rFonts w:ascii="Arial" w:cs="Arial" w:eastAsia="Arial" w:hAnsi="Arial"/>
          <w:b w:val="false"/>
          <w:bCs w:val="false"/>
          <w:sz w:val="19"/>
          <w:szCs w:val="19"/>
        </w:rPr>
        <w:t xml:space="preserve">disparités de prix entre communes, littoral vs intérieur du département</w:t>
      </w:r>
    </w:p>
    <w:p>
      <w:pPr>
        <w:pStyle w:val="ListParagraph"/>
        <w:numPr>
          <w:ilvl w:val="0"/>
          <w:numId w:val="2"/>
        </w:numPr>
        <w:spacing w:after="40" w:before="40"/>
      </w:pPr>
      <w:r>
        <w:rPr>
          <w:rFonts w:ascii="Arial" w:cs="Arial" w:eastAsia="Arial" w:hAnsi="Arial"/>
          <w:b/>
          <w:bCs/>
          <w:sz w:val="19"/>
          <w:szCs w:val="19"/>
        </w:rPr>
        <w:t xml:space="preserve">Analyse temporelle : </w:t>
      </w:r>
      <w:r>
        <w:rPr>
          <w:rFonts w:ascii="Arial" w:cs="Arial" w:eastAsia="Arial" w:hAnsi="Arial"/>
          <w:b w:val="false"/>
          <w:bCs w:val="false"/>
          <w:sz w:val="19"/>
          <w:szCs w:val="19"/>
        </w:rPr>
        <w:t xml:space="preserve">évolution des prix et saisonnalité du marché sur 2021–2024</w:t>
      </w:r>
    </w:p>
    <w:p>
      <w:pPr>
        <w:pStyle w:val="ListParagraph"/>
        <w:numPr>
          <w:ilvl w:val="0"/>
          <w:numId w:val="2"/>
        </w:numPr>
        <w:spacing w:after="40" w:before="40"/>
      </w:pPr>
      <w:r>
        <w:rPr>
          <w:rFonts w:ascii="Arial" w:cs="Arial" w:eastAsia="Arial" w:hAnsi="Arial"/>
          <w:b/>
          <w:bCs/>
          <w:sz w:val="19"/>
          <w:szCs w:val="19"/>
        </w:rPr>
        <w:t xml:space="preserve">Analyse socio-économique : </w:t>
      </w:r>
      <w:r>
        <w:rPr>
          <w:rFonts w:ascii="Arial" w:cs="Arial" w:eastAsia="Arial" w:hAnsi="Arial"/>
          <w:b w:val="false"/>
          <w:bCs w:val="false"/>
          <w:sz w:val="19"/>
          <w:szCs w:val="19"/>
        </w:rPr>
        <w:t xml:space="preserve">corrélation entre prix immobiliers, revenus médians et population par commune</w:t>
      </w:r>
    </w:p>
    <w:p>
      <w:pPr>
        <w:spacing w:after="0" w:before="120"/>
      </w:pPr>
    </w:p>
    <w:p>
      <w:pPr>
        <w:pStyle w:val="Heading2"/>
        <w:spacing w:after="100" w:before="200"/>
      </w:pPr>
      <w:r>
        <w:rPr>
          <w:rFonts w:ascii="Arial" w:cs="Arial" w:eastAsia="Arial" w:hAnsi="Arial"/>
          <w:b/>
          <w:bCs/>
          <w:color w:val="2E4B7B"/>
          <w:sz w:val="24"/>
          <w:szCs w:val="24"/>
        </w:rPr>
        <w:t xml:space="preserve">1.2 Périmètre du projet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Dimension</w:t>
            </w:r>
          </w:p>
        </w:tc>
        <w:tc>
          <w:tcPr>
            <w:tcW w:type="dxa" w:w="58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Détail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Période analysée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 – 2024 (date de mutation)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Zone géographique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Département des Pyrénées-Atlantiques (64) — ~546 communes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Types de biens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Maisons, Appartements, Locaux industriels et commerciaux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Volume de données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10 763 transactions après nettoyage (source brute : 13 790 lignes)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Sources de données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 (data.gouv.fr), INSEE dep64 (populations), Filosofi 2021 (revenus)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Outil utilisé</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Power BI Desktop — Power Query, modélisation DAX</w:t>
            </w:r>
          </w:p>
        </w:tc>
      </w:tr>
    </w:tbl>
    <w:p>
      <w:pPr>
        <w:spacing w:after="0" w:before="160"/>
      </w:pPr>
    </w:p>
    <w:p>
      <w:pPr>
        <w:pStyle w:val="Heading2"/>
        <w:spacing w:after="100" w:before="200"/>
      </w:pPr>
      <w:r>
        <w:rPr>
          <w:rFonts w:ascii="Arial" w:cs="Arial" w:eastAsia="Arial" w:hAnsi="Arial"/>
          <w:b/>
          <w:bCs/>
          <w:color w:val="2E4B7B"/>
          <w:sz w:val="24"/>
          <w:szCs w:val="24"/>
        </w:rPr>
        <w:t xml:space="preserve">1.3 Visuels produits</w:t>
      </w:r>
    </w:p>
    <w:p>
      <w:pPr>
        <w:spacing w:after="60" w:before="60"/>
        <w:jc w:val="left"/>
      </w:pPr>
      <w:r>
        <w:rPr>
          <w:rFonts w:ascii="Arial" w:cs="Arial" w:eastAsia="Arial" w:hAnsi="Arial"/>
          <w:b w:val="false"/>
          <w:bCs w:val="false"/>
          <w:i w:val="false"/>
          <w:iCs w:val="false"/>
          <w:color w:val="000000"/>
          <w:sz w:val="19"/>
          <w:szCs w:val="19"/>
        </w:rPr>
        <w:t xml:space="preserve">Le projet est structuré en trois pages de tableau de bord, chacune dédiée à un axe d'analyse.</w:t>
      </w:r>
    </w:p>
    <w:p>
      <w:pPr>
        <w:spacing w:after="0" w:before="100"/>
      </w:pPr>
    </w:p>
    <w:p>
      <w:pPr>
        <w:spacing w:after="60" w:before="60"/>
        <w:jc w:val="left"/>
      </w:pPr>
      <w:r>
        <w:rPr>
          <w:rFonts w:ascii="Arial" w:cs="Arial" w:eastAsia="Arial" w:hAnsi="Arial"/>
          <w:b/>
          <w:bCs/>
          <w:i w:val="false"/>
          <w:iCs w:val="false"/>
          <w:color w:val="2E4B7B"/>
          <w:sz w:val="20"/>
          <w:szCs w:val="20"/>
        </w:rPr>
        <w:t xml:space="preserve">Page 1 — Vue d'ensemble du marché</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Visuel</w:t>
            </w:r>
          </w:p>
        </w:tc>
        <w:tc>
          <w:tcPr>
            <w:tcW w:type="dxa" w:w="36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Données utilisées</w:t>
            </w:r>
          </w:p>
        </w:tc>
        <w:tc>
          <w:tcPr>
            <w:tcW w:type="dxa" w:w="32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Objectif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cartes KPI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Nb transactions, Prix moyen m2, Valeur foncière totale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Indicateurs globaux — mis à jour dynamiquement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Histogramme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dvf[type_local], Nb Transactions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Répartition des transactions par type de bien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Graphique en courbes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dvf[date_mutation] (Mois), Prix Moyen M2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Évolution mensuelle du prix moyen au m2</w:t>
            </w:r>
          </w:p>
        </w:tc>
      </w:tr>
    </w:tbl>
    <w:p>
      <w:pPr>
        <w:spacing w:after="0" w:before="120"/>
      </w:pPr>
    </w:p>
    <w:p>
      <w:pPr>
        <w:spacing w:after="60" w:before="60"/>
        <w:jc w:val="left"/>
      </w:pPr>
      <w:r>
        <w:rPr>
          <w:rFonts w:ascii="Arial" w:cs="Arial" w:eastAsia="Arial" w:hAnsi="Arial"/>
          <w:b/>
          <w:bCs/>
          <w:i w:val="false"/>
          <w:iCs w:val="false"/>
          <w:color w:val="2E4B7B"/>
          <w:sz w:val="20"/>
          <w:szCs w:val="20"/>
        </w:rPr>
        <w:t xml:space="preserve">Page 2 — Analyse géographique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Visuel</w:t>
            </w:r>
          </w:p>
        </w:tc>
        <w:tc>
          <w:tcPr>
            <w:tcW w:type="dxa" w:w="36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Données utilisées</w:t>
            </w:r>
          </w:p>
        </w:tc>
        <w:tc>
          <w:tcPr>
            <w:tcW w:type="dxa" w:w="32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Objectif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 interactive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dvf[latitude/longitude], Nb Transactions, Prix Moyen M2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Localisation des transactions avec bulles proportionnelles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Bar chart Top 10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dvf[commune], Mediane Prix M2</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Communes les plus chères du département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Scatter plot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dvf[revenu_median], Prix Moyen M2, commune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Corrélation prix immobilier vs revenus médians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Slicer filtre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dvf[type_local]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Filtrage dynamique de tous les visuels par type de bien</w:t>
            </w:r>
          </w:p>
        </w:tc>
      </w:tr>
    </w:tbl>
    <w:p>
      <w:pPr>
        <w:spacing w:after="0" w:before="120"/>
      </w:pPr>
    </w:p>
    <w:p>
      <w:pPr>
        <w:spacing w:after="60" w:before="60"/>
        <w:jc w:val="left"/>
      </w:pPr>
      <w:r>
        <w:rPr>
          <w:rFonts w:ascii="Arial" w:cs="Arial" w:eastAsia="Arial" w:hAnsi="Arial"/>
          <w:b/>
          <w:bCs/>
          <w:i w:val="false"/>
          <w:iCs w:val="false"/>
          <w:color w:val="2E4B7B"/>
          <w:sz w:val="20"/>
          <w:szCs w:val="20"/>
        </w:rPr>
        <w:t xml:space="preserve">Page 3 — Analyse approfondie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c>
          <w:tcPr>
            <w:tcW w:type="dxa" w:w="18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Visuel</w:t>
            </w:r>
          </w:p>
        </w:tc>
        <w:tc>
          <w:tcPr>
            <w:tcW w:type="dxa" w:w="24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Données utilisées</w:t>
            </w:r>
          </w:p>
        </w:tc>
        <w:tc>
          <w:tcPr>
            <w:tcW w:type="dxa" w:w="26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Objectif du graphique</w:t>
            </w:r>
          </w:p>
        </w:tc>
        <w:tc>
          <w:tcPr>
            <w:tcW w:type="dxa" w:w="22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Contrainte respectée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 des prix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commune, Mediane Prix M2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Identifier les disparités littoral vs intérieur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Analyse géographique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Courbe d'évolution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date_mutation (Mois/Année), Mediane Prix M2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Mesurer la tendance et la saisonnalité</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Analyse temporelle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Nuage de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surface_bati, Mediane Prix M2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Relation entre taille du bien et prix au m2</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Analyse structurelle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Double bar chart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commune, Mediane Prix M2 (Top/Bas 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Communes les plus chères vs les moins chères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Analyse comparative</w:t>
            </w:r>
          </w:p>
        </w:tc>
      </w:tr>
    </w:tbl>
    <w:p>
      <w:pPr>
        <w:spacing w:after="0" w:before="160"/>
      </w:pPr>
    </w:p>
    <w:p>
      <w:pPr>
        <w:pStyle w:val="Heading1"/>
        <w:spacing w:after="140" w:before="280"/>
      </w:pPr>
      <w:r>
        <w:rPr>
          <w:rFonts w:ascii="Arial" w:cs="Arial" w:eastAsia="Arial" w:hAnsi="Arial"/>
          <w:b/>
          <w:bCs/>
          <w:color w:val="2E4B7B"/>
          <w:sz w:val="30"/>
          <w:szCs w:val="30"/>
        </w:rPr>
        <w:t xml:space="preserve">2. Extrait et description du jeu de données</w:t>
      </w:r>
    </w:p>
    <w:p>
      <w:pPr>
        <w:pStyle w:val="Heading2"/>
        <w:spacing w:after="100" w:before="200"/>
      </w:pPr>
      <w:r>
        <w:rPr>
          <w:rFonts w:ascii="Arial" w:cs="Arial" w:eastAsia="Arial" w:hAnsi="Arial"/>
          <w:b/>
          <w:bCs/>
          <w:color w:val="2E4B7B"/>
          <w:sz w:val="24"/>
          <w:szCs w:val="24"/>
        </w:rPr>
        <w:t xml:space="preserve">2.1 Sources de données</w:t>
      </w:r>
    </w:p>
    <w:p>
      <w:pPr>
        <w:spacing w:after="60" w:before="60"/>
        <w:jc w:val="left"/>
      </w:pPr>
      <w:r>
        <w:rPr>
          <w:rFonts w:ascii="Arial" w:cs="Arial" w:eastAsia="Arial" w:hAnsi="Arial"/>
          <w:b w:val="false"/>
          <w:bCs w:val="false"/>
          <w:i w:val="false"/>
          <w:iCs w:val="false"/>
          <w:color w:val="000000"/>
          <w:sz w:val="19"/>
          <w:szCs w:val="19"/>
        </w:rPr>
        <w:t xml:space="preserve">Le jeu de données est composé de 3 sources officielles téléchargées et enrichies dans Power Query.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600"/>
        <w:gridCol w:w="3426"/>
      </w:tblGrid>
      <w:tr>
        <w:tc>
          <w:tcPr>
            <w:tcW w:type="dxa" w:w="20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Fichier</w:t>
            </w:r>
          </w:p>
        </w:tc>
        <w:tc>
          <w:tcPr>
            <w:tcW w:type="dxa" w:w="10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Format</w:t>
            </w:r>
          </w:p>
        </w:tc>
        <w:tc>
          <w:tcPr>
            <w:tcW w:type="dxa" w:w="26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Nb lignes</w:t>
            </w:r>
          </w:p>
        </w:tc>
        <w:tc>
          <w:tcPr>
            <w:tcW w:type="dxa" w:w="34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CSV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13 790 (brut) / 10 763 (nettoyé)</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des faits — transactions immobilières DVF 2021–2024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dep64.xlsx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Excel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546 communes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Populations légales 2022 — INSEE (onglet Communes)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FILO2021_DISP_COM.csv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CSV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35 000+ / filtré 64</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Revenus médians disponibles 2021 — INSEE Filosofi</w:t>
            </w:r>
          </w:p>
        </w:tc>
      </w:tr>
    </w:tbl>
    <w:p>
      <w:pPr>
        <w:spacing w:after="0" w:before="160"/>
      </w:pPr>
    </w:p>
    <w:p>
      <w:pPr>
        <w:pStyle w:val="Heading2"/>
        <w:spacing w:after="100" w:before="200"/>
      </w:pPr>
      <w:r>
        <w:rPr>
          <w:rFonts w:ascii="Arial" w:cs="Arial" w:eastAsia="Arial" w:hAnsi="Arial"/>
          <w:b/>
          <w:bCs/>
          <w:color w:val="2E4B7B"/>
          <w:sz w:val="24"/>
          <w:szCs w:val="24"/>
        </w:rPr>
        <w:t xml:space="preserve">2.2 Champs utilisés par table</w:t>
      </w:r>
    </w:p>
    <w:p>
      <w:pPr>
        <w:spacing w:after="0" w:before="60"/>
      </w:pPr>
    </w:p>
    <w:p>
      <w:pPr>
        <w:spacing w:after="60" w:before="60"/>
        <w:jc w:val="left"/>
      </w:pPr>
      <w:r>
        <w:rPr>
          <w:rFonts w:ascii="Arial" w:cs="Arial" w:eastAsia="Arial" w:hAnsi="Arial"/>
          <w:b/>
          <w:bCs/>
          <w:i w:val="false"/>
          <w:iCs w:val="false"/>
          <w:color w:val="000000"/>
          <w:sz w:val="20"/>
          <w:szCs w:val="20"/>
        </w:rPr>
        <w:t xml:space="preserve">Table dvf (faits)</w:t>
      </w:r>
    </w:p>
    <w:p>
      <w:pPr>
        <w:spacing w:after="0" w:before="40"/>
      </w:pPr>
    </w:p>
    <w:p>
      <w:pPr>
        <w:pStyle w:val="ListParagraph"/>
        <w:numPr>
          <w:ilvl w:val="0"/>
          <w:numId w:val="2"/>
        </w:numPr>
        <w:spacing w:after="40" w:before="40"/>
      </w:pPr>
      <w:r>
        <w:rPr>
          <w:rFonts w:ascii="Arial" w:cs="Arial" w:eastAsia="Arial" w:hAnsi="Arial"/>
          <w:b/>
          <w:bCs/>
          <w:sz w:val="19"/>
          <w:szCs w:val="19"/>
        </w:rPr>
        <w:t xml:space="preserve">code_commune </w:t>
      </w:r>
      <w:r>
        <w:rPr>
          <w:rFonts w:ascii="Arial" w:cs="Arial" w:eastAsia="Arial" w:hAnsi="Arial"/>
          <w:b w:val="false"/>
          <w:bCs w:val="false"/>
          <w:sz w:val="19"/>
          <w:szCs w:val="19"/>
        </w:rPr>
        <w:t xml:space="preserve">→ clé de jointure avec les tables INSEE (transformée en texte 5 caractères)</w:t>
      </w:r>
    </w:p>
    <w:p>
      <w:pPr>
        <w:pStyle w:val="ListParagraph"/>
        <w:numPr>
          <w:ilvl w:val="0"/>
          <w:numId w:val="2"/>
        </w:numPr>
        <w:spacing w:after="40" w:before="40"/>
      </w:pPr>
      <w:r>
        <w:rPr>
          <w:rFonts w:ascii="Arial" w:cs="Arial" w:eastAsia="Arial" w:hAnsi="Arial"/>
          <w:b/>
          <w:bCs/>
          <w:sz w:val="19"/>
          <w:szCs w:val="19"/>
        </w:rPr>
        <w:t xml:space="preserve">date_mutation </w:t>
      </w:r>
      <w:r>
        <w:rPr>
          <w:rFonts w:ascii="Arial" w:cs="Arial" w:eastAsia="Arial" w:hAnsi="Arial"/>
          <w:b w:val="false"/>
          <w:bCs w:val="false"/>
          <w:sz w:val="19"/>
          <w:szCs w:val="19"/>
        </w:rPr>
        <w:t xml:space="preserve">→ axe temporel de tous les graphiques</w:t>
      </w:r>
    </w:p>
    <w:p>
      <w:pPr>
        <w:pStyle w:val="ListParagraph"/>
        <w:numPr>
          <w:ilvl w:val="0"/>
          <w:numId w:val="2"/>
        </w:numPr>
        <w:spacing w:after="40" w:before="40"/>
      </w:pPr>
      <w:r>
        <w:rPr>
          <w:rFonts w:ascii="Arial" w:cs="Arial" w:eastAsia="Arial" w:hAnsi="Arial"/>
          <w:b/>
          <w:bCs/>
          <w:sz w:val="19"/>
          <w:szCs w:val="19"/>
        </w:rPr>
        <w:t xml:space="preserve">valeur_fonciere </w:t>
      </w:r>
      <w:r>
        <w:rPr>
          <w:rFonts w:ascii="Arial" w:cs="Arial" w:eastAsia="Arial" w:hAnsi="Arial"/>
          <w:b w:val="false"/>
          <w:bCs w:val="false"/>
          <w:sz w:val="19"/>
          <w:szCs w:val="19"/>
        </w:rPr>
        <w:t xml:space="preserve">→ prix de vente en euros</w:t>
      </w:r>
    </w:p>
    <w:p>
      <w:pPr>
        <w:pStyle w:val="ListParagraph"/>
        <w:numPr>
          <w:ilvl w:val="0"/>
          <w:numId w:val="2"/>
        </w:numPr>
        <w:spacing w:after="40" w:before="40"/>
      </w:pPr>
      <w:r>
        <w:rPr>
          <w:rFonts w:ascii="Arial" w:cs="Arial" w:eastAsia="Arial" w:hAnsi="Arial"/>
          <w:b/>
          <w:bCs/>
          <w:sz w:val="19"/>
          <w:szCs w:val="19"/>
        </w:rPr>
        <w:t xml:space="preserve">surface_reelle_bati </w:t>
      </w:r>
      <w:r>
        <w:rPr>
          <w:rFonts w:ascii="Arial" w:cs="Arial" w:eastAsia="Arial" w:hAnsi="Arial"/>
          <w:b w:val="false"/>
          <w:bCs w:val="false"/>
          <w:sz w:val="19"/>
          <w:szCs w:val="19"/>
        </w:rPr>
        <w:t xml:space="preserve">→ surface en m2 pour le calcul du prix au m2</w:t>
      </w:r>
    </w:p>
    <w:p>
      <w:pPr>
        <w:pStyle w:val="ListParagraph"/>
        <w:numPr>
          <w:ilvl w:val="0"/>
          <w:numId w:val="2"/>
        </w:numPr>
        <w:spacing w:after="40" w:before="40"/>
      </w:pPr>
      <w:r>
        <w:rPr>
          <w:rFonts w:ascii="Arial" w:cs="Arial" w:eastAsia="Arial" w:hAnsi="Arial"/>
          <w:b/>
          <w:bCs/>
          <w:sz w:val="19"/>
          <w:szCs w:val="19"/>
        </w:rPr>
        <w:t xml:space="preserve">type_local </w:t>
      </w:r>
      <w:r>
        <w:rPr>
          <w:rFonts w:ascii="Arial" w:cs="Arial" w:eastAsia="Arial" w:hAnsi="Arial"/>
          <w:b w:val="false"/>
          <w:bCs w:val="false"/>
          <w:sz w:val="19"/>
          <w:szCs w:val="19"/>
        </w:rPr>
        <w:t xml:space="preserve">→ catégorie du bien (Maison, Appartement, Local)</w:t>
      </w:r>
    </w:p>
    <w:p>
      <w:pPr>
        <w:pStyle w:val="ListParagraph"/>
        <w:numPr>
          <w:ilvl w:val="0"/>
          <w:numId w:val="2"/>
        </w:numPr>
        <w:spacing w:after="40" w:before="40"/>
      </w:pPr>
      <w:r>
        <w:rPr>
          <w:rFonts w:ascii="Arial" w:cs="Arial" w:eastAsia="Arial" w:hAnsi="Arial"/>
          <w:b/>
          <w:bCs/>
          <w:sz w:val="19"/>
          <w:szCs w:val="19"/>
        </w:rPr>
        <w:t xml:space="preserve">prix_m2 </w:t>
      </w:r>
      <w:r>
        <w:rPr>
          <w:rFonts w:ascii="Arial" w:cs="Arial" w:eastAsia="Arial" w:hAnsi="Arial"/>
          <w:b w:val="false"/>
          <w:bCs w:val="false"/>
          <w:sz w:val="19"/>
          <w:szCs w:val="19"/>
        </w:rPr>
        <w:t xml:space="preserve">→ colonne calculée dans Power Query : valeur_fonciere / surface_reelle_bati</w:t>
      </w:r>
    </w:p>
    <w:p>
      <w:pPr>
        <w:pStyle w:val="ListParagraph"/>
        <w:numPr>
          <w:ilvl w:val="0"/>
          <w:numId w:val="2"/>
        </w:numPr>
        <w:spacing w:after="40" w:before="40"/>
      </w:pPr>
      <w:r>
        <w:rPr>
          <w:rFonts w:ascii="Arial" w:cs="Arial" w:eastAsia="Arial" w:hAnsi="Arial"/>
          <w:b/>
          <w:bCs/>
          <w:sz w:val="19"/>
          <w:szCs w:val="19"/>
        </w:rPr>
        <w:t xml:space="preserve">latitude / longitude </w:t>
      </w:r>
      <w:r>
        <w:rPr>
          <w:rFonts w:ascii="Arial" w:cs="Arial" w:eastAsia="Arial" w:hAnsi="Arial"/>
          <w:b w:val="false"/>
          <w:bCs w:val="false"/>
          <w:sz w:val="19"/>
          <w:szCs w:val="19"/>
        </w:rPr>
        <w:t xml:space="preserve">→ géolocalisation pour la carte interactive</w:t>
      </w:r>
    </w:p>
    <w:p>
      <w:pPr>
        <w:spacing w:after="0" w:before="120"/>
      </w:pPr>
    </w:p>
    <w:p>
      <w:pPr>
        <w:spacing w:after="60" w:before="60"/>
        <w:jc w:val="left"/>
      </w:pPr>
      <w:r>
        <w:rPr>
          <w:rFonts w:ascii="Arial" w:cs="Arial" w:eastAsia="Arial" w:hAnsi="Arial"/>
          <w:b/>
          <w:bCs/>
          <w:i w:val="false"/>
          <w:iCs w:val="false"/>
          <w:color w:val="000000"/>
          <w:sz w:val="20"/>
          <w:szCs w:val="20"/>
        </w:rPr>
        <w:t xml:space="preserve">Table Communes — INSEE dep64 (jointure)</w:t>
      </w:r>
    </w:p>
    <w:p>
      <w:pPr>
        <w:spacing w:after="0" w:before="40"/>
      </w:pPr>
    </w:p>
    <w:p>
      <w:pPr>
        <w:pStyle w:val="ListParagraph"/>
        <w:numPr>
          <w:ilvl w:val="0"/>
          <w:numId w:val="2"/>
        </w:numPr>
        <w:spacing w:after="40" w:before="40"/>
      </w:pPr>
      <w:r>
        <w:rPr>
          <w:rFonts w:ascii="Arial" w:cs="Arial" w:eastAsia="Arial" w:hAnsi="Arial"/>
          <w:b/>
          <w:bCs/>
          <w:sz w:val="19"/>
          <w:szCs w:val="19"/>
        </w:rPr>
        <w:t xml:space="preserve">code_insee </w:t>
      </w:r>
      <w:r>
        <w:rPr>
          <w:rFonts w:ascii="Arial" w:cs="Arial" w:eastAsia="Arial" w:hAnsi="Arial"/>
          <w:b w:val="false"/>
          <w:bCs w:val="false"/>
          <w:sz w:val="19"/>
          <w:szCs w:val="19"/>
        </w:rPr>
        <w:t xml:space="preserve">→ clé primaire (5 caractères : '64' + code commune sur 3 chiffres)</w:t>
      </w:r>
    </w:p>
    <w:p>
      <w:pPr>
        <w:pStyle w:val="ListParagraph"/>
        <w:numPr>
          <w:ilvl w:val="0"/>
          <w:numId w:val="2"/>
        </w:numPr>
        <w:spacing w:after="40" w:before="40"/>
      </w:pPr>
      <w:r>
        <w:rPr>
          <w:rFonts w:ascii="Arial" w:cs="Arial" w:eastAsia="Arial" w:hAnsi="Arial"/>
          <w:b/>
          <w:bCs/>
          <w:sz w:val="19"/>
          <w:szCs w:val="19"/>
        </w:rPr>
        <w:t xml:space="preserve">Nom de la commune </w:t>
      </w:r>
      <w:r>
        <w:rPr>
          <w:rFonts w:ascii="Arial" w:cs="Arial" w:eastAsia="Arial" w:hAnsi="Arial"/>
          <w:b w:val="false"/>
          <w:bCs w:val="false"/>
          <w:sz w:val="19"/>
          <w:szCs w:val="19"/>
        </w:rPr>
        <w:t xml:space="preserve">→ libellé commune pour les visuels géographiques</w:t>
      </w:r>
    </w:p>
    <w:p>
      <w:pPr>
        <w:pStyle w:val="ListParagraph"/>
        <w:numPr>
          <w:ilvl w:val="0"/>
          <w:numId w:val="2"/>
        </w:numPr>
        <w:spacing w:after="40" w:before="40"/>
      </w:pPr>
      <w:r>
        <w:rPr>
          <w:rFonts w:ascii="Arial" w:cs="Arial" w:eastAsia="Arial" w:hAnsi="Arial"/>
          <w:b/>
          <w:bCs/>
          <w:sz w:val="19"/>
          <w:szCs w:val="19"/>
        </w:rPr>
        <w:t xml:space="preserve">Population municipale </w:t>
      </w:r>
      <w:r>
        <w:rPr>
          <w:rFonts w:ascii="Arial" w:cs="Arial" w:eastAsia="Arial" w:hAnsi="Arial"/>
          <w:b w:val="false"/>
          <w:bCs w:val="false"/>
          <w:sz w:val="19"/>
          <w:szCs w:val="19"/>
        </w:rPr>
        <w:t xml:space="preserve">→ indicateur socio-démographique par commune</w:t>
      </w:r>
    </w:p>
    <w:p>
      <w:pPr>
        <w:spacing w:after="0" w:before="120"/>
      </w:pPr>
    </w:p>
    <w:p>
      <w:pPr>
        <w:spacing w:after="60" w:before="60"/>
        <w:jc w:val="left"/>
      </w:pPr>
      <w:r>
        <w:rPr>
          <w:rFonts w:ascii="Arial" w:cs="Arial" w:eastAsia="Arial" w:hAnsi="Arial"/>
          <w:b/>
          <w:bCs/>
          <w:i w:val="false"/>
          <w:iCs w:val="false"/>
          <w:color w:val="000000"/>
          <w:sz w:val="20"/>
          <w:szCs w:val="20"/>
        </w:rPr>
        <w:t xml:space="preserve">Table FILO2021_DISP_COM — INSEE Filosofi (jointure)</w:t>
      </w:r>
    </w:p>
    <w:p>
      <w:pPr>
        <w:spacing w:after="0" w:before="40"/>
      </w:pPr>
    </w:p>
    <w:p>
      <w:pPr>
        <w:pStyle w:val="ListParagraph"/>
        <w:numPr>
          <w:ilvl w:val="0"/>
          <w:numId w:val="2"/>
        </w:numPr>
        <w:spacing w:after="40" w:before="40"/>
      </w:pPr>
      <w:r>
        <w:rPr>
          <w:rFonts w:ascii="Arial" w:cs="Arial" w:eastAsia="Arial" w:hAnsi="Arial"/>
          <w:b/>
          <w:bCs/>
          <w:sz w:val="19"/>
          <w:szCs w:val="19"/>
        </w:rPr>
        <w:t xml:space="preserve">CODGEO </w:t>
      </w:r>
      <w:r>
        <w:rPr>
          <w:rFonts w:ascii="Arial" w:cs="Arial" w:eastAsia="Arial" w:hAnsi="Arial"/>
          <w:b w:val="false"/>
          <w:bCs w:val="false"/>
          <w:sz w:val="19"/>
          <w:szCs w:val="19"/>
        </w:rPr>
        <w:t xml:space="preserve">→ clé primaire (code INSEE 5 caractères — zéro initial préservé)</w:t>
      </w:r>
    </w:p>
    <w:p>
      <w:pPr>
        <w:pStyle w:val="ListParagraph"/>
        <w:numPr>
          <w:ilvl w:val="0"/>
          <w:numId w:val="2"/>
        </w:numPr>
        <w:spacing w:after="40" w:before="40"/>
      </w:pPr>
      <w:r>
        <w:rPr>
          <w:rFonts w:ascii="Arial" w:cs="Arial" w:eastAsia="Arial" w:hAnsi="Arial"/>
          <w:b/>
          <w:bCs/>
          <w:sz w:val="19"/>
          <w:szCs w:val="19"/>
        </w:rPr>
        <w:t xml:space="preserve">Q221 </w:t>
      </w:r>
      <w:r>
        <w:rPr>
          <w:rFonts w:ascii="Arial" w:cs="Arial" w:eastAsia="Arial" w:hAnsi="Arial"/>
          <w:b w:val="false"/>
          <w:bCs w:val="false"/>
          <w:sz w:val="19"/>
          <w:szCs w:val="19"/>
        </w:rPr>
        <w:t xml:space="preserve">→ revenu médian disponible 2021 par commune (renommé revenu_median dans Power BI)</w:t>
      </w:r>
    </w:p>
    <w:p>
      <w:pPr>
        <w:pStyle w:val="ListParagraph"/>
        <w:numPr>
          <w:ilvl w:val="0"/>
          <w:numId w:val="2"/>
        </w:numPr>
        <w:spacing w:after="40" w:before="40"/>
      </w:pPr>
      <w:r>
        <w:rPr>
          <w:rFonts w:ascii="Arial" w:cs="Arial" w:eastAsia="Arial" w:hAnsi="Arial"/>
          <w:b/>
          <w:bCs/>
          <w:sz w:val="19"/>
          <w:szCs w:val="19"/>
        </w:rPr>
        <w:t xml:space="preserve">Valeurs 's' </w:t>
      </w:r>
      <w:r>
        <w:rPr>
          <w:rFonts w:ascii="Arial" w:cs="Arial" w:eastAsia="Arial" w:hAnsi="Arial"/>
          <w:b w:val="false"/>
          <w:bCs w:val="false"/>
          <w:sz w:val="19"/>
          <w:szCs w:val="19"/>
        </w:rPr>
        <w:t xml:space="preserve">→ secret statistique INSEE (communes &lt; seuil de diffusion) — remplacées par null</w:t>
      </w:r>
    </w:p>
    <w:p>
      <w:pPr>
        <w:spacing w:after="0" w:before="160"/>
      </w:pPr>
    </w:p>
    <w:p>
      <w:pPr>
        <w:pStyle w:val="Heading2"/>
        <w:spacing w:after="100" w:before="200"/>
      </w:pPr>
      <w:r>
        <w:rPr>
          <w:rFonts w:ascii="Arial" w:cs="Arial" w:eastAsia="Arial" w:hAnsi="Arial"/>
          <w:b/>
          <w:bCs/>
          <w:color w:val="2E4B7B"/>
          <w:sz w:val="24"/>
          <w:szCs w:val="24"/>
        </w:rPr>
        <w:t xml:space="preserve">2.3 Modèle de données — Jointures</w:t>
      </w:r>
    </w:p>
    <w:p>
      <w:pPr>
        <w:spacing w:after="60" w:before="60"/>
        <w:jc w:val="left"/>
      </w:pPr>
      <w:r>
        <w:rPr>
          <w:rFonts w:ascii="Arial" w:cs="Arial" w:eastAsia="Arial" w:hAnsi="Arial"/>
          <w:b w:val="false"/>
          <w:bCs w:val="false"/>
          <w:i w:val="false"/>
          <w:iCs w:val="false"/>
          <w:color w:val="000000"/>
          <w:sz w:val="19"/>
          <w:szCs w:val="19"/>
        </w:rPr>
        <w:t xml:space="preserve">Le modèle suit une architecture centrée sur la table dvf (faits) enrichie par deux tables de dimension via jointures externes gauches sur le code commune.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26"/>
      </w:tblGrid>
      <w:tr>
        <w:tc>
          <w:tcPr>
            <w:tcW w:type="dxa" w:w="22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Table</w:t>
            </w:r>
          </w:p>
        </w:tc>
        <w:tc>
          <w:tcPr>
            <w:tcW w:type="dxa" w:w="20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Clé primaire</w:t>
            </w:r>
          </w:p>
        </w:tc>
        <w:tc>
          <w:tcPr>
            <w:tcW w:type="dxa" w:w="26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Clé étrangère dans dvf</w:t>
            </w:r>
          </w:p>
        </w:tc>
        <w:tc>
          <w:tcPr>
            <w:tcW w:type="dxa" w:w="22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 de jointure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dvf (faits)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code_commune (texte)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centrale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Communes — dep64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code_insee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code_insee (créée dans PQ)</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Externe gauche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FILO2021_DISP_COM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CODGEO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code_insee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Externe gauche</w:t>
            </w:r>
          </w:p>
        </w:tc>
      </w:tr>
    </w:tbl>
    <w:p>
      <w:pPr>
        <w:spacing w:after="0" w:before="100"/>
      </w:pPr>
    </w:p>
    <w:p>
      <w:pPr>
        <w:spacing w:after="60" w:before="60"/>
        <w:jc w:val="left"/>
      </w:pPr>
      <w:r>
        <w:rPr>
          <w:rFonts w:ascii="Arial" w:cs="Arial" w:eastAsia="Arial" w:hAnsi="Arial"/>
          <w:b/>
          <w:bCs/>
          <w:i w:val="false"/>
          <w:iCs w:val="false"/>
          <w:color w:val="2E4B7B"/>
          <w:sz w:val="19"/>
          <w:szCs w:val="19"/>
        </w:rPr>
        <w:t xml:space="preserve">Point d'attention : harmonisation des clés de jointure</w:t>
      </w:r>
    </w:p>
    <w:p>
      <w:pPr>
        <w:spacing w:after="60" w:before="60"/>
        <w:jc w:val="left"/>
      </w:pPr>
      <w:r>
        <w:rPr>
          <w:rFonts w:ascii="Arial" w:cs="Arial" w:eastAsia="Arial" w:hAnsi="Arial"/>
          <w:b w:val="false"/>
          <w:bCs w:val="false"/>
          <w:i/>
          <w:iCs/>
          <w:color w:val="000000"/>
          <w:sz w:val="19"/>
          <w:szCs w:val="19"/>
        </w:rPr>
        <w:t xml:space="preserve">Dans DVF, le code commune est stocké en nombre entier (ex: 64445). Dans les tables INSEE, il est en texte avec zéro initial (ex: '64001'). Une colonne code_insee a été créée dans Power Query via Text.From([code_commune]) pour homogénéiser les types avant la jointure.</w:t>
      </w:r>
    </w:p>
    <w:p>
      <w:pPr>
        <w:spacing w:after="0" w:before="160"/>
      </w:pPr>
    </w:p>
    <w:p>
      <w:pPr>
        <w:pStyle w:val="Heading1"/>
        <w:spacing w:after="140" w:before="280"/>
      </w:pPr>
      <w:r>
        <w:rPr>
          <w:rFonts w:ascii="Arial" w:cs="Arial" w:eastAsia="Arial" w:hAnsi="Arial"/>
          <w:b/>
          <w:bCs/>
          <w:color w:val="2E4B7B"/>
          <w:sz w:val="30"/>
          <w:szCs w:val="30"/>
        </w:rPr>
        <w:t xml:space="preserve">3. Traitements réalisés avant et pendant l'import</w:t>
      </w:r>
    </w:p>
    <w:p>
      <w:pPr>
        <w:pStyle w:val="Heading2"/>
        <w:spacing w:after="100" w:before="200"/>
      </w:pPr>
      <w:r>
        <w:rPr>
          <w:rFonts w:ascii="Arial" w:cs="Arial" w:eastAsia="Arial" w:hAnsi="Arial"/>
          <w:b/>
          <w:bCs/>
          <w:color w:val="2E4B7B"/>
          <w:sz w:val="24"/>
          <w:szCs w:val="24"/>
        </w:rPr>
        <w:t xml:space="preserve">3.1 Traitements dans Power Query</w:t>
      </w:r>
    </w:p>
    <w:p>
      <w:pPr>
        <w:spacing w:after="60" w:before="60"/>
        <w:jc w:val="left"/>
      </w:pPr>
      <w:r>
        <w:rPr>
          <w:rFonts w:ascii="Arial" w:cs="Arial" w:eastAsia="Arial" w:hAnsi="Arial"/>
          <w:b/>
          <w:bCs/>
          <w:i w:val="false"/>
          <w:iCs w:val="false"/>
          <w:color w:val="000000"/>
          <w:sz w:val="20"/>
          <w:szCs w:val="20"/>
        </w:rPr>
        <w:t xml:space="preserve">dvf.csv — Nettoyage et structuration</w:t>
      </w:r>
    </w:p>
    <w:p>
      <w:pPr>
        <w:spacing w:after="0" w:before="40"/>
      </w:pPr>
    </w:p>
    <w:p>
      <w:pPr>
        <w:pStyle w:val="ListParagraph"/>
        <w:numPr>
          <w:ilvl w:val="0"/>
          <w:numId w:val="2"/>
        </w:numPr>
        <w:spacing w:after="40" w:before="40"/>
      </w:pPr>
      <w:r>
        <w:rPr>
          <w:rFonts w:ascii="Arial" w:cs="Arial" w:eastAsia="Arial" w:hAnsi="Arial"/>
          <w:b/>
          <w:bCs/>
          <w:sz w:val="19"/>
          <w:szCs w:val="19"/>
        </w:rPr>
        <w:t xml:space="preserve">Suppression des 27 colonnes non pertinentes </w:t>
      </w:r>
      <w:r>
        <w:rPr>
          <w:rFonts w:ascii="Arial" w:cs="Arial" w:eastAsia="Arial" w:hAnsi="Arial"/>
          <w:b w:val="false"/>
          <w:bCs w:val="false"/>
          <w:sz w:val="19"/>
          <w:szCs w:val="19"/>
        </w:rPr>
        <w:t xml:space="preserve">(lots, références cadastrales, codes nature culture...)</w:t>
      </w:r>
    </w:p>
    <w:p>
      <w:pPr>
        <w:pStyle w:val="ListParagraph"/>
        <w:numPr>
          <w:ilvl w:val="0"/>
          <w:numId w:val="2"/>
        </w:numPr>
        <w:spacing w:after="40" w:before="40"/>
      </w:pPr>
      <w:r>
        <w:rPr>
          <w:rFonts w:ascii="Arial" w:cs="Arial" w:eastAsia="Arial" w:hAnsi="Arial"/>
          <w:b/>
          <w:bCs/>
          <w:sz w:val="19"/>
          <w:szCs w:val="19"/>
        </w:rPr>
        <w:t xml:space="preserve">Suppression des doublons </w:t>
      </w:r>
      <w:r>
        <w:rPr>
          <w:rFonts w:ascii="Arial" w:cs="Arial" w:eastAsia="Arial" w:hAnsi="Arial"/>
          <w:b w:val="false"/>
          <w:bCs w:val="false"/>
          <w:sz w:val="19"/>
          <w:szCs w:val="19"/>
        </w:rPr>
        <w:t xml:space="preserve">sur id_mutation</w:t>
      </w:r>
    </w:p>
    <w:p>
      <w:pPr>
        <w:pStyle w:val="ListParagraph"/>
        <w:numPr>
          <w:ilvl w:val="0"/>
          <w:numId w:val="2"/>
        </w:numPr>
        <w:spacing w:after="40" w:before="40"/>
      </w:pPr>
      <w:r>
        <w:rPr>
          <w:rFonts w:ascii="Arial" w:cs="Arial" w:eastAsia="Arial" w:hAnsi="Arial"/>
          <w:b w:val="false"/>
          <w:bCs w:val="false"/>
          <w:sz w:val="19"/>
          <w:szCs w:val="19"/>
        </w:rPr>
        <w:t xml:space="preserve">Suppression des lignes vides et erreurs</w:t>
      </w:r>
    </w:p>
    <w:p>
      <w:pPr>
        <w:pStyle w:val="ListParagraph"/>
        <w:numPr>
          <w:ilvl w:val="0"/>
          <w:numId w:val="2"/>
        </w:numPr>
        <w:spacing w:after="40" w:before="40"/>
      </w:pPr>
      <w:r>
        <w:rPr>
          <w:rFonts w:ascii="Arial" w:cs="Arial" w:eastAsia="Arial" w:hAnsi="Arial"/>
          <w:b/>
          <w:bCs/>
          <w:sz w:val="19"/>
          <w:szCs w:val="19"/>
        </w:rPr>
        <w:t xml:space="preserve">Filtrage des valeurs nulles </w:t>
      </w:r>
      <w:r>
        <w:rPr>
          <w:rFonts w:ascii="Arial" w:cs="Arial" w:eastAsia="Arial" w:hAnsi="Arial"/>
          <w:b w:val="false"/>
          <w:bCs w:val="false"/>
          <w:sz w:val="19"/>
          <w:szCs w:val="19"/>
        </w:rPr>
        <w:t xml:space="preserve">sur valeur_fonciere, surface_reelle_bati, type_local</w:t>
      </w:r>
    </w:p>
    <w:p>
      <w:pPr>
        <w:pStyle w:val="ListParagraph"/>
        <w:numPr>
          <w:ilvl w:val="0"/>
          <w:numId w:val="2"/>
        </w:numPr>
        <w:spacing w:after="40" w:before="40"/>
      </w:pPr>
      <w:r>
        <w:rPr>
          <w:rFonts w:ascii="Arial" w:cs="Arial" w:eastAsia="Arial" w:hAnsi="Arial"/>
          <w:b/>
          <w:bCs/>
          <w:sz w:val="19"/>
          <w:szCs w:val="19"/>
        </w:rPr>
        <w:t xml:space="preserve">Conversion des types : </w:t>
      </w:r>
      <w:r>
        <w:rPr>
          <w:rFonts w:ascii="Arial" w:cs="Arial" w:eastAsia="Arial" w:hAnsi="Arial"/>
          <w:b w:val="false"/>
          <w:bCs w:val="false"/>
          <w:sz w:val="19"/>
          <w:szCs w:val="19"/>
        </w:rPr>
        <w:t xml:space="preserve">date (date_mutation), texte (code_commune), nombre (valeur_fonciere, surface_reelle_bati)</w:t>
      </w:r>
    </w:p>
    <w:p>
      <w:pPr>
        <w:pStyle w:val="ListParagraph"/>
        <w:numPr>
          <w:ilvl w:val="0"/>
          <w:numId w:val="2"/>
        </w:numPr>
        <w:spacing w:after="40" w:before="40"/>
      </w:pPr>
      <w:r>
        <w:rPr>
          <w:rFonts w:ascii="Arial" w:cs="Arial" w:eastAsia="Arial" w:hAnsi="Arial"/>
          <w:b/>
          <w:bCs/>
          <w:sz w:val="19"/>
          <w:szCs w:val="19"/>
        </w:rPr>
        <w:t xml:space="preserve">Correction des décimales : </w:t>
      </w:r>
      <w:r>
        <w:rPr>
          <w:rFonts w:ascii="Arial" w:cs="Arial" w:eastAsia="Arial" w:hAnsi="Arial"/>
          <w:b w:val="false"/>
          <w:bCs w:val="false"/>
          <w:sz w:val="19"/>
          <w:szCs w:val="19"/>
        </w:rPr>
        <w:t xml:space="preserve">remplacement des points par des virgules sur longitude, latitude, surface</w:t>
      </w:r>
    </w:p>
    <w:p>
      <w:pPr>
        <w:pStyle w:val="ListParagraph"/>
        <w:numPr>
          <w:ilvl w:val="0"/>
          <w:numId w:val="2"/>
        </w:numPr>
        <w:spacing w:after="40" w:before="40"/>
      </w:pPr>
      <w:r>
        <w:rPr>
          <w:rFonts w:ascii="Arial" w:cs="Arial" w:eastAsia="Arial" w:hAnsi="Arial"/>
          <w:b/>
          <w:bCs/>
          <w:sz w:val="19"/>
          <w:szCs w:val="19"/>
        </w:rPr>
        <w:t xml:space="preserve">Colonne calculée prix_m2 : </w:t>
      </w:r>
      <w:r>
        <w:rPr>
          <w:rFonts w:ascii="Arial" w:cs="Arial" w:eastAsia="Arial" w:hAnsi="Arial"/>
          <w:b w:val="false"/>
          <w:bCs w:val="false"/>
          <w:sz w:val="19"/>
          <w:szCs w:val="19"/>
        </w:rPr>
        <w:t xml:space="preserve">= valeur_fonciere / surface_reelle_bati, arrondie à 2 décimales</w:t>
      </w:r>
    </w:p>
    <w:p>
      <w:pPr>
        <w:pStyle w:val="ListParagraph"/>
        <w:numPr>
          <w:ilvl w:val="0"/>
          <w:numId w:val="2"/>
        </w:numPr>
        <w:spacing w:after="40" w:before="40"/>
      </w:pPr>
      <w:r>
        <w:rPr>
          <w:rFonts w:ascii="Arial" w:cs="Arial" w:eastAsia="Arial" w:hAnsi="Arial"/>
          <w:b/>
          <w:bCs/>
          <w:sz w:val="19"/>
          <w:szCs w:val="19"/>
        </w:rPr>
        <w:t xml:space="preserve">Colonne code_insee : </w:t>
      </w:r>
      <w:r>
        <w:rPr>
          <w:rFonts w:ascii="Arial" w:cs="Arial" w:eastAsia="Arial" w:hAnsi="Arial"/>
          <w:b w:val="false"/>
          <w:bCs w:val="false"/>
          <w:sz w:val="19"/>
          <w:szCs w:val="19"/>
        </w:rPr>
        <w:t xml:space="preserve">= Text.From([code_commune]) pour la jointure INSEE</w:t>
      </w:r>
    </w:p>
    <w:p>
      <w:pPr>
        <w:spacing w:after="0" w:before="120"/>
      </w:pPr>
    </w:p>
    <w:p>
      <w:pPr>
        <w:spacing w:after="60" w:before="60"/>
        <w:jc w:val="left"/>
      </w:pPr>
      <w:r>
        <w:rPr>
          <w:rFonts w:ascii="Arial" w:cs="Arial" w:eastAsia="Arial" w:hAnsi="Arial"/>
          <w:b/>
          <w:bCs/>
          <w:i w:val="false"/>
          <w:iCs w:val="false"/>
          <w:color w:val="000000"/>
          <w:sz w:val="20"/>
          <w:szCs w:val="20"/>
        </w:rPr>
        <w:t xml:space="preserve">dep64.xlsx — Préparation de la table populations</w:t>
      </w:r>
    </w:p>
    <w:p>
      <w:pPr>
        <w:spacing w:after="0" w:before="40"/>
      </w:pPr>
    </w:p>
    <w:p>
      <w:pPr>
        <w:pStyle w:val="ListParagraph"/>
        <w:numPr>
          <w:ilvl w:val="0"/>
          <w:numId w:val="2"/>
        </w:numPr>
        <w:spacing w:after="40" w:before="40"/>
      </w:pPr>
      <w:r>
        <w:rPr>
          <w:rFonts w:ascii="Arial" w:cs="Arial" w:eastAsia="Arial" w:hAnsi="Arial"/>
          <w:b w:val="false"/>
          <w:bCs w:val="false"/>
          <w:sz w:val="19"/>
          <w:szCs w:val="19"/>
        </w:rPr>
        <w:t xml:space="preserve">Suppression des 7 premières lignes de métadonnées INSEE</w:t>
      </w:r>
    </w:p>
    <w:p>
      <w:pPr>
        <w:pStyle w:val="ListParagraph"/>
        <w:numPr>
          <w:ilvl w:val="0"/>
          <w:numId w:val="2"/>
        </w:numPr>
        <w:spacing w:after="40" w:before="40"/>
      </w:pPr>
      <w:r>
        <w:rPr>
          <w:rFonts w:ascii="Arial" w:cs="Arial" w:eastAsia="Arial" w:hAnsi="Arial"/>
          <w:b w:val="false"/>
          <w:bCs w:val="false"/>
          <w:sz w:val="19"/>
          <w:szCs w:val="19"/>
        </w:rPr>
        <w:t xml:space="preserve">Promotion de la ligne d'en-tête</w:t>
      </w:r>
    </w:p>
    <w:p>
      <w:pPr>
        <w:pStyle w:val="ListParagraph"/>
        <w:numPr>
          <w:ilvl w:val="0"/>
          <w:numId w:val="2"/>
        </w:numPr>
        <w:spacing w:after="40" w:before="40"/>
      </w:pPr>
      <w:r>
        <w:rPr>
          <w:rFonts w:ascii="Arial" w:cs="Arial" w:eastAsia="Arial" w:hAnsi="Arial"/>
          <w:b/>
          <w:bCs/>
          <w:sz w:val="19"/>
          <w:szCs w:val="19"/>
        </w:rPr>
        <w:t xml:space="preserve">Sélection des colonnes utiles : </w:t>
      </w:r>
      <w:r>
        <w:rPr>
          <w:rFonts w:ascii="Arial" w:cs="Arial" w:eastAsia="Arial" w:hAnsi="Arial"/>
          <w:b w:val="false"/>
          <w:bCs w:val="false"/>
          <w:sz w:val="19"/>
          <w:szCs w:val="19"/>
        </w:rPr>
        <w:t xml:space="preserve">Code département, Code commune, Nom de la commune, Population municipale</w:t>
      </w:r>
    </w:p>
    <w:p>
      <w:pPr>
        <w:pStyle w:val="ListParagraph"/>
        <w:numPr>
          <w:ilvl w:val="0"/>
          <w:numId w:val="2"/>
        </w:numPr>
        <w:spacing w:after="40" w:before="40"/>
      </w:pPr>
      <w:r>
        <w:rPr>
          <w:rFonts w:ascii="Arial" w:cs="Arial" w:eastAsia="Arial" w:hAnsi="Arial"/>
          <w:b/>
          <w:bCs/>
          <w:sz w:val="19"/>
          <w:szCs w:val="19"/>
        </w:rPr>
        <w:t xml:space="preserve">Forçage des types : </w:t>
      </w:r>
      <w:r>
        <w:rPr>
          <w:rFonts w:ascii="Arial" w:cs="Arial" w:eastAsia="Arial" w:hAnsi="Arial"/>
          <w:b w:val="false"/>
          <w:bCs w:val="false"/>
          <w:sz w:val="19"/>
          <w:szCs w:val="19"/>
        </w:rPr>
        <w:t xml:space="preserve">Code département et Code commune en texte (préservation des zéros initiaux)</w:t>
      </w:r>
    </w:p>
    <w:p>
      <w:pPr>
        <w:pStyle w:val="ListParagraph"/>
        <w:numPr>
          <w:ilvl w:val="0"/>
          <w:numId w:val="2"/>
        </w:numPr>
        <w:spacing w:after="40" w:before="40"/>
      </w:pPr>
      <w:r>
        <w:rPr>
          <w:rFonts w:ascii="Arial" w:cs="Arial" w:eastAsia="Arial" w:hAnsi="Arial"/>
          <w:b/>
          <w:bCs/>
          <w:sz w:val="19"/>
          <w:szCs w:val="19"/>
        </w:rPr>
        <w:t xml:space="preserve">Construction du code_insee : </w:t>
      </w:r>
      <w:r>
        <w:rPr>
          <w:rFonts w:ascii="Arial" w:cs="Arial" w:eastAsia="Arial" w:hAnsi="Arial"/>
          <w:b w:val="false"/>
          <w:bCs w:val="false"/>
          <w:sz w:val="19"/>
          <w:szCs w:val="19"/>
        </w:rPr>
        <w:t xml:space="preserve">Text.PadStart([Code département], 2, '0') &amp; Text.PadStart([Code commune], 3, '0')</w:t>
      </w:r>
    </w:p>
    <w:p>
      <w:pPr>
        <w:spacing w:after="0" w:before="120"/>
      </w:pPr>
    </w:p>
    <w:p>
      <w:pPr>
        <w:spacing w:after="60" w:before="60"/>
        <w:jc w:val="left"/>
      </w:pPr>
      <w:r>
        <w:rPr>
          <w:rFonts w:ascii="Arial" w:cs="Arial" w:eastAsia="Arial" w:hAnsi="Arial"/>
          <w:b/>
          <w:bCs/>
          <w:i w:val="false"/>
          <w:iCs w:val="false"/>
          <w:color w:val="000000"/>
          <w:sz w:val="20"/>
          <w:szCs w:val="20"/>
        </w:rPr>
        <w:t xml:space="preserve">FILO2021_DISP_COM.csv — Préparation des revenus</w:t>
      </w:r>
    </w:p>
    <w:p>
      <w:pPr>
        <w:spacing w:after="0" w:before="40"/>
      </w:pPr>
    </w:p>
    <w:p>
      <w:pPr>
        <w:pStyle w:val="ListParagraph"/>
        <w:numPr>
          <w:ilvl w:val="0"/>
          <w:numId w:val="2"/>
        </w:numPr>
        <w:spacing w:after="40" w:before="40"/>
      </w:pPr>
      <w:r>
        <w:rPr>
          <w:rFonts w:ascii="Arial" w:cs="Arial" w:eastAsia="Arial" w:hAnsi="Arial"/>
          <w:b/>
          <w:bCs/>
          <w:sz w:val="19"/>
          <w:szCs w:val="19"/>
        </w:rPr>
        <w:t xml:space="preserve">Sélection de 2 colonnes uniquement : </w:t>
      </w:r>
      <w:r>
        <w:rPr>
          <w:rFonts w:ascii="Arial" w:cs="Arial" w:eastAsia="Arial" w:hAnsi="Arial"/>
          <w:b w:val="false"/>
          <w:bCs w:val="false"/>
          <w:sz w:val="19"/>
          <w:szCs w:val="19"/>
        </w:rPr>
        <w:t xml:space="preserve">CODGEO et Q221 (sur 732 colonnes disponibles)</w:t>
      </w:r>
    </w:p>
    <w:p>
      <w:pPr>
        <w:pStyle w:val="ListParagraph"/>
        <w:numPr>
          <w:ilvl w:val="0"/>
          <w:numId w:val="2"/>
        </w:numPr>
        <w:spacing w:after="40" w:before="40"/>
      </w:pPr>
      <w:r>
        <w:rPr>
          <w:rFonts w:ascii="Arial" w:cs="Arial" w:eastAsia="Arial" w:hAnsi="Arial"/>
          <w:b/>
          <w:bCs/>
          <w:sz w:val="19"/>
          <w:szCs w:val="19"/>
        </w:rPr>
        <w:t xml:space="preserve">Forçage CODGEO en texte : </w:t>
      </w:r>
      <w:r>
        <w:rPr>
          <w:rFonts w:ascii="Arial" w:cs="Arial" w:eastAsia="Arial" w:hAnsi="Arial"/>
          <w:b w:val="false"/>
          <w:bCs w:val="false"/>
          <w:sz w:val="19"/>
          <w:szCs w:val="19"/>
        </w:rPr>
        <w:t xml:space="preserve">Text.PadStart(_, 5, '0') pour restaurer les zéros initiaux</w:t>
      </w:r>
    </w:p>
    <w:p>
      <w:pPr>
        <w:pStyle w:val="ListParagraph"/>
        <w:numPr>
          <w:ilvl w:val="0"/>
          <w:numId w:val="2"/>
        </w:numPr>
        <w:spacing w:after="40" w:before="40"/>
      </w:pPr>
      <w:r>
        <w:rPr>
          <w:rFonts w:ascii="Arial" w:cs="Arial" w:eastAsia="Arial" w:hAnsi="Arial"/>
          <w:b/>
          <w:bCs/>
          <w:sz w:val="19"/>
          <w:szCs w:val="19"/>
        </w:rPr>
        <w:t xml:space="preserve">Filtrage sur département 64 : </w:t>
      </w:r>
      <w:r>
        <w:rPr>
          <w:rFonts w:ascii="Arial" w:cs="Arial" w:eastAsia="Arial" w:hAnsi="Arial"/>
          <w:b w:val="false"/>
          <w:bCs w:val="false"/>
          <w:sz w:val="19"/>
          <w:szCs w:val="19"/>
        </w:rPr>
        <w:t xml:space="preserve">Text.StartsWith([CODGEO], '64') — 546 communes retenues</w:t>
      </w:r>
    </w:p>
    <w:p>
      <w:pPr>
        <w:pStyle w:val="ListParagraph"/>
        <w:numPr>
          <w:ilvl w:val="0"/>
          <w:numId w:val="2"/>
        </w:numPr>
        <w:spacing w:after="40" w:before="40"/>
      </w:pPr>
      <w:r>
        <w:rPr>
          <w:rFonts w:ascii="Arial" w:cs="Arial" w:eastAsia="Arial" w:hAnsi="Arial"/>
          <w:b/>
          <w:bCs/>
          <w:sz w:val="19"/>
          <w:szCs w:val="19"/>
        </w:rPr>
        <w:t xml:space="preserve">Remplacement des valeurs 's' par null : </w:t>
      </w:r>
      <w:r>
        <w:rPr>
          <w:rFonts w:ascii="Arial" w:cs="Arial" w:eastAsia="Arial" w:hAnsi="Arial"/>
          <w:b w:val="false"/>
          <w:bCs w:val="false"/>
          <w:sz w:val="19"/>
          <w:szCs w:val="19"/>
        </w:rPr>
        <w:t xml:space="preserve">secret statistique INSEE (communes trop petites)</w:t>
      </w:r>
    </w:p>
    <w:p>
      <w:pPr>
        <w:pStyle w:val="ListParagraph"/>
        <w:numPr>
          <w:ilvl w:val="0"/>
          <w:numId w:val="2"/>
        </w:numPr>
        <w:spacing w:after="40" w:before="40"/>
      </w:pPr>
      <w:r>
        <w:rPr>
          <w:rFonts w:ascii="Arial" w:cs="Arial" w:eastAsia="Arial" w:hAnsi="Arial"/>
          <w:b w:val="false"/>
          <w:bCs w:val="false"/>
          <w:sz w:val="19"/>
          <w:szCs w:val="19"/>
        </w:rPr>
        <w:t xml:space="preserve">Conversion Q221 en nombre décimal</w:t>
      </w:r>
    </w:p>
    <w:p>
      <w:pPr>
        <w:spacing w:after="0" w:before="160"/>
      </w:pPr>
    </w:p>
    <w:p>
      <w:pPr>
        <w:pStyle w:val="Heading2"/>
        <w:spacing w:after="100" w:before="200"/>
      </w:pPr>
      <w:r>
        <w:rPr>
          <w:rFonts w:ascii="Arial" w:cs="Arial" w:eastAsia="Arial" w:hAnsi="Arial"/>
          <w:b/>
          <w:bCs/>
          <w:color w:val="2E4B7B"/>
          <w:sz w:val="24"/>
          <w:szCs w:val="24"/>
        </w:rPr>
        <w:t xml:space="preserve">3.2 Mesures DAX créées</w:t>
      </w:r>
    </w:p>
    <w:p>
      <w:pPr>
        <w:spacing w:after="60" w:before="60"/>
        <w:jc w:val="left"/>
      </w:pPr>
      <w:r>
        <w:rPr>
          <w:rFonts w:ascii="Arial" w:cs="Arial" w:eastAsia="Arial" w:hAnsi="Arial"/>
          <w:b w:val="false"/>
          <w:bCs w:val="false"/>
          <w:i w:val="false"/>
          <w:iCs w:val="false"/>
          <w:color w:val="000000"/>
          <w:sz w:val="19"/>
          <w:szCs w:val="19"/>
        </w:rPr>
        <w:t xml:space="preserve">Les mesures suivantes ont été créées dans une table Mesures dédiée (bonne pratique) pour alimenter les visuels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Mesure</w:t>
            </w:r>
          </w:p>
        </w:tc>
        <w:tc>
          <w:tcPr>
            <w:tcW w:type="dxa" w:w="3200"/>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Formule DAX</w:t>
            </w:r>
          </w:p>
        </w:tc>
        <w:tc>
          <w:tcPr>
            <w:tcW w:type="dxa" w:w="3826"/>
            <w:tcBorders>
              <w:top w:val="single" w:color="CCCCCC" w:sz="1"/>
              <w:left w:val="single" w:color="CCCCCC" w:sz="1"/>
              <w:bottom w:val="single" w:color="CCCCCC" w:sz="1"/>
              <w:right w:val="single" w:color="CCCCCC" w:sz="1"/>
            </w:tcBorders>
            <w:shd w:fill="2E4B7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Utilisation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Nb 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COUNTROWS(dvf)</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KPI global — tous visuels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Prix Moyen M2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AVERAGE(dvf[prix_m2])</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KPI et courbe mensuelle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Mediane Prix M2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MEDIANX(dvf, dvf[prix_m2])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Pages 2 et 3 — robuste aux valeurs aberrantes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Valeur Totale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SUM(dvf[valeur_fonciere])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KPI valeur foncière totale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Latitude Moy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AVERAGE(dvf[latitude])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 géographique — centrage par commune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Longitude Moy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AVERAGE(dvf[longitude])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 géographique — centrage par commune</w:t>
            </w:r>
          </w:p>
        </w:tc>
      </w:tr>
    </w:tbl>
    <w:p>
      <w:pPr>
        <w:spacing w:after="0" w:before="160"/>
      </w:pPr>
    </w:p>
    <w:p>
      <w:pPr>
        <w:pStyle w:val="Heading1"/>
        <w:spacing w:after="140" w:before="280"/>
      </w:pPr>
      <w:r>
        <w:rPr>
          <w:rFonts w:ascii="Arial" w:cs="Arial" w:eastAsia="Arial" w:hAnsi="Arial"/>
          <w:b/>
          <w:bCs/>
          <w:color w:val="2E4B7B"/>
          <w:sz w:val="30"/>
          <w:szCs w:val="30"/>
        </w:rPr>
        <w:t xml:space="preserve">4. Observations et points d'attention</w:t>
      </w:r>
    </w:p>
    <w:p>
      <w:pPr>
        <w:spacing w:after="60" w:before="60"/>
        <w:jc w:val="left"/>
      </w:pPr>
      <w:r>
        <w:rPr>
          <w:rFonts w:ascii="Arial" w:cs="Arial" w:eastAsia="Arial" w:hAnsi="Arial"/>
          <w:b/>
          <w:bCs/>
          <w:i w:val="false"/>
          <w:iCs w:val="false"/>
          <w:color w:val="2E4B7B"/>
          <w:sz w:val="20"/>
          <w:szCs w:val="20"/>
        </w:rPr>
        <w:t xml:space="preserve">Choix de la médiane vs la moyenne</w:t>
      </w:r>
    </w:p>
    <w:p>
      <w:pPr>
        <w:spacing w:after="60" w:before="60"/>
        <w:jc w:val="left"/>
      </w:pPr>
      <w:r>
        <w:rPr>
          <w:rFonts w:ascii="Arial" w:cs="Arial" w:eastAsia="Arial" w:hAnsi="Arial"/>
          <w:b w:val="false"/>
          <w:bCs w:val="false"/>
          <w:i w:val="false"/>
          <w:iCs w:val="false"/>
          <w:color w:val="000000"/>
          <w:sz w:val="19"/>
          <w:szCs w:val="19"/>
        </w:rPr>
        <w:t xml:space="preserve">Pour l'analyse des prix immobiliers, la médiane a été préférée à la moyenne dans les pages 2 et 3. En effet, quelques transactions atypiques (biens de luxe, propriétés atypiques) peuvent fortement biaiser la moyenne et fausser la lecture des disparités communales. La médiane est plus représentative du marché réel et constitue la mesure de référence dans les analyses immobilières professionnelles.</w:t>
      </w:r>
    </w:p>
    <w:p>
      <w:pPr>
        <w:spacing w:after="0" w:before="100"/>
      </w:pPr>
    </w:p>
    <w:p>
      <w:pPr>
        <w:spacing w:after="60" w:before="60"/>
        <w:jc w:val="left"/>
      </w:pPr>
      <w:r>
        <w:rPr>
          <w:rFonts w:ascii="Arial" w:cs="Arial" w:eastAsia="Arial" w:hAnsi="Arial"/>
          <w:b/>
          <w:bCs/>
          <w:i w:val="false"/>
          <w:iCs w:val="false"/>
          <w:color w:val="2E4B7B"/>
          <w:sz w:val="20"/>
          <w:szCs w:val="20"/>
        </w:rPr>
        <w:t xml:space="preserve">Gestion du secret statistique INSEE (Filosofi)</w:t>
      </w:r>
    </w:p>
    <w:p>
      <w:pPr>
        <w:spacing w:after="60" w:before="60"/>
        <w:jc w:val="left"/>
      </w:pPr>
      <w:r>
        <w:rPr>
          <w:rFonts w:ascii="Arial" w:cs="Arial" w:eastAsia="Arial" w:hAnsi="Arial"/>
          <w:b w:val="false"/>
          <w:bCs w:val="false"/>
          <w:i w:val="false"/>
          <w:iCs w:val="false"/>
          <w:color w:val="000000"/>
          <w:sz w:val="19"/>
          <w:szCs w:val="19"/>
        </w:rPr>
        <w:t xml:space="preserve">Les communes de moins de 1 000 habitants voient leurs données de revenus masquées par l'INSEE (valeur 's'). Ces valeurs ont été remplacées par null dans Power Query. Sur les 546 communes du département 64, environ 30% présentent des données de revenus masquées, ce qui limite l'analyse de corrélation aux communes de taille suffisante.</w:t>
      </w:r>
    </w:p>
    <w:p>
      <w:pPr>
        <w:spacing w:after="0" w:before="100"/>
      </w:pPr>
    </w:p>
    <w:p>
      <w:pPr>
        <w:spacing w:after="60" w:before="60"/>
        <w:jc w:val="left"/>
      </w:pPr>
      <w:r>
        <w:rPr>
          <w:rFonts w:ascii="Arial" w:cs="Arial" w:eastAsia="Arial" w:hAnsi="Arial"/>
          <w:b/>
          <w:bCs/>
          <w:i w:val="false"/>
          <w:iCs w:val="false"/>
          <w:color w:val="2E4B7B"/>
          <w:sz w:val="20"/>
          <w:szCs w:val="20"/>
        </w:rPr>
        <w:t xml:space="preserve">Qualité des coordonnées géographiques</w:t>
      </w:r>
    </w:p>
    <w:p>
      <w:pPr>
        <w:spacing w:after="60" w:before="60"/>
        <w:jc w:val="left"/>
      </w:pPr>
      <w:r>
        <w:rPr>
          <w:rFonts w:ascii="Arial" w:cs="Arial" w:eastAsia="Arial" w:hAnsi="Arial"/>
          <w:b w:val="false"/>
          <w:bCs w:val="false"/>
          <w:i w:val="false"/>
          <w:iCs w:val="false"/>
          <w:color w:val="000000"/>
          <w:sz w:val="19"/>
          <w:szCs w:val="19"/>
        </w:rPr>
        <w:t xml:space="preserve">Les colonnes latitude et longitude du fichier DVF sont des coordonnées de parcelle, non de commune. Pour la carte interactive, les mesures Latitude Moy et Longitude Moy calculent le centroïde moyen des transactions par commune, ce qui offre une localisation suffisamment précise pour la visualisation à l'échelle départementale.</w:t>
      </w:r>
    </w:p>
    <w:p>
      <w:pPr>
        <w:spacing w:after="0" w:before="160"/>
      </w:pPr>
    </w:p>
    <w:p>
      <w:pPr>
        <w:pStyle w:val="Heading1"/>
        <w:spacing w:after="140" w:before="280"/>
      </w:pPr>
      <w:r>
        <w:rPr>
          <w:rFonts w:ascii="Arial" w:cs="Arial" w:eastAsia="Arial" w:hAnsi="Arial"/>
          <w:b/>
          <w:bCs/>
          <w:color w:val="2E4B7B"/>
          <w:sz w:val="30"/>
          <w:szCs w:val="30"/>
        </w:rPr>
        <w:t xml:space="preserve">5. Conclusion</w:t>
      </w:r>
    </w:p>
    <w:p>
      <w:pPr>
        <w:spacing w:after="60" w:before="60"/>
        <w:jc w:val="left"/>
      </w:pPr>
      <w:r>
        <w:rPr>
          <w:rFonts w:ascii="Arial" w:cs="Arial" w:eastAsia="Arial" w:hAnsi="Arial"/>
          <w:b w:val="false"/>
          <w:bCs w:val="false"/>
          <w:i w:val="false"/>
          <w:iCs w:val="false"/>
          <w:color w:val="000000"/>
          <w:sz w:val="19"/>
          <w:szCs w:val="19"/>
        </w:rPr>
        <w:t xml:space="preserve">Ce projet illustre une démarche complète de Business Intelligence appliquée à l'immobilier, depuis la collecte et le nettoyage des données jusqu'à la production de tableaux de bord décisionnels à destination de différents profils : acheteurs, investisseurs, collectivités territoriales.</w:t>
      </w:r>
    </w:p>
    <w:p>
      <w:pPr>
        <w:spacing w:after="0" w:before="80"/>
      </w:pPr>
    </w:p>
    <w:p>
      <w:pPr>
        <w:spacing w:after="60" w:before="60"/>
        <w:jc w:val="left"/>
      </w:pPr>
      <w:r>
        <w:rPr>
          <w:rFonts w:ascii="Arial" w:cs="Arial" w:eastAsia="Arial" w:hAnsi="Arial"/>
          <w:b w:val="false"/>
          <w:bCs w:val="false"/>
          <w:i w:val="false"/>
          <w:iCs w:val="false"/>
          <w:color w:val="000000"/>
          <w:sz w:val="19"/>
          <w:szCs w:val="19"/>
        </w:rPr>
        <w:t xml:space="preserve">Les principaux enseignements de l'analyse :</w:t>
      </w:r>
    </w:p>
    <w:p>
      <w:pPr>
        <w:spacing w:after="0" w:before="60"/>
      </w:pPr>
    </w:p>
    <w:p>
      <w:pPr>
        <w:pStyle w:val="ListParagraph"/>
        <w:numPr>
          <w:ilvl w:val="0"/>
          <w:numId w:val="2"/>
        </w:numPr>
        <w:spacing w:after="40" w:before="40"/>
      </w:pPr>
      <w:r>
        <w:rPr>
          <w:rFonts w:ascii="Arial" w:cs="Arial" w:eastAsia="Arial" w:hAnsi="Arial"/>
          <w:b w:val="false"/>
          <w:bCs w:val="false"/>
          <w:sz w:val="19"/>
          <w:szCs w:val="19"/>
        </w:rPr>
        <w:t xml:space="preserve">Le littoral (Biarritz, Anglet, Bayonne) affiche des prix au m2 nettement supérieurs à l'intérieur du département — un écart visible et quantifiable sur la carte interactive</w:t>
      </w:r>
    </w:p>
    <w:p>
      <w:pPr>
        <w:pStyle w:val="ListParagraph"/>
        <w:numPr>
          <w:ilvl w:val="0"/>
          <w:numId w:val="2"/>
        </w:numPr>
        <w:spacing w:after="40" w:before="40"/>
      </w:pPr>
      <w:r>
        <w:rPr>
          <w:rFonts w:ascii="Arial" w:cs="Arial" w:eastAsia="Arial" w:hAnsi="Arial"/>
          <w:b w:val="false"/>
          <w:bCs w:val="false"/>
          <w:sz w:val="19"/>
          <w:szCs w:val="19"/>
        </w:rPr>
        <w:t xml:space="preserve">Une corrélation positive est identifiable entre revenu médian et prix immobilier par commune, confirmant l'influence du profil socio-économique sur les prix</w:t>
      </w:r>
    </w:p>
    <w:p>
      <w:pPr>
        <w:pStyle w:val="ListParagraph"/>
        <w:numPr>
          <w:ilvl w:val="0"/>
          <w:numId w:val="2"/>
        </w:numPr>
        <w:spacing w:after="40" w:before="40"/>
      </w:pPr>
      <w:r>
        <w:rPr>
          <w:rFonts w:ascii="Arial" w:cs="Arial" w:eastAsia="Arial" w:hAnsi="Arial"/>
          <w:b w:val="false"/>
          <w:bCs w:val="false"/>
          <w:sz w:val="19"/>
          <w:szCs w:val="19"/>
        </w:rPr>
        <w:t xml:space="preserve">Le marché présente une saisonnalité marquée avec un pic d'activité au printemps et en été, visible sur la courbe mensuelle</w:t>
      </w:r>
    </w:p>
    <w:p>
      <w:pPr>
        <w:pStyle w:val="ListParagraph"/>
        <w:numPr>
          <w:ilvl w:val="0"/>
          <w:numId w:val="2"/>
        </w:numPr>
        <w:spacing w:after="40" w:before="40"/>
      </w:pPr>
      <w:r>
        <w:rPr>
          <w:rFonts w:ascii="Arial" w:cs="Arial" w:eastAsia="Arial" w:hAnsi="Arial"/>
          <w:b w:val="false"/>
          <w:bCs w:val="false"/>
          <w:sz w:val="19"/>
          <w:szCs w:val="19"/>
        </w:rPr>
        <w:t xml:space="preserve">Les maisons représentent la majorité des transactions, les appartements étant concentrés sur les pôles urbains (Pau, Bayonne)</w:t>
      </w:r>
    </w:p>
    <w:p>
      <w:pPr>
        <w:pStyle w:val="ListParagraph"/>
        <w:numPr>
          <w:ilvl w:val="0"/>
          <w:numId w:val="2"/>
        </w:numPr>
        <w:spacing w:after="40" w:before="40"/>
      </w:pPr>
      <w:r>
        <w:rPr>
          <w:rFonts w:ascii="Arial" w:cs="Arial" w:eastAsia="Arial" w:hAnsi="Arial"/>
          <w:b w:val="false"/>
          <w:bCs w:val="false"/>
          <w:sz w:val="19"/>
          <w:szCs w:val="19"/>
        </w:rPr>
        <w:t xml:space="preserve">Le pipeline ETL multi-sources (DVF + 2 tables INSEE) a nécessité une harmonisation rigoureuse des clés de jointure et des types de données</w:t>
      </w:r>
    </w:p>
    <w:p>
      <w:pPr>
        <w:spacing w:after="0" w:before="80"/>
      </w:pPr>
    </w:p>
    <w:p>
      <w:pPr>
        <w:spacing w:after="60" w:before="60"/>
        <w:jc w:val="left"/>
      </w:pPr>
      <w:r>
        <w:rPr>
          <w:rFonts w:ascii="Arial" w:cs="Arial" w:eastAsia="Arial" w:hAnsi="Arial"/>
          <w:b w:val="false"/>
          <w:bCs w:val="false"/>
          <w:i w:val="false"/>
          <w:iCs w:val="false"/>
          <w:color w:val="000000"/>
          <w:sz w:val="19"/>
          <w:szCs w:val="19"/>
        </w:rPr>
        <w:t xml:space="preserve">Les compétences mobilisées (Power Query M, jointures multi-sources INSEE, DAX avec MEDIANX, visualisation géographique, détection d'anomalies de données) sont directement transposables à des contextes professionnels en Data Analytics et Business Intelligence.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B7B" w:sz="4" w:space="1"/>
      </w:pBdr>
      <w:spacing w:after="140" w:before="280"/>
      <w:outlineLvl w:val="0"/>
    </w:pPr>
    <w:rPr>
      <w:rFonts w:ascii="Arial" w:cs="Arial" w:eastAsia="Arial" w:hAnsi="Arial"/>
      <w:b/>
      <w:bCs/>
      <w:color w:val="2E4B7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4B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2026-06-11T01:22:50.463Z</dcterms:created>
  <dcterms:modified xsi:type="dcterms:W3CDTF">2026-06-11T01:22:50.476Z</dcterms:modified>
</cp:coreProperties>
</file>

<file path=docProps/custom.xml><?xml version="1.0" encoding="utf-8"?>
<Properties xmlns="http://schemas.openxmlformats.org/officeDocument/2006/custom-properties" xmlns:vt="http://schemas.openxmlformats.org/officeDocument/2006/docPropsVTypes"/>
</file>