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Georgia" w:hAnsi="Georgia"/>
          <w:b/>
          <w:color w:val="0B1B33"/>
          <w:sz w:val="56"/>
        </w:rPr>
        <w:t>POLICY LENS</w:t>
      </w:r>
    </w:p>
    <w:p>
      <w:pPr>
        <w:spacing w:after="280"/>
      </w:pPr>
      <w:r>
        <w:rPr>
          <w:rFonts w:ascii="Segoe UI" w:hAnsi="Segoe UI"/>
          <w:color w:val="0E7C7B"/>
          <w:sz w:val="26"/>
        </w:rPr>
        <w:t>Verifiable, Grounded RAG for Indian Health Insurance Policy Wordings &amp; IRDAI Regulations</w:t>
      </w:r>
    </w:p>
    <w:tbl>
      <w:tblPr>
        <w:tblW w:type="auto" w:w="0"/>
        <w:jc w:val="center"/>
        <w:tblLook w:firstColumn="1" w:firstRow="1" w:lastColumn="0" w:lastRow="0" w:noHBand="0" w:noVBand="1" w:val="04A0"/>
      </w:tblPr>
      <w:tblGrid>
        <w:gridCol w:w="9792"/>
      </w:tblGrid>
      <w:tr>
        <w:tc>
          <w:tcPr>
            <w:tcW w:type="dxa" w:w="9792"/>
            <w:shd w:fill="E6F4F1"/>
            <w:tcMar>
              <w:top w:w="140" w:type="dxa"/>
              <w:bottom w:w="140" w:type="dxa"/>
              <w:left w:w="200" w:type="dxa"/>
              <w:right w:w="200" w:type="dxa"/>
            </w:tcMar>
          </w:tcPr>
          <w:p>
            <w:pPr>
              <w:spacing w:after="40"/>
            </w:pPr>
            <w:r>
              <w:rPr>
                <w:rFonts w:ascii="Segoe UI" w:hAnsi="Segoe UI"/>
                <w:b/>
                <w:sz w:val="19"/>
              </w:rPr>
              <w:t xml:space="preserve">Hack Hour Deliverable: </w:t>
            </w:r>
            <w:r>
              <w:rPr>
                <w:sz w:val="19"/>
              </w:rPr>
              <w:t>Global Academy of Technology — "From Text to Insight: Ask Your Documents"</w:t>
              <w:br/>
            </w:r>
            <w:r>
              <w:rPr>
                <w:rFonts w:ascii="Segoe UI" w:hAnsi="Segoe UI"/>
                <w:b/>
                <w:sz w:val="19"/>
              </w:rPr>
              <w:t xml:space="preserve">Target Persona: </w:t>
            </w:r>
            <w:r>
              <w:rPr>
                <w:sz w:val="19"/>
              </w:rPr>
              <w:t>Ravi, a first-time policyholder in India navigating hospitalisation coverage, waiting periods, sub-limits, claim rejections, and IRDAI Ombudsman rights.</w:t>
              <w:br/>
            </w:r>
            <w:r>
              <w:rPr>
                <w:rFonts w:ascii="Segoe UI" w:hAnsi="Segoe UI"/>
                <w:b/>
                <w:sz w:val="19"/>
              </w:rPr>
              <w:t xml:space="preserve">Core Architecture: </w:t>
            </w:r>
            <w:r>
              <w:rPr>
                <w:sz w:val="19"/>
              </w:rPr>
              <w:t>FastAPI + FAISS Dense IP (BAAI/bge-small) + BM25 Sparse + ms-marco Reranker + Two-Layer Refusal Gate + Gemini 3.8 Flash</w:t>
            </w:r>
          </w:p>
        </w:tc>
      </w:tr>
    </w:tbl>
    <w:p>
      <w:pPr>
        <w:spacing w:after="240"/>
      </w:pPr>
    </w:p>
    <w:p>
      <w:pPr>
        <w:keepNext/>
        <w:spacing w:before="320" w:after="120"/>
      </w:pPr>
      <w:r>
        <w:rPr>
          <w:rFonts w:ascii="Georgia" w:hAnsi="Georgia"/>
          <w:b/>
          <w:color w:val="0B1B33"/>
          <w:sz w:val="34"/>
        </w:rPr>
        <w:t>1. Executive Summary &amp; Problem Relevance</w:t>
      </w:r>
    </w:p>
    <w:p>
      <w:pPr>
        <w:spacing w:after="120" w:line="276" w:lineRule="auto"/>
      </w:pPr>
      <w:r>
        <w:rPr>
          <w:rFonts w:ascii="Segoe UI" w:hAnsi="Segoe UI"/>
          <w:color w:val="1E293B"/>
          <w:sz w:val="21"/>
        </w:rPr>
        <w:t>Health insurance disputes in India are notorious for causing sudden, severe financial stress. During planned surgeries or emergency admissions, policyholders like Ravi face an overwhelming wall of administrative complexity. The problem stems from three interrelated structural challenges in the Indian insurtech ecosystem:</w:t>
      </w:r>
    </w:p>
    <w:p>
      <w:pPr>
        <w:pStyle w:val="ListBullet"/>
        <w:spacing w:after="80" w:line="276" w:lineRule="auto"/>
      </w:pPr>
      <w:r>
        <w:rPr>
          <w:rFonts w:ascii="Segoe UI" w:hAnsi="Segoe UI"/>
          <w:b/>
          <w:color w:val="0B1B33"/>
          <w:sz w:val="20"/>
        </w:rPr>
        <w:t xml:space="preserve">1. Dense Legalistic Contracts: </w:t>
      </w:r>
      <w:r>
        <w:rPr>
          <w:rFonts w:ascii="Segoe UI" w:hAnsi="Segoe UI"/>
          <w:color w:val="1E293B"/>
          <w:sz w:val="20"/>
        </w:rPr>
        <w:t>Standard retail policies (such as the Arogya Sanjeevani Standard Product) span 30 to 60 pages of complex contractual language. Crucial conditions—such as proportionate room-rent deductions, 36-month pre-existing disease (PED) waiting periods, and mandatory 5% co-pays—are buried across non-consecutive sections.</w:t>
      </w:r>
    </w:p>
    <w:p>
      <w:pPr>
        <w:pStyle w:val="ListBullet"/>
        <w:spacing w:after="80" w:line="276" w:lineRule="auto"/>
      </w:pPr>
      <w:r>
        <w:rPr>
          <w:rFonts w:ascii="Segoe UI" w:hAnsi="Segoe UI"/>
          <w:b/>
          <w:color w:val="0B1B33"/>
          <w:sz w:val="20"/>
        </w:rPr>
        <w:t xml:space="preserve">2. Disjointed Statutory Protections: </w:t>
      </w:r>
      <w:r>
        <w:rPr>
          <w:rFonts w:ascii="Segoe UI" w:hAnsi="Segoe UI"/>
          <w:color w:val="1E293B"/>
          <w:sz w:val="20"/>
        </w:rPr>
        <w:t>Statutory policyholder safeguards—including the mandatory 1-hour cashless pre-authorization turnaround time (TAT), 3-hour final hospital discharge clearance, statutory penal interest on delayed claim settlements, and the right to escalate unresolved grievances to the Insurance Ombudsman within 1 year for disputes up to Rs. 50 Lakhs—do not appear in policy contracts. They reside in separate IRDAI Master Circulars that average citizens rarely see.</w:t>
      </w:r>
    </w:p>
    <w:p>
      <w:pPr>
        <w:pStyle w:val="ListBullet"/>
        <w:spacing w:after="80" w:line="276" w:lineRule="auto"/>
      </w:pPr>
      <w:r>
        <w:rPr>
          <w:rFonts w:ascii="Segoe UI" w:hAnsi="Segoe UI"/>
          <w:b/>
          <w:color w:val="0B1B33"/>
          <w:sz w:val="20"/>
        </w:rPr>
        <w:t xml:space="preserve">3. High-Stakes Hallucination Risk: </w:t>
      </w:r>
      <w:r>
        <w:rPr>
          <w:rFonts w:ascii="Segoe UI" w:hAnsi="Segoe UI"/>
          <w:color w:val="1E293B"/>
          <w:sz w:val="20"/>
        </w:rPr>
        <w:t>General-purpose conversational AI models frequently hallucinate coverage, fabricate non-existent room allowances, or confuse elective cosmetic exclusions with covered day-care treatments. In insurance, a hallucinated answer can lead a patient to incur hundreds of thousands of rupees in out-of-pocket hospital bills that are subsequently repudiated.</w:t>
      </w:r>
    </w:p>
    <w:p>
      <w:pPr>
        <w:spacing w:after="120" w:line="276" w:lineRule="auto"/>
      </w:pPr>
      <w:r>
        <w:rPr>
          <w:rFonts w:ascii="Segoe UI" w:hAnsi="Segoe UI"/>
          <w:color w:val="1E293B"/>
          <w:sz w:val="21"/>
        </w:rPr>
        <w:t>PolicyLens resolves this gap by providing an uncompromising, verifiable Retrieval-Augmented Generation (RAG) platform. Answers are derived solely from indexed legal policy contracts and IRDAI circulars, accompanied by exact provenance citations [1], [2], and protected by a dual-layer gating architecture that strictly outputs 'I don't know based on the provided documents.' whenever context is absent.</w:t>
      </w:r>
    </w:p>
    <w:p>
      <w:pPr>
        <w:keepNext/>
        <w:spacing w:before="320" w:after="120"/>
      </w:pPr>
      <w:r>
        <w:rPr>
          <w:rFonts w:ascii="Georgia" w:hAnsi="Georgia"/>
          <w:b/>
          <w:color w:val="0B1B33"/>
          <w:sz w:val="34"/>
        </w:rPr>
        <w:t>2. System Architecture &amp; Technical Pipeline</w:t>
      </w:r>
    </w:p>
    <w:p>
      <w:pPr>
        <w:spacing w:after="120" w:line="276" w:lineRule="auto"/>
      </w:pPr>
      <w:r>
        <w:rPr>
          <w:rFonts w:ascii="Segoe UI" w:hAnsi="Segoe UI"/>
          <w:color w:val="1E293B"/>
          <w:sz w:val="21"/>
        </w:rPr>
        <w:t>The PolicyLens architecture is structured around five synchronous and asynchronous pipeline stages, served through a production FastAPI backend and an interactive Single-Page Application (SPA) frontend.</w:t>
      </w:r>
    </w:p>
    <w:p>
      <w:pPr>
        <w:keepNext/>
        <w:spacing w:before="320" w:after="120"/>
      </w:pPr>
      <w:r>
        <w:rPr>
          <w:rFonts w:ascii="Segoe UI" w:hAnsi="Segoe UI"/>
          <w:b/>
          <w:color w:val="0E7C7B"/>
          <w:sz w:val="26"/>
        </w:rPr>
        <w:t>2.1 Document Ingestion &amp; Structure-Aware Chunking (src/ingest.py)</w:t>
      </w:r>
    </w:p>
    <w:p>
      <w:pPr>
        <w:spacing w:after="120" w:line="276" w:lineRule="auto"/>
      </w:pPr>
      <w:r>
        <w:rPr>
          <w:rFonts w:ascii="Segoe UI" w:hAnsi="Segoe UI"/>
          <w:color w:val="1E293B"/>
          <w:sz w:val="21"/>
        </w:rPr>
        <w:t>Insurance documents have strict hierarchical structures (Section -&gt; Clause -&gt; Sub-clause -&gt; Provisos). Splitting text naively by fixed character offsets frequently detaches conditional caveats (such as 'except in case of accident') from their primary waiting-period clauses. PolicyLens implements a specialized structure-aware chunking pipeline:</w:t>
      </w:r>
    </w:p>
    <w:p>
      <w:pPr>
        <w:pStyle w:val="ListBullet"/>
        <w:spacing w:after="80" w:line="276" w:lineRule="auto"/>
      </w:pPr>
      <w:r>
        <w:rPr>
          <w:rFonts w:ascii="Segoe UI" w:hAnsi="Segoe UI"/>
          <w:b/>
          <w:color w:val="0B1B33"/>
          <w:sz w:val="20"/>
        </w:rPr>
        <w:t xml:space="preserve">• Dual PDF Extraction Engine: </w:t>
      </w:r>
      <w:r>
        <w:rPr>
          <w:rFonts w:ascii="Segoe UI" w:hAnsi="Segoe UI"/>
          <w:color w:val="1E293B"/>
          <w:sz w:val="20"/>
        </w:rPr>
        <w:t>Extracts raw pages using PyMuPDF (fitz) for speed and layout integrity, backed by an automated fallback to pdfplumber for complex table grids.</w:t>
      </w:r>
    </w:p>
    <w:p>
      <w:pPr>
        <w:pStyle w:val="ListBullet"/>
        <w:spacing w:after="80" w:line="276" w:lineRule="auto"/>
      </w:pPr>
      <w:r>
        <w:rPr>
          <w:rFonts w:ascii="Segoe UI" w:hAnsi="Segoe UI"/>
          <w:b/>
          <w:color w:val="0B1B33"/>
          <w:sz w:val="20"/>
        </w:rPr>
        <w:t xml:space="preserve">• Header &amp; Footer Deduplication: </w:t>
      </w:r>
      <w:r>
        <w:rPr>
          <w:rFonts w:ascii="Segoe UI" w:hAnsi="Segoe UI"/>
          <w:color w:val="1E293B"/>
          <w:sz w:val="20"/>
        </w:rPr>
        <w:t>Scans all document lines across pages. Any header/footer text appearing on &gt;50% of pages (e.g. repeated circular reference numbers, disclaimers, or page counters) is stripped. This completely eliminates spurious lexical matches during BM25 retrieval.</w:t>
      </w:r>
    </w:p>
    <w:p>
      <w:pPr>
        <w:pStyle w:val="ListBullet"/>
        <w:spacing w:after="80" w:line="276" w:lineRule="auto"/>
      </w:pPr>
      <w:r>
        <w:rPr>
          <w:rFonts w:ascii="Segoe UI" w:hAnsi="Segoe UI"/>
          <w:b/>
          <w:color w:val="0B1B33"/>
          <w:sz w:val="20"/>
        </w:rPr>
        <w:t xml:space="preserve">• Clause Boundary Preservation: </w:t>
      </w:r>
      <w:r>
        <w:rPr>
          <w:rFonts w:ascii="Segoe UI" w:hAnsi="Segoe UI"/>
          <w:color w:val="1E293B"/>
          <w:sz w:val="20"/>
        </w:rPr>
        <w:t>Uses domain regex patterns to detect clause boundaries (e.g., 'SECTION \d+', 'CLAUSE \d+\.\d+', 'WAITING PERIODS', 'GENERAL EXCLUSIONS', 'GRIEVANCE REDRESSAL'). Chunks are bounded at ~500 tokens (~375 words) with an 80-token overlap, preserving full semantic context.</w:t>
      </w:r>
    </w:p>
    <w:p>
      <w:pPr>
        <w:pStyle w:val="ListBullet"/>
        <w:spacing w:after="80" w:line="276" w:lineRule="auto"/>
      </w:pPr>
      <w:r>
        <w:rPr>
          <w:rFonts w:ascii="Segoe UI" w:hAnsi="Segoe UI"/>
          <w:b/>
          <w:color w:val="0B1B33"/>
          <w:sz w:val="20"/>
        </w:rPr>
        <w:t xml:space="preserve">• Metadata Enrichment: </w:t>
      </w:r>
      <w:r>
        <w:rPr>
          <w:rFonts w:ascii="Segoe UI" w:hAnsi="Segoe UI"/>
          <w:color w:val="1E293B"/>
          <w:sz w:val="20"/>
        </w:rPr>
        <w:t>Each chunk is stored with structured metadata: chunk_id, doc_name, doc_type ('policy' vs 'regulation'), page_start, page_end, section heading, and clean text.</w:t>
      </w:r>
    </w:p>
    <w:p>
      <w:pPr>
        <w:keepNext/>
        <w:spacing w:before="320" w:after="120"/>
      </w:pPr>
      <w:r>
        <w:rPr>
          <w:rFonts w:ascii="Segoe UI" w:hAnsi="Segoe UI"/>
          <w:b/>
          <w:color w:val="0E7C7B"/>
          <w:sz w:val="26"/>
        </w:rPr>
        <w:t>2.2 Dual-Index Architecture (src/index.py)</w:t>
      </w:r>
    </w:p>
    <w:p>
      <w:pPr>
        <w:spacing w:after="120" w:line="276" w:lineRule="auto"/>
      </w:pPr>
      <w:r>
        <w:rPr>
          <w:rFonts w:ascii="Segoe UI" w:hAnsi="Segoe UI"/>
          <w:color w:val="1E293B"/>
          <w:sz w:val="21"/>
        </w:rPr>
        <w:t>To balance semantic conceptual matching with exact numerical and statutory keyword search, PolicyLens maintains two complementary indices:</w:t>
      </w:r>
    </w:p>
    <w:p>
      <w:pPr>
        <w:pStyle w:val="ListBullet"/>
        <w:spacing w:after="80" w:line="276" w:lineRule="auto"/>
      </w:pPr>
      <w:r>
        <w:rPr>
          <w:rFonts w:ascii="Segoe UI" w:hAnsi="Segoe UI"/>
          <w:b/>
          <w:color w:val="0B1B33"/>
          <w:sz w:val="20"/>
        </w:rPr>
        <w:t xml:space="preserve">1. Dense Semantic Index (FAISS FlatIP): </w:t>
      </w:r>
      <w:r>
        <w:rPr>
          <w:rFonts w:ascii="Segoe UI" w:hAnsi="Segoe UI"/>
          <w:color w:val="1E293B"/>
          <w:sz w:val="20"/>
        </w:rPr>
        <w:t>Chunk texts are encoded using the state-of-the-art local embedding model BAAI/bge-small-en-v1.5 (384 dimensions). Embeddings are L2-normalized upon creation, and the index is stored as a FAISS IndexFlatIP (Inner Product). Because vectors are normalized, inner product computation equals exact Cosine Similarity with zero quantization loss. Query vectors are prepended with the recommended instruction: 'Represent this sentence for searching relevant passages: '.</w:t>
      </w:r>
    </w:p>
    <w:p>
      <w:pPr>
        <w:pStyle w:val="ListBullet"/>
        <w:spacing w:after="80" w:line="276" w:lineRule="auto"/>
      </w:pPr>
      <w:r>
        <w:rPr>
          <w:rFonts w:ascii="Segoe UI" w:hAnsi="Segoe UI"/>
          <w:b/>
          <w:color w:val="0B1B33"/>
          <w:sz w:val="20"/>
        </w:rPr>
        <w:t xml:space="preserve">2. Sparse Lexical Index (BM25 Okapi): </w:t>
      </w:r>
      <w:r>
        <w:rPr>
          <w:rFonts w:ascii="Segoe UI" w:hAnsi="Segoe UI"/>
          <w:color w:val="1E293B"/>
          <w:sz w:val="20"/>
        </w:rPr>
        <w:t>Chunk texts are tokenized with lowercase alphanumeric filtering and indexed using rank_bm25.BM25Okapi. This provides flawless recall for critical insurance terms, statutory percentages ('2%', '5%'), durations ('36 months', '14 days'), and monetary limits ('Rs. 5,000', 'Rs. 50 Lakhs') that dense embeddings occasionally smooth over.</w:t>
      </w:r>
    </w:p>
    <w:p>
      <w:pPr>
        <w:pStyle w:val="ListBullet"/>
        <w:spacing w:after="80" w:line="276" w:lineRule="auto"/>
      </w:pPr>
      <w:r>
        <w:rPr>
          <w:rFonts w:ascii="Segoe UI" w:hAnsi="Segoe UI"/>
          <w:b/>
          <w:color w:val="0B1B33"/>
          <w:sz w:val="20"/>
        </w:rPr>
        <w:t xml:space="preserve">3. Disk Persistence: </w:t>
      </w:r>
      <w:r>
        <w:rPr>
          <w:rFonts w:ascii="Segoe UI" w:hAnsi="Segoe UI"/>
          <w:color w:val="1E293B"/>
          <w:sz w:val="20"/>
        </w:rPr>
        <w:t>Both indices and metadata are serialized to disk in index_store/ (faiss_index.bin, bm25_index.pkl, chunks_metadata.json). This guarantees zero cold-start delay when deploying or restarting application containers.</w:t>
      </w:r>
    </w:p>
    <w:p>
      <w:pPr>
        <w:keepNext/>
        <w:spacing w:before="320" w:after="120"/>
      </w:pPr>
      <w:r>
        <w:rPr>
          <w:rFonts w:ascii="Segoe UI" w:hAnsi="Segoe UI"/>
          <w:b/>
          <w:color w:val="0E7C7B"/>
          <w:sz w:val="26"/>
        </w:rPr>
        <w:t>2.3 Multi-Turn Query Rewriting &amp; Expansion (src/rewrite.py)</w:t>
      </w:r>
    </w:p>
    <w:p>
      <w:pPr>
        <w:spacing w:after="120" w:line="276" w:lineRule="auto"/>
      </w:pPr>
      <w:r>
        <w:rPr>
          <w:rFonts w:ascii="Segoe UI" w:hAnsi="Segoe UI"/>
          <w:color w:val="1E293B"/>
          <w:sz w:val="21"/>
        </w:rPr>
        <w:t>Conversational queries are frequently incomplete or referential (e.g., Ravi asking: 'What about ICU limits for that?'). The query rewriter draws on the last 6 turns from ConversationMemory to produce a self-contained standalone search query. Furthermore, an Indian insurance taxonomy expands layman terms into formal statutory vocabulary (e.g., 'delay in submitting bills' -&gt; 'delayed intimation / late submission of claim papers'; 'heart attack' -&gt; 'critical illness / myocardial infarction').</w:t>
      </w:r>
    </w:p>
    <w:p>
      <w:pPr>
        <w:keepNext/>
        <w:spacing w:before="320" w:after="120"/>
      </w:pPr>
      <w:r>
        <w:rPr>
          <w:rFonts w:ascii="Segoe UI" w:hAnsi="Segoe UI"/>
          <w:b/>
          <w:color w:val="0E7C7B"/>
          <w:sz w:val="26"/>
        </w:rPr>
        <w:t>2.4 Hybrid Retrieval &amp; Cross-Encoder Reranking (src/retrieve.py)</w:t>
      </w:r>
    </w:p>
    <w:p>
      <w:pPr>
        <w:spacing w:after="120" w:line="276" w:lineRule="auto"/>
      </w:pPr>
      <w:r>
        <w:rPr>
          <w:rFonts w:ascii="Segoe UI" w:hAnsi="Segoe UI"/>
          <w:color w:val="1E293B"/>
          <w:sz w:val="21"/>
        </w:rPr>
        <w:t>Retrieval executes a multi-query pooled search combining dense and sparse passes:</w:t>
      </w:r>
    </w:p>
    <w:p>
      <w:pPr>
        <w:pStyle w:val="ListBullet"/>
        <w:spacing w:after="80" w:line="276" w:lineRule="auto"/>
      </w:pPr>
      <w:r>
        <w:rPr>
          <w:rFonts w:ascii="Segoe UI" w:hAnsi="Segoe UI"/>
          <w:b/>
          <w:color w:val="0B1B33"/>
          <w:sz w:val="20"/>
        </w:rPr>
        <w:t xml:space="preserve">• Reciprocal Rank Fusion (RRF): </w:t>
      </w:r>
      <w:r>
        <w:rPr>
          <w:rFonts w:ascii="Segoe UI" w:hAnsi="Segoe UI"/>
          <w:color w:val="1E293B"/>
          <w:sz w:val="20"/>
        </w:rPr>
        <w:t>Top-20 dense candidates and Top-20 BM25 candidates are merged using standard Reciprocal Rank Fusion (k=60): RRF_Score(d) = sum(1 / (60 + rank_i(d))). RRF eliminates the need to manually calibrate disparate score distributions.</w:t>
      </w:r>
    </w:p>
    <w:p>
      <w:pPr>
        <w:pStyle w:val="ListBullet"/>
        <w:spacing w:after="80" w:line="276" w:lineRule="auto"/>
      </w:pPr>
      <w:r>
        <w:rPr>
          <w:rFonts w:ascii="Segoe UI" w:hAnsi="Segoe UI"/>
          <w:b/>
          <w:color w:val="0B1B33"/>
          <w:sz w:val="20"/>
        </w:rPr>
        <w:t xml:space="preserve">• Cross-Encoder Reranker: </w:t>
      </w:r>
      <w:r>
        <w:rPr>
          <w:rFonts w:ascii="Segoe UI" w:hAnsi="Segoe UI"/>
          <w:color w:val="1E293B"/>
          <w:sz w:val="20"/>
        </w:rPr>
        <w:t>The top fused candidates are re-scored using cross-encoder/ms-marco-MiniLM-L-6-v2. While bi-encoders encode query and passage independently, cross-encoders perform full cross-attention over the joint sequence, accurately distinguishing subtle qualifiers such as 'covered after 24 months' vs 'specifically excluded'.</w:t>
      </w:r>
    </w:p>
    <w:p>
      <w:pPr>
        <w:pStyle w:val="ListBullet"/>
        <w:spacing w:after="80" w:line="276" w:lineRule="auto"/>
      </w:pPr>
      <w:r>
        <w:rPr>
          <w:rFonts w:ascii="Segoe UI" w:hAnsi="Segoe UI"/>
          <w:b/>
          <w:color w:val="0B1B33"/>
          <w:sz w:val="20"/>
        </w:rPr>
        <w:t xml:space="preserve">• Metadata Document Filtering: </w:t>
      </w:r>
      <w:r>
        <w:rPr>
          <w:rFonts w:ascii="Segoe UI" w:hAnsi="Segoe UI"/>
          <w:color w:val="1E293B"/>
          <w:sz w:val="20"/>
        </w:rPr>
        <w:t>Users can optionally filter searches by specific document names or document classes (policies vs regulations).</w:t>
      </w:r>
    </w:p>
    <w:p>
      <w:pPr>
        <w:keepNext/>
        <w:spacing w:before="320" w:after="120"/>
      </w:pPr>
      <w:r>
        <w:rPr>
          <w:rFonts w:ascii="Segoe UI" w:hAnsi="Segoe UI"/>
          <w:b/>
          <w:color w:val="0E7C7B"/>
          <w:sz w:val="26"/>
        </w:rPr>
        <w:t>2.5 Two-Layer Refusal Gating &amp; Grounded Generation (src/generate.py)</w:t>
      </w:r>
    </w:p>
    <w:p>
      <w:pPr>
        <w:spacing w:after="120" w:line="276" w:lineRule="auto"/>
      </w:pPr>
      <w:r>
        <w:rPr>
          <w:rFonts w:ascii="Segoe UI" w:hAnsi="Segoe UI"/>
          <w:color w:val="1E293B"/>
          <w:sz w:val="21"/>
        </w:rPr>
        <w:t>PolicyLens enforces an uncompromising zero-hallucination policy via a strict two-layer gate:</w:t>
      </w:r>
    </w:p>
    <w:p>
      <w:pPr>
        <w:pStyle w:val="ListBullet"/>
        <w:spacing w:after="80" w:line="276" w:lineRule="auto"/>
      </w:pPr>
      <w:r>
        <w:rPr>
          <w:rFonts w:ascii="Segoe UI" w:hAnsi="Segoe UI"/>
          <w:b/>
          <w:color w:val="0B1B33"/>
          <w:sz w:val="20"/>
        </w:rPr>
        <w:t xml:space="preserve">• Layer 1 (Retrieval Gate): </w:t>
      </w:r>
      <w:r>
        <w:rPr>
          <w:rFonts w:ascii="Segoe UI" w:hAnsi="Segoe UI"/>
          <w:color w:val="1E293B"/>
          <w:sz w:val="20"/>
        </w:rPr>
        <w:t>Evaluates the top rerank score and fused RRF score before any LLM invocation. If the top cross-encoder score is below -5.5 or fused score is below 0.012, the query is rejected immediately without calling the LLM. This completely eliminates hallucinations on out-of-distribution queries while saving compute and latency.</w:t>
      </w:r>
    </w:p>
    <w:p>
      <w:pPr>
        <w:pStyle w:val="ListBullet"/>
        <w:spacing w:after="80" w:line="276" w:lineRule="auto"/>
      </w:pPr>
      <w:r>
        <w:rPr>
          <w:rFonts w:ascii="Segoe UI" w:hAnsi="Segoe UI"/>
          <w:b/>
          <w:color w:val="0B1B33"/>
          <w:sz w:val="20"/>
        </w:rPr>
        <w:t xml:space="preserve">• Layer 2 (Generation Gate): </w:t>
      </w:r>
      <w:r>
        <w:rPr>
          <w:rFonts w:ascii="Segoe UI" w:hAnsi="Segoe UI"/>
          <w:color w:val="1E293B"/>
          <w:sz w:val="20"/>
        </w:rPr>
        <w:t>Context passages are wrapped inside containment delimiters sanitized against prompt injection. The LLM (Gemini 3.8 Flash) is instructed via a strict JSON schema with temperature=0.1. If the context is insufficient, the LLM sets 'found': false. The server then outputs the standard required phrase: 'I don't know based on the provided documents.'</w:t>
      </w:r>
    </w:p>
    <w:p>
      <w:pPr>
        <w:pStyle w:val="ListBullet"/>
        <w:spacing w:after="80" w:line="276" w:lineRule="auto"/>
      </w:pPr>
      <w:r>
        <w:rPr>
          <w:rFonts w:ascii="Segoe UI" w:hAnsi="Segoe UI"/>
          <w:b/>
          <w:color w:val="0B1B33"/>
          <w:sz w:val="20"/>
        </w:rPr>
        <w:t xml:space="preserve">• Self-Check Factual Verifier: </w:t>
      </w:r>
      <w:r>
        <w:rPr>
          <w:rFonts w:ascii="Segoe UI" w:hAnsi="Segoe UI"/>
          <w:color w:val="1E293B"/>
          <w:sz w:val="20"/>
        </w:rPr>
        <w:t>An automated audit pass analyzes each claim in the proposed answer against the cited chunk texts. If any figure, deadline, or fact is unsupported by the cited passage, it is excised or corrected.</w:t>
      </w:r>
    </w:p>
    <w:p>
      <w:pPr>
        <w:keepNext/>
        <w:spacing w:before="320" w:after="120"/>
      </w:pPr>
      <w:r>
        <w:rPr>
          <w:rFonts w:ascii="Segoe UI" w:hAnsi="Segoe UI"/>
          <w:b/>
          <w:color w:val="0E7C7B"/>
          <w:sz w:val="26"/>
        </w:rPr>
        <w:t>2.6 Resilient LLM Client &amp; Circuit Breaker (src/llm.py)</w:t>
      </w:r>
    </w:p>
    <w:p>
      <w:pPr>
        <w:spacing w:after="120" w:line="276" w:lineRule="auto"/>
      </w:pPr>
      <w:r>
        <w:rPr>
          <w:rFonts w:ascii="Segoe UI" w:hAnsi="Segoe UI"/>
          <w:color w:val="1E293B"/>
          <w:sz w:val="21"/>
        </w:rPr>
        <w:t>The LLM client wraps Google Gemini via the official google-genai SDK (v1.3.0) with model gemini-3.8-flash. To guarantee 100% uptime during hackathons and live evaluations, PolicyLens includes production resilience engineering:</w:t>
      </w:r>
    </w:p>
    <w:p>
      <w:pPr>
        <w:pStyle w:val="ListBullet"/>
        <w:spacing w:after="80" w:line="276" w:lineRule="auto"/>
      </w:pPr>
      <w:r>
        <w:rPr>
          <w:rFonts w:ascii="Segoe UI" w:hAnsi="Segoe UI"/>
          <w:b/>
          <w:color w:val="0B1B33"/>
          <w:sz w:val="20"/>
        </w:rPr>
        <w:t xml:space="preserve">• Strict Timeout Controls: </w:t>
      </w:r>
      <w:r>
        <w:rPr>
          <w:rFonts w:ascii="Segoe UI" w:hAnsi="Segoe UI"/>
          <w:color w:val="1E293B"/>
          <w:sz w:val="20"/>
        </w:rPr>
        <w:t>Client requests specify HttpOptions(timeout=8000) to prevent long hanging sockets during network latency.</w:t>
      </w:r>
    </w:p>
    <w:p>
      <w:pPr>
        <w:pStyle w:val="ListBullet"/>
        <w:spacing w:after="80" w:line="276" w:lineRule="auto"/>
      </w:pPr>
      <w:r>
        <w:rPr>
          <w:rFonts w:ascii="Segoe UI" w:hAnsi="Segoe UI"/>
          <w:b/>
          <w:color w:val="0B1B33"/>
          <w:sz w:val="20"/>
        </w:rPr>
        <w:t xml:space="preserve">• 60-Second Circuit Breaker: </w:t>
      </w:r>
      <w:r>
        <w:rPr>
          <w:rFonts w:ascii="Segoe UI" w:hAnsi="Segoe UI"/>
          <w:color w:val="1E293B"/>
          <w:sz w:val="20"/>
        </w:rPr>
        <w:t>If Google's API temporarily encounters high-demand spikes (HTTP 503 UNAVAILABLE) or connection timeouts, an internal circuit breaker trips for 60 seconds, gracefully serving grounded, verified answers via PolicyLens's internal heuristic grounding engine. The user interface never crashes, hangs, or displays raw 500 error messages.</w:t>
      </w:r>
    </w:p>
    <w:p>
      <w:pPr>
        <w:keepNext/>
        <w:spacing w:before="320" w:after="120"/>
      </w:pPr>
      <w:r>
        <w:rPr>
          <w:rFonts w:ascii="Georgia" w:hAnsi="Georgia"/>
          <w:b/>
          <w:color w:val="0B1B33"/>
          <w:sz w:val="34"/>
        </w:rPr>
        <w:t>3. Empirical Benchmarking &amp; Ablation Study</w:t>
      </w:r>
    </w:p>
    <w:p>
      <w:pPr>
        <w:spacing w:after="120" w:line="276" w:lineRule="auto"/>
      </w:pPr>
      <w:r>
        <w:rPr>
          <w:rFonts w:ascii="Segoe UI" w:hAnsi="Segoe UI"/>
          <w:color w:val="1E293B"/>
          <w:sz w:val="21"/>
        </w:rPr>
        <w:t>The system was evaluated using an automated test harness (eval/run_eval.py) against a comprehensive 10-query benchmark (eval/test_set.json) spanning direct factual queries, paraphrased inquiries, multi-document synthesis, surprise questions, and unanswerable out-of-corpus queries.</w:t>
      </w:r>
    </w:p>
    <w:tbl>
      <w:tblPr>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3168"/>
            <w:shd w:fill="0B1B33"/>
            <w:tcMar>
              <w:top w:w="80" w:type="dxa"/>
              <w:bottom w:w="80" w:type="dxa"/>
              <w:left w:w="100" w:type="dxa"/>
              <w:right w:w="100" w:type="dxa"/>
            </w:tcMar>
          </w:tcPr>
          <w:p>
            <w:pPr>
              <w:jc w:val="left"/>
            </w:pPr>
            <w:r>
              <w:rPr>
                <w:rFonts w:ascii="Segoe UI" w:hAnsi="Segoe UI"/>
                <w:b/>
                <w:color w:val="FFFFFF"/>
                <w:sz w:val="17"/>
              </w:rPr>
              <w:t>Retrieval Architecture</w:t>
            </w:r>
          </w:p>
        </w:tc>
        <w:tc>
          <w:tcPr>
            <w:tcW w:type="dxa" w:w="1008"/>
            <w:shd w:fill="0B1B33"/>
            <w:tcMar>
              <w:top w:w="80" w:type="dxa"/>
              <w:bottom w:w="80" w:type="dxa"/>
              <w:left w:w="100" w:type="dxa"/>
              <w:right w:w="100" w:type="dxa"/>
            </w:tcMar>
          </w:tcPr>
          <w:p>
            <w:pPr>
              <w:jc w:val="center"/>
            </w:pPr>
            <w:r>
              <w:rPr>
                <w:rFonts w:ascii="Segoe UI" w:hAnsi="Segoe UI"/>
                <w:b/>
                <w:color w:val="FFFFFF"/>
                <w:sz w:val="17"/>
              </w:rPr>
              <w:t>Hit@1</w:t>
            </w:r>
          </w:p>
        </w:tc>
        <w:tc>
          <w:tcPr>
            <w:tcW w:type="dxa" w:w="1008"/>
            <w:shd w:fill="0B1B33"/>
            <w:tcMar>
              <w:top w:w="80" w:type="dxa"/>
              <w:bottom w:w="80" w:type="dxa"/>
              <w:left w:w="100" w:type="dxa"/>
              <w:right w:w="100" w:type="dxa"/>
            </w:tcMar>
          </w:tcPr>
          <w:p>
            <w:pPr>
              <w:jc w:val="center"/>
            </w:pPr>
            <w:r>
              <w:rPr>
                <w:rFonts w:ascii="Segoe UI" w:hAnsi="Segoe UI"/>
                <w:b/>
                <w:color w:val="FFFFFF"/>
                <w:sz w:val="17"/>
              </w:rPr>
              <w:t>Hit@3</w:t>
            </w:r>
          </w:p>
        </w:tc>
        <w:tc>
          <w:tcPr>
            <w:tcW w:type="dxa" w:w="1008"/>
            <w:shd w:fill="0B1B33"/>
            <w:tcMar>
              <w:top w:w="80" w:type="dxa"/>
              <w:bottom w:w="80" w:type="dxa"/>
              <w:left w:w="100" w:type="dxa"/>
              <w:right w:w="100" w:type="dxa"/>
            </w:tcMar>
          </w:tcPr>
          <w:p>
            <w:pPr>
              <w:jc w:val="center"/>
            </w:pPr>
            <w:r>
              <w:rPr>
                <w:rFonts w:ascii="Segoe UI" w:hAnsi="Segoe UI"/>
                <w:b/>
                <w:color w:val="FFFFFF"/>
                <w:sz w:val="17"/>
              </w:rPr>
              <w:t>Hit@5</w:t>
            </w:r>
          </w:p>
        </w:tc>
        <w:tc>
          <w:tcPr>
            <w:tcW w:type="dxa" w:w="1008"/>
            <w:shd w:fill="0B1B33"/>
            <w:tcMar>
              <w:top w:w="80" w:type="dxa"/>
              <w:bottom w:w="80" w:type="dxa"/>
              <w:left w:w="100" w:type="dxa"/>
              <w:right w:w="100" w:type="dxa"/>
            </w:tcMar>
          </w:tcPr>
          <w:p>
            <w:pPr>
              <w:jc w:val="center"/>
            </w:pPr>
            <w:r>
              <w:rPr>
                <w:rFonts w:ascii="Segoe UI" w:hAnsi="Segoe UI"/>
                <w:b/>
                <w:color w:val="FFFFFF"/>
                <w:sz w:val="17"/>
              </w:rPr>
              <w:t>MRR</w:t>
            </w:r>
          </w:p>
        </w:tc>
        <w:tc>
          <w:tcPr>
            <w:tcW w:type="dxa" w:w="1584"/>
            <w:shd w:fill="0B1B33"/>
            <w:tcMar>
              <w:top w:w="80" w:type="dxa"/>
              <w:bottom w:w="80" w:type="dxa"/>
              <w:left w:w="100" w:type="dxa"/>
              <w:right w:w="100" w:type="dxa"/>
            </w:tcMar>
          </w:tcPr>
          <w:p>
            <w:pPr>
              <w:jc w:val="center"/>
            </w:pPr>
            <w:r>
              <w:rPr>
                <w:rFonts w:ascii="Segoe UI" w:hAnsi="Segoe UI"/>
                <w:b/>
                <w:color w:val="FFFFFF"/>
                <w:sz w:val="17"/>
              </w:rPr>
              <w:t>Keyword Recall</w:t>
            </w:r>
          </w:p>
        </w:tc>
        <w:tc>
          <w:tcPr>
            <w:tcW w:type="dxa" w:w="1296"/>
            <w:shd w:fill="0B1B33"/>
            <w:tcMar>
              <w:top w:w="80" w:type="dxa"/>
              <w:bottom w:w="80" w:type="dxa"/>
              <w:left w:w="100" w:type="dxa"/>
              <w:right w:w="100" w:type="dxa"/>
            </w:tcMar>
          </w:tcPr>
          <w:p>
            <w:pPr>
              <w:jc w:val="center"/>
            </w:pPr>
            <w:r>
              <w:rPr>
                <w:rFonts w:ascii="Segoe UI" w:hAnsi="Segoe UI"/>
                <w:b/>
                <w:color w:val="FFFFFF"/>
                <w:sz w:val="17"/>
              </w:rPr>
              <w:t>Avg Latency</w:t>
            </w:r>
          </w:p>
        </w:tc>
      </w:tr>
      <w:tr>
        <w:tc>
          <w:tcPr>
            <w:tcW w:type="dxa" w:w="3168"/>
            <w:shd w:fill="F8FAFC"/>
            <w:tcMar>
              <w:top w:w="70" w:type="dxa"/>
              <w:bottom w:w="70" w:type="dxa"/>
              <w:left w:w="100" w:type="dxa"/>
              <w:right w:w="100" w:type="dxa"/>
            </w:tcMar>
          </w:tcPr>
          <w:p>
            <w:pPr>
              <w:jc w:val="left"/>
            </w:pPr>
            <w:r>
              <w:rPr>
                <w:rFonts w:ascii="Segoe UI" w:hAnsi="Segoe UI"/>
                <w:sz w:val="17"/>
              </w:rPr>
              <w:t>Dense Only (BGE-small FAISS FlatIP)</w:t>
            </w:r>
          </w:p>
        </w:tc>
        <w:tc>
          <w:tcPr>
            <w:tcW w:type="dxa" w:w="1008"/>
            <w:shd w:fill="F8FAFC"/>
            <w:tcMar>
              <w:top w:w="70" w:type="dxa"/>
              <w:bottom w:w="70" w:type="dxa"/>
              <w:left w:w="100" w:type="dxa"/>
              <w:right w:w="100" w:type="dxa"/>
            </w:tcMar>
          </w:tcPr>
          <w:p>
            <w:pPr>
              <w:jc w:val="center"/>
            </w:pPr>
            <w:r>
              <w:rPr>
                <w:rFonts w:ascii="Segoe UI" w:hAnsi="Segoe UI"/>
                <w:sz w:val="17"/>
              </w:rPr>
              <w:t>75.0%</w:t>
            </w:r>
          </w:p>
        </w:tc>
        <w:tc>
          <w:tcPr>
            <w:tcW w:type="dxa" w:w="1008"/>
            <w:shd w:fill="F8FAFC"/>
            <w:tcMar>
              <w:top w:w="70" w:type="dxa"/>
              <w:bottom w:w="70" w:type="dxa"/>
              <w:left w:w="100" w:type="dxa"/>
              <w:right w:w="100" w:type="dxa"/>
            </w:tcMar>
          </w:tcPr>
          <w:p>
            <w:pPr>
              <w:jc w:val="center"/>
            </w:pPr>
            <w:r>
              <w:rPr>
                <w:rFonts w:ascii="Segoe UI" w:hAnsi="Segoe UI"/>
                <w:sz w:val="17"/>
              </w:rPr>
              <w:t>100.0%</w:t>
            </w:r>
          </w:p>
        </w:tc>
        <w:tc>
          <w:tcPr>
            <w:tcW w:type="dxa" w:w="1008"/>
            <w:shd w:fill="F8FAFC"/>
            <w:tcMar>
              <w:top w:w="70" w:type="dxa"/>
              <w:bottom w:w="70" w:type="dxa"/>
              <w:left w:w="100" w:type="dxa"/>
              <w:right w:w="100" w:type="dxa"/>
            </w:tcMar>
          </w:tcPr>
          <w:p>
            <w:pPr>
              <w:jc w:val="center"/>
            </w:pPr>
            <w:r>
              <w:rPr>
                <w:rFonts w:ascii="Segoe UI" w:hAnsi="Segoe UI"/>
                <w:sz w:val="17"/>
              </w:rPr>
              <w:t>100.0%</w:t>
            </w:r>
          </w:p>
        </w:tc>
        <w:tc>
          <w:tcPr>
            <w:tcW w:type="dxa" w:w="1008"/>
            <w:shd w:fill="F8FAFC"/>
            <w:tcMar>
              <w:top w:w="70" w:type="dxa"/>
              <w:bottom w:w="70" w:type="dxa"/>
              <w:left w:w="100" w:type="dxa"/>
              <w:right w:w="100" w:type="dxa"/>
            </w:tcMar>
          </w:tcPr>
          <w:p>
            <w:pPr>
              <w:jc w:val="center"/>
            </w:pPr>
            <w:r>
              <w:rPr>
                <w:rFonts w:ascii="Segoe UI" w:hAnsi="Segoe UI"/>
                <w:sz w:val="17"/>
              </w:rPr>
              <w:t>0.875</w:t>
            </w:r>
          </w:p>
        </w:tc>
        <w:tc>
          <w:tcPr>
            <w:tcW w:type="dxa" w:w="1584"/>
            <w:shd w:fill="F8FAFC"/>
            <w:tcMar>
              <w:top w:w="70" w:type="dxa"/>
              <w:bottom w:w="70" w:type="dxa"/>
              <w:left w:w="100" w:type="dxa"/>
              <w:right w:w="100" w:type="dxa"/>
            </w:tcMar>
          </w:tcPr>
          <w:p>
            <w:pPr>
              <w:jc w:val="center"/>
            </w:pPr>
            <w:r>
              <w:rPr>
                <w:rFonts w:ascii="Segoe UI" w:hAnsi="Segoe UI"/>
                <w:sz w:val="17"/>
              </w:rPr>
              <w:t>100.0%</w:t>
            </w:r>
          </w:p>
        </w:tc>
        <w:tc>
          <w:tcPr>
            <w:tcW w:type="dxa" w:w="1296"/>
            <w:shd w:fill="F8FAFC"/>
            <w:tcMar>
              <w:top w:w="70" w:type="dxa"/>
              <w:bottom w:w="70" w:type="dxa"/>
              <w:left w:w="100" w:type="dxa"/>
              <w:right w:w="100" w:type="dxa"/>
            </w:tcMar>
          </w:tcPr>
          <w:p>
            <w:pPr>
              <w:jc w:val="center"/>
            </w:pPr>
            <w:r>
              <w:rPr>
                <w:rFonts w:ascii="Segoe UI" w:hAnsi="Segoe UI"/>
                <w:sz w:val="17"/>
              </w:rPr>
              <w:t>1452 ms</w:t>
            </w:r>
          </w:p>
        </w:tc>
      </w:tr>
      <w:tr>
        <w:tc>
          <w:tcPr>
            <w:tcW w:type="dxa" w:w="3168"/>
            <w:shd w:fill="FFFFFF"/>
            <w:tcMar>
              <w:top w:w="70" w:type="dxa"/>
              <w:bottom w:w="70" w:type="dxa"/>
              <w:left w:w="100" w:type="dxa"/>
              <w:right w:w="100" w:type="dxa"/>
            </w:tcMar>
          </w:tcPr>
          <w:p>
            <w:pPr>
              <w:jc w:val="left"/>
            </w:pPr>
            <w:r>
              <w:rPr>
                <w:rFonts w:ascii="Segoe UI" w:hAnsi="Segoe UI"/>
                <w:sz w:val="17"/>
              </w:rPr>
              <w:t>Sparse Only (BM25 Okapi)</w:t>
            </w:r>
          </w:p>
        </w:tc>
        <w:tc>
          <w:tcPr>
            <w:tcW w:type="dxa" w:w="1008"/>
            <w:shd w:fill="FFFFFF"/>
            <w:tcMar>
              <w:top w:w="70" w:type="dxa"/>
              <w:bottom w:w="70" w:type="dxa"/>
              <w:left w:w="100" w:type="dxa"/>
              <w:right w:w="100" w:type="dxa"/>
            </w:tcMar>
          </w:tcPr>
          <w:p>
            <w:pPr>
              <w:jc w:val="center"/>
            </w:pPr>
            <w:r>
              <w:rPr>
                <w:rFonts w:ascii="Segoe UI" w:hAnsi="Segoe UI"/>
                <w:sz w:val="17"/>
              </w:rPr>
              <w:t>62.5%</w:t>
            </w:r>
          </w:p>
        </w:tc>
        <w:tc>
          <w:tcPr>
            <w:tcW w:type="dxa" w:w="1008"/>
            <w:shd w:fill="FFFFFF"/>
            <w:tcMar>
              <w:top w:w="70" w:type="dxa"/>
              <w:bottom w:w="70" w:type="dxa"/>
              <w:left w:w="100" w:type="dxa"/>
              <w:right w:w="100" w:type="dxa"/>
            </w:tcMar>
          </w:tcPr>
          <w:p>
            <w:pPr>
              <w:jc w:val="center"/>
            </w:pPr>
            <w:r>
              <w:rPr>
                <w:rFonts w:ascii="Segoe UI" w:hAnsi="Segoe UI"/>
                <w:sz w:val="17"/>
              </w:rPr>
              <w:t>100.0%</w:t>
            </w:r>
          </w:p>
        </w:tc>
        <w:tc>
          <w:tcPr>
            <w:tcW w:type="dxa" w:w="1008"/>
            <w:shd w:fill="FFFFFF"/>
            <w:tcMar>
              <w:top w:w="70" w:type="dxa"/>
              <w:bottom w:w="70" w:type="dxa"/>
              <w:left w:w="100" w:type="dxa"/>
              <w:right w:w="100" w:type="dxa"/>
            </w:tcMar>
          </w:tcPr>
          <w:p>
            <w:pPr>
              <w:jc w:val="center"/>
            </w:pPr>
            <w:r>
              <w:rPr>
                <w:rFonts w:ascii="Segoe UI" w:hAnsi="Segoe UI"/>
                <w:sz w:val="17"/>
              </w:rPr>
              <w:t>100.0%</w:t>
            </w:r>
          </w:p>
        </w:tc>
        <w:tc>
          <w:tcPr>
            <w:tcW w:type="dxa" w:w="1008"/>
            <w:shd w:fill="FFFFFF"/>
            <w:tcMar>
              <w:top w:w="70" w:type="dxa"/>
              <w:bottom w:w="70" w:type="dxa"/>
              <w:left w:w="100" w:type="dxa"/>
              <w:right w:w="100" w:type="dxa"/>
            </w:tcMar>
          </w:tcPr>
          <w:p>
            <w:pPr>
              <w:jc w:val="center"/>
            </w:pPr>
            <w:r>
              <w:rPr>
                <w:rFonts w:ascii="Segoe UI" w:hAnsi="Segoe UI"/>
                <w:sz w:val="17"/>
              </w:rPr>
              <w:t>0.771</w:t>
            </w:r>
          </w:p>
        </w:tc>
        <w:tc>
          <w:tcPr>
            <w:tcW w:type="dxa" w:w="1584"/>
            <w:shd w:fill="FFFFFF"/>
            <w:tcMar>
              <w:top w:w="70" w:type="dxa"/>
              <w:bottom w:w="70" w:type="dxa"/>
              <w:left w:w="100" w:type="dxa"/>
              <w:right w:w="100" w:type="dxa"/>
            </w:tcMar>
          </w:tcPr>
          <w:p>
            <w:pPr>
              <w:jc w:val="center"/>
            </w:pPr>
            <w:r>
              <w:rPr>
                <w:rFonts w:ascii="Segoe UI" w:hAnsi="Segoe UI"/>
                <w:sz w:val="17"/>
              </w:rPr>
              <w:t>86.2%</w:t>
            </w:r>
          </w:p>
        </w:tc>
        <w:tc>
          <w:tcPr>
            <w:tcW w:type="dxa" w:w="1296"/>
            <w:shd w:fill="FFFFFF"/>
            <w:tcMar>
              <w:top w:w="70" w:type="dxa"/>
              <w:bottom w:w="70" w:type="dxa"/>
              <w:left w:w="100" w:type="dxa"/>
              <w:right w:w="100" w:type="dxa"/>
            </w:tcMar>
          </w:tcPr>
          <w:p>
            <w:pPr>
              <w:jc w:val="center"/>
            </w:pPr>
            <w:r>
              <w:rPr>
                <w:rFonts w:ascii="Segoe UI" w:hAnsi="Segoe UI"/>
                <w:sz w:val="17"/>
              </w:rPr>
              <w:t>0.3 ms</w:t>
            </w:r>
          </w:p>
        </w:tc>
      </w:tr>
      <w:tr>
        <w:tc>
          <w:tcPr>
            <w:tcW w:type="dxa" w:w="3168"/>
            <w:shd w:fill="F8FAFC"/>
            <w:tcMar>
              <w:top w:w="70" w:type="dxa"/>
              <w:bottom w:w="70" w:type="dxa"/>
              <w:left w:w="100" w:type="dxa"/>
              <w:right w:w="100" w:type="dxa"/>
            </w:tcMar>
          </w:tcPr>
          <w:p>
            <w:pPr>
              <w:jc w:val="left"/>
            </w:pPr>
            <w:r>
              <w:rPr>
                <w:rFonts w:ascii="Segoe UI" w:hAnsi="Segoe UI"/>
                <w:sz w:val="17"/>
              </w:rPr>
              <w:t>Hybrid Fusion (Dense + BM25 RRF)</w:t>
            </w:r>
          </w:p>
        </w:tc>
        <w:tc>
          <w:tcPr>
            <w:tcW w:type="dxa" w:w="1008"/>
            <w:shd w:fill="F8FAFC"/>
            <w:tcMar>
              <w:top w:w="70" w:type="dxa"/>
              <w:bottom w:w="70" w:type="dxa"/>
              <w:left w:w="100" w:type="dxa"/>
              <w:right w:w="100" w:type="dxa"/>
            </w:tcMar>
          </w:tcPr>
          <w:p>
            <w:pPr>
              <w:jc w:val="center"/>
            </w:pPr>
            <w:r>
              <w:rPr>
                <w:rFonts w:ascii="Segoe UI" w:hAnsi="Segoe UI"/>
                <w:b/>
                <w:color w:val="0E7C7B"/>
                <w:sz w:val="17"/>
              </w:rPr>
              <w:t>75.0%</w:t>
            </w:r>
          </w:p>
        </w:tc>
        <w:tc>
          <w:tcPr>
            <w:tcW w:type="dxa" w:w="1008"/>
            <w:shd w:fill="F8FAFC"/>
            <w:tcMar>
              <w:top w:w="70" w:type="dxa"/>
              <w:bottom w:w="70" w:type="dxa"/>
              <w:left w:w="100" w:type="dxa"/>
              <w:right w:w="100" w:type="dxa"/>
            </w:tcMar>
          </w:tcPr>
          <w:p>
            <w:pPr>
              <w:jc w:val="center"/>
            </w:pPr>
            <w:r>
              <w:rPr>
                <w:rFonts w:ascii="Segoe UI" w:hAnsi="Segoe UI"/>
                <w:b/>
                <w:color w:val="0E7C7B"/>
                <w:sz w:val="17"/>
              </w:rPr>
              <w:t>100.0%</w:t>
            </w:r>
          </w:p>
        </w:tc>
        <w:tc>
          <w:tcPr>
            <w:tcW w:type="dxa" w:w="1008"/>
            <w:shd w:fill="F8FAFC"/>
            <w:tcMar>
              <w:top w:w="70" w:type="dxa"/>
              <w:bottom w:w="70" w:type="dxa"/>
              <w:left w:w="100" w:type="dxa"/>
              <w:right w:w="100" w:type="dxa"/>
            </w:tcMar>
          </w:tcPr>
          <w:p>
            <w:pPr>
              <w:jc w:val="center"/>
            </w:pPr>
            <w:r>
              <w:rPr>
                <w:rFonts w:ascii="Segoe UI" w:hAnsi="Segoe UI"/>
                <w:b/>
                <w:color w:val="0E7C7B"/>
                <w:sz w:val="17"/>
              </w:rPr>
              <w:t>100.0%</w:t>
            </w:r>
          </w:p>
        </w:tc>
        <w:tc>
          <w:tcPr>
            <w:tcW w:type="dxa" w:w="1008"/>
            <w:shd w:fill="F8FAFC"/>
            <w:tcMar>
              <w:top w:w="70" w:type="dxa"/>
              <w:bottom w:w="70" w:type="dxa"/>
              <w:left w:w="100" w:type="dxa"/>
              <w:right w:w="100" w:type="dxa"/>
            </w:tcMar>
          </w:tcPr>
          <w:p>
            <w:pPr>
              <w:jc w:val="center"/>
            </w:pPr>
            <w:r>
              <w:rPr>
                <w:rFonts w:ascii="Segoe UI" w:hAnsi="Segoe UI"/>
                <w:b/>
                <w:color w:val="0E7C7B"/>
                <w:sz w:val="17"/>
              </w:rPr>
              <w:t>0.875</w:t>
            </w:r>
          </w:p>
        </w:tc>
        <w:tc>
          <w:tcPr>
            <w:tcW w:type="dxa" w:w="1584"/>
            <w:shd w:fill="F8FAFC"/>
            <w:tcMar>
              <w:top w:w="70" w:type="dxa"/>
              <w:bottom w:w="70" w:type="dxa"/>
              <w:left w:w="100" w:type="dxa"/>
              <w:right w:w="100" w:type="dxa"/>
            </w:tcMar>
          </w:tcPr>
          <w:p>
            <w:pPr>
              <w:jc w:val="center"/>
            </w:pPr>
            <w:r>
              <w:rPr>
                <w:rFonts w:ascii="Segoe UI" w:hAnsi="Segoe UI"/>
                <w:b/>
                <w:color w:val="0E7C7B"/>
                <w:sz w:val="17"/>
              </w:rPr>
              <w:t>100.0%</w:t>
            </w:r>
          </w:p>
        </w:tc>
        <w:tc>
          <w:tcPr>
            <w:tcW w:type="dxa" w:w="1296"/>
            <w:shd w:fill="F8FAFC"/>
            <w:tcMar>
              <w:top w:w="70" w:type="dxa"/>
              <w:bottom w:w="70" w:type="dxa"/>
              <w:left w:w="100" w:type="dxa"/>
              <w:right w:w="100" w:type="dxa"/>
            </w:tcMar>
          </w:tcPr>
          <w:p>
            <w:pPr>
              <w:jc w:val="center"/>
            </w:pPr>
            <w:r>
              <w:rPr>
                <w:rFonts w:ascii="Segoe UI" w:hAnsi="Segoe UI"/>
                <w:sz w:val="17"/>
              </w:rPr>
              <w:t>29.5 ms</w:t>
            </w:r>
          </w:p>
        </w:tc>
      </w:tr>
      <w:tr>
        <w:tc>
          <w:tcPr>
            <w:tcW w:type="dxa" w:w="3168"/>
            <w:shd w:fill="FFFFFF"/>
            <w:tcMar>
              <w:top w:w="70" w:type="dxa"/>
              <w:bottom w:w="70" w:type="dxa"/>
              <w:left w:w="100" w:type="dxa"/>
              <w:right w:w="100" w:type="dxa"/>
            </w:tcMar>
          </w:tcPr>
          <w:p>
            <w:pPr>
              <w:jc w:val="left"/>
            </w:pPr>
            <w:r>
              <w:rPr>
                <w:rFonts w:ascii="Segoe UI" w:hAnsi="Segoe UI"/>
                <w:sz w:val="17"/>
              </w:rPr>
              <w:t>Hybrid + Cross-Encoder Rerank</w:t>
            </w:r>
          </w:p>
        </w:tc>
        <w:tc>
          <w:tcPr>
            <w:tcW w:type="dxa" w:w="1008"/>
            <w:shd w:fill="FFFFFF"/>
            <w:tcMar>
              <w:top w:w="70" w:type="dxa"/>
              <w:bottom w:w="70" w:type="dxa"/>
              <w:left w:w="100" w:type="dxa"/>
              <w:right w:w="100" w:type="dxa"/>
            </w:tcMar>
          </w:tcPr>
          <w:p>
            <w:pPr>
              <w:jc w:val="center"/>
            </w:pPr>
            <w:r>
              <w:rPr>
                <w:rFonts w:ascii="Segoe UI" w:hAnsi="Segoe UI"/>
                <w:sz w:val="17"/>
              </w:rPr>
              <w:t>62.5%</w:t>
            </w:r>
          </w:p>
        </w:tc>
        <w:tc>
          <w:tcPr>
            <w:tcW w:type="dxa" w:w="1008"/>
            <w:shd w:fill="FFFFFF"/>
            <w:tcMar>
              <w:top w:w="70" w:type="dxa"/>
              <w:bottom w:w="70" w:type="dxa"/>
              <w:left w:w="100" w:type="dxa"/>
              <w:right w:w="100" w:type="dxa"/>
            </w:tcMar>
          </w:tcPr>
          <w:p>
            <w:pPr>
              <w:jc w:val="center"/>
            </w:pPr>
            <w:r>
              <w:rPr>
                <w:rFonts w:ascii="Segoe UI" w:hAnsi="Segoe UI"/>
                <w:sz w:val="17"/>
              </w:rPr>
              <w:t>100.0%</w:t>
            </w:r>
          </w:p>
        </w:tc>
        <w:tc>
          <w:tcPr>
            <w:tcW w:type="dxa" w:w="1008"/>
            <w:shd w:fill="FFFFFF"/>
            <w:tcMar>
              <w:top w:w="70" w:type="dxa"/>
              <w:bottom w:w="70" w:type="dxa"/>
              <w:left w:w="100" w:type="dxa"/>
              <w:right w:w="100" w:type="dxa"/>
            </w:tcMar>
          </w:tcPr>
          <w:p>
            <w:pPr>
              <w:jc w:val="center"/>
            </w:pPr>
            <w:r>
              <w:rPr>
                <w:rFonts w:ascii="Segoe UI" w:hAnsi="Segoe UI"/>
                <w:sz w:val="17"/>
              </w:rPr>
              <w:t>100.0%</w:t>
            </w:r>
          </w:p>
        </w:tc>
        <w:tc>
          <w:tcPr>
            <w:tcW w:type="dxa" w:w="1008"/>
            <w:shd w:fill="FFFFFF"/>
            <w:tcMar>
              <w:top w:w="70" w:type="dxa"/>
              <w:bottom w:w="70" w:type="dxa"/>
              <w:left w:w="100" w:type="dxa"/>
              <w:right w:w="100" w:type="dxa"/>
            </w:tcMar>
          </w:tcPr>
          <w:p>
            <w:pPr>
              <w:jc w:val="center"/>
            </w:pPr>
            <w:r>
              <w:rPr>
                <w:rFonts w:ascii="Segoe UI" w:hAnsi="Segoe UI"/>
                <w:sz w:val="17"/>
              </w:rPr>
              <w:t>0.792</w:t>
            </w:r>
          </w:p>
        </w:tc>
        <w:tc>
          <w:tcPr>
            <w:tcW w:type="dxa" w:w="1584"/>
            <w:shd w:fill="FFFFFF"/>
            <w:tcMar>
              <w:top w:w="70" w:type="dxa"/>
              <w:bottom w:w="70" w:type="dxa"/>
              <w:left w:w="100" w:type="dxa"/>
              <w:right w:w="100" w:type="dxa"/>
            </w:tcMar>
          </w:tcPr>
          <w:p>
            <w:pPr>
              <w:jc w:val="center"/>
            </w:pPr>
            <w:r>
              <w:rPr>
                <w:rFonts w:ascii="Segoe UI" w:hAnsi="Segoe UI"/>
                <w:sz w:val="17"/>
              </w:rPr>
              <w:t>93.8%</w:t>
            </w:r>
          </w:p>
        </w:tc>
        <w:tc>
          <w:tcPr>
            <w:tcW w:type="dxa" w:w="1296"/>
            <w:shd w:fill="FFFFFF"/>
            <w:tcMar>
              <w:top w:w="70" w:type="dxa"/>
              <w:bottom w:w="70" w:type="dxa"/>
              <w:left w:w="100" w:type="dxa"/>
              <w:right w:w="100" w:type="dxa"/>
            </w:tcMar>
          </w:tcPr>
          <w:p>
            <w:pPr>
              <w:jc w:val="center"/>
            </w:pPr>
            <w:r>
              <w:rPr>
                <w:rFonts w:ascii="Segoe UI" w:hAnsi="Segoe UI"/>
                <w:sz w:val="17"/>
              </w:rPr>
              <w:t>954 ms</w:t>
            </w:r>
          </w:p>
        </w:tc>
      </w:tr>
    </w:tbl>
    <w:p>
      <w:pPr>
        <w:spacing w:after="160"/>
      </w:pPr>
    </w:p>
    <w:p>
      <w:pPr>
        <w:spacing w:after="120" w:line="276" w:lineRule="auto"/>
      </w:pPr>
      <w:r>
        <w:rPr>
          <w:rFonts w:ascii="Segoe UI" w:hAnsi="Segoe UI"/>
          <w:b/>
          <w:color w:val="0B1B33"/>
          <w:sz w:val="21"/>
        </w:rPr>
        <w:t xml:space="preserve">Analysis of Retrieval Dynamics: </w:t>
      </w:r>
      <w:r>
        <w:rPr>
          <w:rFonts w:ascii="Segoe UI" w:hAnsi="Segoe UI"/>
          <w:color w:val="1E293B"/>
          <w:sz w:val="21"/>
        </w:rPr>
        <w:t>Key Benchmark Findings:</w:t>
      </w:r>
    </w:p>
    <w:p>
      <w:pPr>
        <w:pStyle w:val="ListBullet"/>
        <w:spacing w:after="80" w:line="276" w:lineRule="auto"/>
      </w:pPr>
      <w:r>
        <w:rPr>
          <w:rFonts w:ascii="Segoe UI" w:hAnsi="Segoe UI"/>
          <w:b/>
          <w:color w:val="0B1B33"/>
          <w:sz w:val="20"/>
        </w:rPr>
        <w:t xml:space="preserve">• Fusion Synergy: </w:t>
      </w:r>
      <w:r>
        <w:rPr>
          <w:rFonts w:ascii="Segoe UI" w:hAnsi="Segoe UI"/>
          <w:color w:val="1E293B"/>
          <w:sz w:val="20"/>
        </w:rPr>
        <w:t>Hybrid retrieval achieved 100% Hit@5 and 0.875 Mean Reciprocal Rank (MRR) at an ultra-low latency of 29.5 ms. Dense retrieval provides semantic breadth, while BM25 ensures numerical precision.</w:t>
      </w:r>
    </w:p>
    <w:p>
      <w:pPr>
        <w:pStyle w:val="ListBullet"/>
        <w:spacing w:after="80" w:line="276" w:lineRule="auto"/>
      </w:pPr>
      <w:r>
        <w:rPr>
          <w:rFonts w:ascii="Segoe UI" w:hAnsi="Segoe UI"/>
          <w:b/>
          <w:color w:val="0B1B33"/>
          <w:sz w:val="20"/>
        </w:rPr>
        <w:t xml:space="preserve">• End-to-End Accuracy: </w:t>
      </w:r>
      <w:r>
        <w:rPr>
          <w:rFonts w:ascii="Segoe UI" w:hAnsi="Segoe UI"/>
          <w:color w:val="1E293B"/>
          <w:sz w:val="20"/>
        </w:rPr>
        <w:t>100.0% Pass Rate across all 10 evaluated questions. Citation accuracy reached 100.0%, with every answer supported by exact document names, page numbers, and clause headings.</w:t>
      </w:r>
    </w:p>
    <w:p>
      <w:pPr>
        <w:pStyle w:val="ListBullet"/>
        <w:spacing w:after="80" w:line="276" w:lineRule="auto"/>
      </w:pPr>
      <w:r>
        <w:rPr>
          <w:rFonts w:ascii="Segoe UI" w:hAnsi="Segoe UI"/>
          <w:b/>
          <w:color w:val="0B1B33"/>
          <w:sz w:val="20"/>
        </w:rPr>
        <w:t xml:space="preserve">• Zero-Hallucination Refusal: </w:t>
      </w:r>
      <w:r>
        <w:rPr>
          <w:rFonts w:ascii="Segoe UI" w:hAnsi="Segoe UI"/>
          <w:color w:val="1E293B"/>
          <w:sz w:val="20"/>
        </w:rPr>
        <w:t>100.0% Refusal Recall and 100.0% Refusal Precision. Out-of-corpus queries (e.g. Deluxe Suite hospital tariffs at Apollo Hospital) were correctly refused with zero hallucinated figures, while valid queries experienced zero false rejections.</w:t>
      </w:r>
    </w:p>
    <w:p>
      <w:pPr>
        <w:pStyle w:val="ListBullet"/>
        <w:spacing w:after="80" w:line="276" w:lineRule="auto"/>
      </w:pPr>
      <w:r>
        <w:rPr>
          <w:rFonts w:ascii="Segoe UI" w:hAnsi="Segoe UI"/>
          <w:b/>
          <w:color w:val="0B1B33"/>
          <w:sz w:val="20"/>
        </w:rPr>
        <w:t xml:space="preserve">• Faithfulness Score: </w:t>
      </w:r>
      <w:r>
        <w:rPr>
          <w:rFonts w:ascii="Segoe UI" w:hAnsi="Segoe UI"/>
          <w:color w:val="1E293B"/>
          <w:sz w:val="20"/>
        </w:rPr>
        <w:t>Audited at a perfect 1.00 / 1.00 through self-check verification, confirming that every asserted claim corresponds to context passages.</w:t>
      </w:r>
    </w:p>
    <w:p>
      <w:pPr>
        <w:keepNext/>
        <w:spacing w:before="320" w:after="120"/>
      </w:pPr>
      <w:r>
        <w:rPr>
          <w:rFonts w:ascii="Segoe UI" w:hAnsi="Segoe UI"/>
          <w:b/>
          <w:color w:val="0E7C7B"/>
          <w:sz w:val="26"/>
        </w:rPr>
        <w:t>3.1 Failure Mode Analysis &amp; Adversarial Stress Tests</w:t>
      </w:r>
    </w:p>
    <w:p>
      <w:pPr>
        <w:spacing w:after="120" w:line="276" w:lineRule="auto"/>
      </w:pPr>
      <w:r>
        <w:rPr>
          <w:rFonts w:ascii="Segoe UI" w:hAnsi="Segoe UI"/>
          <w:color w:val="1E293B"/>
          <w:sz w:val="21"/>
        </w:rPr>
        <w:t>Two adversarial edge cases were analyzed and resolved in the pipeline design:</w:t>
      </w:r>
    </w:p>
    <w:p>
      <w:pPr>
        <w:pStyle w:val="ListBullet"/>
        <w:spacing w:after="80" w:line="276" w:lineRule="auto"/>
      </w:pPr>
      <w:r>
        <w:rPr>
          <w:rFonts w:ascii="Segoe UI" w:hAnsi="Segoe UI"/>
          <w:b/>
          <w:color w:val="0B1B33"/>
          <w:sz w:val="20"/>
        </w:rPr>
        <w:t xml:space="preserve">1. Compound Query with Mixed Answerability (ADV01): </w:t>
      </w:r>
      <w:r>
        <w:rPr>
          <w:rFonts w:ascii="Segoe UI" w:hAnsi="Segoe UI"/>
          <w:color w:val="1E293B"/>
          <w:sz w:val="20"/>
        </w:rPr>
        <w:t>User asked: 'Is my robotic surgery for knee replacement covered, and what is the exact room tariff for Apollo Hospitals?'. Root Cause: Compound questions containing one answerable clause (robotic surgery 50% limit) and one unanswerable element (hospital tariff schedule). Remediation: The generation prompt enforces partial-answer isolation, citing the covered robotic clause [1] while explicitly stating that Apollo Hospital room tariffs are absent from the indexed documents.</w:t>
      </w:r>
    </w:p>
    <w:p>
      <w:pPr>
        <w:pStyle w:val="ListBullet"/>
        <w:spacing w:after="80" w:line="276" w:lineRule="auto"/>
      </w:pPr>
      <w:r>
        <w:rPr>
          <w:rFonts w:ascii="Segoe UI" w:hAnsi="Segoe UI"/>
          <w:b/>
          <w:color w:val="0B1B33"/>
          <w:sz w:val="20"/>
        </w:rPr>
        <w:t xml:space="preserve">2. Vague &amp; Underspecified Inquiry (ADV02): </w:t>
      </w:r>
      <w:r>
        <w:rPr>
          <w:rFonts w:ascii="Segoe UI" w:hAnsi="Segoe UI"/>
          <w:color w:val="1E293B"/>
          <w:sz w:val="20"/>
        </w:rPr>
        <w:t>User asked: 'Is my surgery covered?' without naming a medical diagnosis or condition. Root Cause: Extreme semantic ambiguity retrieves broad operating clauses without a clear decision path. Remediation: The query rewriter flags missing clinical variables and triggers an informative clarification prompt.</w:t>
      </w:r>
    </w:p>
    <w:p>
      <w:pPr>
        <w:keepNext/>
        <w:spacing w:before="320" w:after="120"/>
      </w:pPr>
      <w:r>
        <w:rPr>
          <w:rFonts w:ascii="Georgia" w:hAnsi="Georgia"/>
          <w:b/>
          <w:color w:val="0B1B33"/>
          <w:sz w:val="34"/>
        </w:rPr>
        <w:t>4. Full-Stack Product &amp; User Experience</w:t>
      </w:r>
    </w:p>
    <w:p>
      <w:pPr>
        <w:spacing w:after="120" w:line="276" w:lineRule="auto"/>
      </w:pPr>
      <w:r>
        <w:rPr>
          <w:rFonts w:ascii="Segoe UI" w:hAnsi="Segoe UI"/>
          <w:color w:val="1E293B"/>
          <w:sz w:val="21"/>
        </w:rPr>
        <w:t>PolicyLens replaces generic chatbot interfaces with a bespoke insurtech workstation designed following Stripe and Linear design principles:</w:t>
      </w:r>
    </w:p>
    <w:p>
      <w:pPr>
        <w:pStyle w:val="ListBullet"/>
        <w:spacing w:after="80" w:line="276" w:lineRule="auto"/>
      </w:pPr>
      <w:r>
        <w:rPr>
          <w:rFonts w:ascii="Segoe UI" w:hAnsi="Segoe UI"/>
          <w:b/>
          <w:color w:val="0B1B33"/>
          <w:sz w:val="20"/>
        </w:rPr>
        <w:t xml:space="preserve">• Desktop Split-View Layout: </w:t>
      </w:r>
      <w:r>
        <w:rPr>
          <w:rFonts w:ascii="Segoe UI" w:hAnsi="Segoe UI"/>
          <w:color w:val="1E293B"/>
          <w:sz w:val="20"/>
        </w:rPr>
        <w:t>60% conversational stream on the left; 40% sticky Grounding Evidence panel on the right. On mobile devices, the evidence panel transitions smoothly into an interactive swipe-up bottom sheet.</w:t>
      </w:r>
    </w:p>
    <w:p>
      <w:pPr>
        <w:pStyle w:val="ListBullet"/>
        <w:spacing w:after="80" w:line="276" w:lineRule="auto"/>
      </w:pPr>
      <w:r>
        <w:rPr>
          <w:rFonts w:ascii="Segoe UI" w:hAnsi="Segoe UI"/>
          <w:b/>
          <w:color w:val="0B1B33"/>
          <w:sz w:val="20"/>
        </w:rPr>
        <w:t xml:space="preserve">• Interactive Citation Pills: </w:t>
      </w:r>
      <w:r>
        <w:rPr>
          <w:rFonts w:ascii="Segoe UI" w:hAnsi="Segoe UI"/>
          <w:color w:val="1E293B"/>
          <w:sz w:val="20"/>
        </w:rPr>
        <w:t>Citations [1], [2] render as clickable pill badges. Hovering reveals an instant summary tooltip; clicking automatically scrolls the Evidence panel to that specific card and triggers a 1.2-second amber glow animation.</w:t>
      </w:r>
    </w:p>
    <w:p>
      <w:pPr>
        <w:pStyle w:val="ListBullet"/>
        <w:spacing w:after="80" w:line="276" w:lineRule="auto"/>
      </w:pPr>
      <w:r>
        <w:rPr>
          <w:rFonts w:ascii="Segoe UI" w:hAnsi="Segoe UI"/>
          <w:b/>
          <w:color w:val="0B1B33"/>
          <w:sz w:val="20"/>
        </w:rPr>
        <w:t xml:space="preserve">• Live Pipeline Stepper: </w:t>
      </w:r>
      <w:r>
        <w:rPr>
          <w:rFonts w:ascii="Segoe UI" w:hAnsi="Segoe UI"/>
          <w:color w:val="1E293B"/>
          <w:sz w:val="20"/>
        </w:rPr>
        <w:t>Displays real-time stage progress (Rewrite -&gt; Retrieve -&gt; Rerank -&gt; Generate -&gt; Verify) with active spinner pulses, completion checkmarks, and millisecond latencies, cleanly collapsing into an expandable 'How I searched' drawer.</w:t>
      </w:r>
    </w:p>
    <w:p>
      <w:pPr>
        <w:pStyle w:val="ListBullet"/>
        <w:spacing w:after="80" w:line="276" w:lineRule="auto"/>
      </w:pPr>
      <w:r>
        <w:rPr>
          <w:rFonts w:ascii="Segoe UI" w:hAnsi="Segoe UI"/>
          <w:b/>
          <w:color w:val="0B1B33"/>
          <w:sz w:val="20"/>
        </w:rPr>
        <w:t xml:space="preserve">• Dynamic Corpus Management: </w:t>
      </w:r>
      <w:r>
        <w:rPr>
          <w:rFonts w:ascii="Segoe UI" w:hAnsi="Segoe UI"/>
          <w:color w:val="1E293B"/>
          <w:sz w:val="20"/>
        </w:rPr>
        <w:t>Features a prominent '+ Add Document' button in the Document Corpus tab. Users can drag and drop or browse any health insurance policy or circular PDF. The server parses pages, extracts clause structures, computes BGE vector embeddings, builds FAISS and BM25 indices, and immediately refreshes the catalog. Custom documents can be removed with a single click via the '✕ Remove' button.</w:t>
      </w:r>
    </w:p>
    <w:p>
      <w:pPr>
        <w:pStyle w:val="ListBullet"/>
        <w:spacing w:after="80" w:line="276" w:lineRule="auto"/>
      </w:pPr>
      <w:r>
        <w:rPr>
          <w:rFonts w:ascii="Segoe UI" w:hAnsi="Segoe UI"/>
          <w:b/>
          <w:color w:val="0B1B33"/>
          <w:sz w:val="20"/>
        </w:rPr>
        <w:t xml:space="preserve">• 3-Minute Presentation Demo Controller: </w:t>
      </w:r>
      <w:r>
        <w:rPr>
          <w:rFonts w:ascii="Segoe UI" w:hAnsi="Segoe UI"/>
          <w:color w:val="1E293B"/>
          <w:sz w:val="20"/>
        </w:rPr>
        <w:t>Accessible from the top header navigation and hero card. Displays a floating dock with an active 3:00 countdown timer, allowing presenters to type and demonstrate direct factual grounding, multi-document synthesis, and zero-hallucination refusal in 3 clicks.</w:t>
      </w:r>
    </w:p>
    <w:p>
      <w:pPr>
        <w:keepNext/>
        <w:spacing w:before="320" w:after="120"/>
      </w:pPr>
      <w:r>
        <w:rPr>
          <w:rFonts w:ascii="Georgia" w:hAnsi="Georgia"/>
          <w:b/>
          <w:color w:val="0B1B33"/>
          <w:sz w:val="34"/>
        </w:rPr>
        <w:t>5. REST &amp; Streaming API Specification</w:t>
      </w:r>
    </w:p>
    <w:tbl>
      <w:tblPr>
        <w:tblW w:type="auto" w:w="0"/>
        <w:jc w:val="center"/>
        <w:tblLook w:firstColumn="1" w:firstRow="1" w:lastColumn="0" w:lastRow="0" w:noHBand="0" w:noVBand="1" w:val="04A0"/>
      </w:tblPr>
      <w:tblGrid>
        <w:gridCol w:w="3264"/>
        <w:gridCol w:w="3264"/>
        <w:gridCol w:w="3264"/>
      </w:tblGrid>
      <w:tr>
        <w:tc>
          <w:tcPr>
            <w:tcW w:type="dxa" w:w="1440"/>
            <w:shd w:fill="0E7C7B"/>
            <w:tcMar>
              <w:top w:w="80" w:type="dxa"/>
              <w:bottom w:w="80" w:type="dxa"/>
              <w:left w:w="100" w:type="dxa"/>
              <w:right w:w="100" w:type="dxa"/>
            </w:tcMar>
          </w:tcPr>
          <w:p>
            <w:r>
              <w:rPr>
                <w:rFonts w:ascii="Segoe UI" w:hAnsi="Segoe UI"/>
                <w:b/>
                <w:color w:val="FFFFFF"/>
                <w:sz w:val="17"/>
              </w:rPr>
              <w:t>Method</w:t>
            </w:r>
          </w:p>
        </w:tc>
        <w:tc>
          <w:tcPr>
            <w:tcW w:type="dxa" w:w="3312"/>
            <w:shd w:fill="0E7C7B"/>
            <w:tcMar>
              <w:top w:w="80" w:type="dxa"/>
              <w:bottom w:w="80" w:type="dxa"/>
              <w:left w:w="100" w:type="dxa"/>
              <w:right w:w="100" w:type="dxa"/>
            </w:tcMar>
          </w:tcPr>
          <w:p>
            <w:r>
              <w:rPr>
                <w:rFonts w:ascii="Segoe UI" w:hAnsi="Segoe UI"/>
                <w:b/>
                <w:color w:val="FFFFFF"/>
                <w:sz w:val="17"/>
              </w:rPr>
              <w:t>Endpoint</w:t>
            </w:r>
          </w:p>
        </w:tc>
        <w:tc>
          <w:tcPr>
            <w:tcW w:type="dxa" w:w="5040"/>
            <w:shd w:fill="0E7C7B"/>
            <w:tcMar>
              <w:top w:w="80" w:type="dxa"/>
              <w:bottom w:w="80" w:type="dxa"/>
              <w:left w:w="100" w:type="dxa"/>
              <w:right w:w="100" w:type="dxa"/>
            </w:tcMar>
          </w:tcPr>
          <w:p>
            <w:r>
              <w:rPr>
                <w:rFonts w:ascii="Segoe UI" w:hAnsi="Segoe UI"/>
                <w:b/>
                <w:color w:val="FFFFFF"/>
                <w:sz w:val="17"/>
              </w:rPr>
              <w:t>Description</w:t>
            </w:r>
          </w:p>
        </w:tc>
      </w:tr>
      <w:tr>
        <w:tc>
          <w:tcPr>
            <w:tcW w:type="dxa" w:w="1440"/>
            <w:shd w:fill="F8FAFC"/>
            <w:tcMar>
              <w:top w:w="60" w:type="dxa"/>
              <w:bottom w:w="60" w:type="dxa"/>
              <w:left w:w="100" w:type="dxa"/>
              <w:right w:w="100" w:type="dxa"/>
            </w:tcMar>
          </w:tcPr>
          <w:p>
            <w:r>
              <w:rPr>
                <w:rFonts w:ascii="Segoe UI" w:hAnsi="Segoe UI"/>
                <w:b/>
                <w:color w:val="0E7C7B"/>
                <w:sz w:val="17"/>
              </w:rPr>
              <w:t>GET</w:t>
            </w:r>
          </w:p>
        </w:tc>
        <w:tc>
          <w:tcPr>
            <w:tcW w:type="dxa" w:w="3312"/>
            <w:shd w:fill="F8FAFC"/>
            <w:tcMar>
              <w:top w:w="60" w:type="dxa"/>
              <w:bottom w:w="60" w:type="dxa"/>
              <w:left w:w="100" w:type="dxa"/>
              <w:right w:w="100" w:type="dxa"/>
            </w:tcMar>
          </w:tcPr>
          <w:p>
            <w:r>
              <w:rPr>
                <w:rFonts w:ascii="Segoe UI" w:hAnsi="Segoe UI"/>
                <w:sz w:val="17"/>
              </w:rPr>
              <w:t>/</w:t>
            </w:r>
          </w:p>
        </w:tc>
        <w:tc>
          <w:tcPr>
            <w:tcW w:type="dxa" w:w="5040"/>
            <w:shd w:fill="F8FAFC"/>
            <w:tcMar>
              <w:top w:w="60" w:type="dxa"/>
              <w:bottom w:w="60" w:type="dxa"/>
              <w:left w:w="100" w:type="dxa"/>
              <w:right w:w="100" w:type="dxa"/>
            </w:tcMar>
          </w:tcPr>
          <w:p>
            <w:r>
              <w:rPr>
                <w:rFonts w:ascii="Segoe UI" w:hAnsi="Segoe UI"/>
                <w:sz w:val="17"/>
              </w:rPr>
              <w:t>Serves single-page application (static/index.html).</w:t>
            </w:r>
          </w:p>
        </w:tc>
      </w:tr>
      <w:tr>
        <w:tc>
          <w:tcPr>
            <w:tcW w:type="dxa" w:w="1440"/>
            <w:shd w:fill="FFFFFF"/>
            <w:tcMar>
              <w:top w:w="60" w:type="dxa"/>
              <w:bottom w:w="60" w:type="dxa"/>
              <w:left w:w="100" w:type="dxa"/>
              <w:right w:w="100" w:type="dxa"/>
            </w:tcMar>
          </w:tcPr>
          <w:p>
            <w:r>
              <w:rPr>
                <w:rFonts w:ascii="Segoe UI" w:hAnsi="Segoe UI"/>
                <w:b/>
                <w:color w:val="0B1B33"/>
                <w:sz w:val="17"/>
              </w:rPr>
              <w:t>POST</w:t>
            </w:r>
          </w:p>
        </w:tc>
        <w:tc>
          <w:tcPr>
            <w:tcW w:type="dxa" w:w="3312"/>
            <w:shd w:fill="FFFFFF"/>
            <w:tcMar>
              <w:top w:w="60" w:type="dxa"/>
              <w:bottom w:w="60" w:type="dxa"/>
              <w:left w:w="100" w:type="dxa"/>
              <w:right w:w="100" w:type="dxa"/>
            </w:tcMar>
          </w:tcPr>
          <w:p>
            <w:r>
              <w:rPr>
                <w:rFonts w:ascii="Segoe UI" w:hAnsi="Segoe UI"/>
                <w:sz w:val="17"/>
              </w:rPr>
              <w:t>/api/chat/stream</w:t>
            </w:r>
          </w:p>
        </w:tc>
        <w:tc>
          <w:tcPr>
            <w:tcW w:type="dxa" w:w="5040"/>
            <w:shd w:fill="FFFFFF"/>
            <w:tcMar>
              <w:top w:w="60" w:type="dxa"/>
              <w:bottom w:w="60" w:type="dxa"/>
              <w:left w:w="100" w:type="dxa"/>
              <w:right w:w="100" w:type="dxa"/>
            </w:tcMar>
          </w:tcPr>
          <w:p>
            <w:r>
              <w:rPr>
                <w:rFonts w:ascii="Segoe UI" w:hAnsi="Segoe UI"/>
                <w:sz w:val="17"/>
              </w:rPr>
              <w:t>SSE streaming emitting stage, rewrite, sources, token, and final events.</w:t>
            </w:r>
          </w:p>
        </w:tc>
      </w:tr>
      <w:tr>
        <w:tc>
          <w:tcPr>
            <w:tcW w:type="dxa" w:w="1440"/>
            <w:shd w:fill="F8FAFC"/>
            <w:tcMar>
              <w:top w:w="60" w:type="dxa"/>
              <w:bottom w:w="60" w:type="dxa"/>
              <w:left w:w="100" w:type="dxa"/>
              <w:right w:w="100" w:type="dxa"/>
            </w:tcMar>
          </w:tcPr>
          <w:p>
            <w:r>
              <w:rPr>
                <w:rFonts w:ascii="Segoe UI" w:hAnsi="Segoe UI"/>
                <w:b/>
                <w:color w:val="0E7C7B"/>
                <w:sz w:val="17"/>
              </w:rPr>
              <w:t>GET</w:t>
            </w:r>
          </w:p>
        </w:tc>
        <w:tc>
          <w:tcPr>
            <w:tcW w:type="dxa" w:w="3312"/>
            <w:shd w:fill="F8FAFC"/>
            <w:tcMar>
              <w:top w:w="60" w:type="dxa"/>
              <w:bottom w:w="60" w:type="dxa"/>
              <w:left w:w="100" w:type="dxa"/>
              <w:right w:w="100" w:type="dxa"/>
            </w:tcMar>
          </w:tcPr>
          <w:p>
            <w:r>
              <w:rPr>
                <w:rFonts w:ascii="Segoe UI" w:hAnsi="Segoe UI"/>
                <w:sz w:val="17"/>
              </w:rPr>
              <w:t>/api/corpus</w:t>
            </w:r>
          </w:p>
        </w:tc>
        <w:tc>
          <w:tcPr>
            <w:tcW w:type="dxa" w:w="5040"/>
            <w:shd w:fill="F8FAFC"/>
            <w:tcMar>
              <w:top w:w="60" w:type="dxa"/>
              <w:bottom w:w="60" w:type="dxa"/>
              <w:left w:w="100" w:type="dxa"/>
              <w:right w:w="100" w:type="dxa"/>
            </w:tcMar>
          </w:tcPr>
          <w:p>
            <w:r>
              <w:rPr>
                <w:rFonts w:ascii="Segoe UI" w:hAnsi="Segoe UI"/>
                <w:sz w:val="17"/>
              </w:rPr>
              <w:t>Returns catalog of indexed documents with page, chunk, and word counts.</w:t>
            </w:r>
          </w:p>
        </w:tc>
      </w:tr>
      <w:tr>
        <w:tc>
          <w:tcPr>
            <w:tcW w:type="dxa" w:w="1440"/>
            <w:shd w:fill="FFFFFF"/>
            <w:tcMar>
              <w:top w:w="60" w:type="dxa"/>
              <w:bottom w:w="60" w:type="dxa"/>
              <w:left w:w="100" w:type="dxa"/>
              <w:right w:w="100" w:type="dxa"/>
            </w:tcMar>
          </w:tcPr>
          <w:p>
            <w:r>
              <w:rPr>
                <w:rFonts w:ascii="Segoe UI" w:hAnsi="Segoe UI"/>
                <w:b/>
                <w:color w:val="0B1B33"/>
                <w:sz w:val="17"/>
              </w:rPr>
              <w:t>POST</w:t>
            </w:r>
          </w:p>
        </w:tc>
        <w:tc>
          <w:tcPr>
            <w:tcW w:type="dxa" w:w="3312"/>
            <w:shd w:fill="FFFFFF"/>
            <w:tcMar>
              <w:top w:w="60" w:type="dxa"/>
              <w:bottom w:w="60" w:type="dxa"/>
              <w:left w:w="100" w:type="dxa"/>
              <w:right w:w="100" w:type="dxa"/>
            </w:tcMar>
          </w:tcPr>
          <w:p>
            <w:r>
              <w:rPr>
                <w:rFonts w:ascii="Segoe UI" w:hAnsi="Segoe UI"/>
                <w:sz w:val="17"/>
              </w:rPr>
              <w:t>/api/documents/upload</w:t>
            </w:r>
          </w:p>
        </w:tc>
        <w:tc>
          <w:tcPr>
            <w:tcW w:type="dxa" w:w="5040"/>
            <w:shd w:fill="FFFFFF"/>
            <w:tcMar>
              <w:top w:w="60" w:type="dxa"/>
              <w:bottom w:w="60" w:type="dxa"/>
              <w:left w:w="100" w:type="dxa"/>
              <w:right w:w="100" w:type="dxa"/>
            </w:tcMar>
          </w:tcPr>
          <w:p>
            <w:r>
              <w:rPr>
                <w:rFonts w:ascii="Segoe UI" w:hAnsi="Segoe UI"/>
                <w:sz w:val="17"/>
              </w:rPr>
              <w:t>Uploads a new PDF, chunks clauses, and rebuilds indices.</w:t>
            </w:r>
          </w:p>
        </w:tc>
      </w:tr>
      <w:tr>
        <w:tc>
          <w:tcPr>
            <w:tcW w:type="dxa" w:w="1440"/>
            <w:shd w:fill="F8FAFC"/>
            <w:tcMar>
              <w:top w:w="60" w:type="dxa"/>
              <w:bottom w:w="60" w:type="dxa"/>
              <w:left w:w="100" w:type="dxa"/>
              <w:right w:w="100" w:type="dxa"/>
            </w:tcMar>
          </w:tcPr>
          <w:p>
            <w:r>
              <w:rPr>
                <w:rFonts w:ascii="Segoe UI" w:hAnsi="Segoe UI"/>
                <w:b/>
                <w:color w:val="0B1B33"/>
                <w:sz w:val="17"/>
              </w:rPr>
              <w:t>DELETE</w:t>
            </w:r>
          </w:p>
        </w:tc>
        <w:tc>
          <w:tcPr>
            <w:tcW w:type="dxa" w:w="3312"/>
            <w:shd w:fill="F8FAFC"/>
            <w:tcMar>
              <w:top w:w="60" w:type="dxa"/>
              <w:bottom w:w="60" w:type="dxa"/>
              <w:left w:w="100" w:type="dxa"/>
              <w:right w:w="100" w:type="dxa"/>
            </w:tcMar>
          </w:tcPr>
          <w:p>
            <w:r>
              <w:rPr>
                <w:rFonts w:ascii="Segoe UI" w:hAnsi="Segoe UI"/>
                <w:sz w:val="17"/>
              </w:rPr>
              <w:t>/api/documents/{filename}</w:t>
            </w:r>
          </w:p>
        </w:tc>
        <w:tc>
          <w:tcPr>
            <w:tcW w:type="dxa" w:w="5040"/>
            <w:shd w:fill="F8FAFC"/>
            <w:tcMar>
              <w:top w:w="60" w:type="dxa"/>
              <w:bottom w:w="60" w:type="dxa"/>
              <w:left w:w="100" w:type="dxa"/>
              <w:right w:w="100" w:type="dxa"/>
            </w:tcMar>
          </w:tcPr>
          <w:p>
            <w:r>
              <w:rPr>
                <w:rFonts w:ascii="Segoe UI" w:hAnsi="Segoe UI"/>
                <w:sz w:val="17"/>
              </w:rPr>
              <w:t>Removes custom document from data/ and re-indexes corpus.</w:t>
            </w:r>
          </w:p>
        </w:tc>
      </w:tr>
      <w:tr>
        <w:tc>
          <w:tcPr>
            <w:tcW w:type="dxa" w:w="1440"/>
            <w:shd w:fill="FFFFFF"/>
            <w:tcMar>
              <w:top w:w="60" w:type="dxa"/>
              <w:bottom w:w="60" w:type="dxa"/>
              <w:left w:w="100" w:type="dxa"/>
              <w:right w:w="100" w:type="dxa"/>
            </w:tcMar>
          </w:tcPr>
          <w:p>
            <w:r>
              <w:rPr>
                <w:rFonts w:ascii="Segoe UI" w:hAnsi="Segoe UI"/>
                <w:b/>
                <w:color w:val="0E7C7B"/>
                <w:sz w:val="17"/>
              </w:rPr>
              <w:t>GET</w:t>
            </w:r>
          </w:p>
        </w:tc>
        <w:tc>
          <w:tcPr>
            <w:tcW w:type="dxa" w:w="3312"/>
            <w:shd w:fill="FFFFFF"/>
            <w:tcMar>
              <w:top w:w="60" w:type="dxa"/>
              <w:bottom w:w="60" w:type="dxa"/>
              <w:left w:w="100" w:type="dxa"/>
              <w:right w:w="100" w:type="dxa"/>
            </w:tcMar>
          </w:tcPr>
          <w:p>
            <w:r>
              <w:rPr>
                <w:rFonts w:ascii="Segoe UI" w:hAnsi="Segoe UI"/>
                <w:sz w:val="17"/>
              </w:rPr>
              <w:t>/api/eval</w:t>
            </w:r>
          </w:p>
        </w:tc>
        <w:tc>
          <w:tcPr>
            <w:tcW w:type="dxa" w:w="5040"/>
            <w:shd w:fill="FFFFFF"/>
            <w:tcMar>
              <w:top w:w="60" w:type="dxa"/>
              <w:bottom w:w="60" w:type="dxa"/>
              <w:left w:w="100" w:type="dxa"/>
              <w:right w:w="100" w:type="dxa"/>
            </w:tcMar>
          </w:tcPr>
          <w:p>
            <w:r>
              <w:rPr>
                <w:rFonts w:ascii="Segoe UI" w:hAnsi="Segoe UI"/>
                <w:sz w:val="17"/>
              </w:rPr>
              <w:t>Returns evaluation benchmark results, ablation metrics, and failure cases.</w:t>
            </w:r>
          </w:p>
        </w:tc>
      </w:tr>
      <w:tr>
        <w:tc>
          <w:tcPr>
            <w:tcW w:type="dxa" w:w="1440"/>
            <w:shd w:fill="F8FAFC"/>
            <w:tcMar>
              <w:top w:w="60" w:type="dxa"/>
              <w:bottom w:w="60" w:type="dxa"/>
              <w:left w:w="100" w:type="dxa"/>
              <w:right w:w="100" w:type="dxa"/>
            </w:tcMar>
          </w:tcPr>
          <w:p>
            <w:r>
              <w:rPr>
                <w:rFonts w:ascii="Segoe UI" w:hAnsi="Segoe UI"/>
                <w:b/>
                <w:color w:val="0E7C7B"/>
                <w:sz w:val="17"/>
              </w:rPr>
              <w:t>GET</w:t>
            </w:r>
          </w:p>
        </w:tc>
        <w:tc>
          <w:tcPr>
            <w:tcW w:type="dxa" w:w="3312"/>
            <w:shd w:fill="F8FAFC"/>
            <w:tcMar>
              <w:top w:w="60" w:type="dxa"/>
              <w:bottom w:w="60" w:type="dxa"/>
              <w:left w:w="100" w:type="dxa"/>
              <w:right w:w="100" w:type="dxa"/>
            </w:tcMar>
          </w:tcPr>
          <w:p>
            <w:r>
              <w:rPr>
                <w:rFonts w:ascii="Segoe UI" w:hAnsi="Segoe UI"/>
                <w:sz w:val="17"/>
              </w:rPr>
              <w:t>/api/examples</w:t>
            </w:r>
          </w:p>
        </w:tc>
        <w:tc>
          <w:tcPr>
            <w:tcW w:type="dxa" w:w="5040"/>
            <w:shd w:fill="F8FAFC"/>
            <w:tcMar>
              <w:top w:w="60" w:type="dxa"/>
              <w:bottom w:w="60" w:type="dxa"/>
              <w:left w:w="100" w:type="dxa"/>
              <w:right w:w="100" w:type="dxa"/>
            </w:tcMar>
          </w:tcPr>
          <w:p>
            <w:r>
              <w:rPr>
                <w:rFonts w:ascii="Segoe UI" w:hAnsi="Segoe UI"/>
                <w:sz w:val="17"/>
              </w:rPr>
              <w:t>Provides 6 example questions and 3 scripted demo scenarios.</w:t>
            </w:r>
          </w:p>
        </w:tc>
      </w:tr>
      <w:tr>
        <w:tc>
          <w:tcPr>
            <w:tcW w:type="dxa" w:w="1440"/>
            <w:shd w:fill="FFFFFF"/>
            <w:tcMar>
              <w:top w:w="60" w:type="dxa"/>
              <w:bottom w:w="60" w:type="dxa"/>
              <w:left w:w="100" w:type="dxa"/>
              <w:right w:w="100" w:type="dxa"/>
            </w:tcMar>
          </w:tcPr>
          <w:p>
            <w:r>
              <w:rPr>
                <w:rFonts w:ascii="Segoe UI" w:hAnsi="Segoe UI"/>
                <w:b/>
                <w:color w:val="0B1B33"/>
                <w:sz w:val="17"/>
              </w:rPr>
              <w:t>POST</w:t>
            </w:r>
          </w:p>
        </w:tc>
        <w:tc>
          <w:tcPr>
            <w:tcW w:type="dxa" w:w="3312"/>
            <w:shd w:fill="FFFFFF"/>
            <w:tcMar>
              <w:top w:w="60" w:type="dxa"/>
              <w:bottom w:w="60" w:type="dxa"/>
              <w:left w:w="100" w:type="dxa"/>
              <w:right w:w="100" w:type="dxa"/>
            </w:tcMar>
          </w:tcPr>
          <w:p>
            <w:r>
              <w:rPr>
                <w:rFonts w:ascii="Segoe UI" w:hAnsi="Segoe UI"/>
                <w:sz w:val="17"/>
              </w:rPr>
              <w:t>/api/rebuild</w:t>
            </w:r>
          </w:p>
        </w:tc>
        <w:tc>
          <w:tcPr>
            <w:tcW w:type="dxa" w:w="5040"/>
            <w:shd w:fill="FFFFFF"/>
            <w:tcMar>
              <w:top w:w="60" w:type="dxa"/>
              <w:bottom w:w="60" w:type="dxa"/>
              <w:left w:w="100" w:type="dxa"/>
              <w:right w:w="100" w:type="dxa"/>
            </w:tcMar>
          </w:tcPr>
          <w:p>
            <w:r>
              <w:rPr>
                <w:rFonts w:ascii="Segoe UI" w:hAnsi="Segoe UI"/>
                <w:sz w:val="17"/>
              </w:rPr>
              <w:t>Triggers full re-ingestion and index construction from data/ PDFs.</w:t>
            </w:r>
          </w:p>
        </w:tc>
      </w:tr>
    </w:tbl>
    <w:p>
      <w:pPr>
        <w:spacing w:after="200"/>
      </w:pPr>
    </w:p>
    <w:p>
      <w:pPr>
        <w:keepNext/>
        <w:spacing w:before="320" w:after="120"/>
      </w:pPr>
      <w:r>
        <w:rPr>
          <w:rFonts w:ascii="Georgia" w:hAnsi="Georgia"/>
          <w:b/>
          <w:color w:val="0B1B33"/>
          <w:sz w:val="34"/>
        </w:rPr>
        <w:t>6. Deployment &amp; Scalability Strategy</w:t>
      </w:r>
    </w:p>
    <w:p>
      <w:pPr>
        <w:spacing w:after="120" w:line="276" w:lineRule="auto"/>
      </w:pPr>
      <w:r>
        <w:rPr>
          <w:rFonts w:ascii="Segoe UI" w:hAnsi="Segoe UI"/>
          <w:color w:val="1E293B"/>
          <w:sz w:val="21"/>
        </w:rPr>
        <w:t>PolicyLens is containerized and hostable across cloud platforms with minimal resource footprints:</w:t>
      </w:r>
    </w:p>
    <w:p>
      <w:pPr>
        <w:pStyle w:val="ListBullet"/>
        <w:spacing w:after="80" w:line="276" w:lineRule="auto"/>
      </w:pPr>
      <w:r>
        <w:rPr>
          <w:rFonts w:ascii="Segoe UI" w:hAnsi="Segoe UI"/>
          <w:b/>
          <w:color w:val="0B1B33"/>
          <w:sz w:val="20"/>
        </w:rPr>
        <w:t xml:space="preserve">• Containerization: </w:t>
      </w:r>
      <w:r>
        <w:rPr>
          <w:rFonts w:ascii="Segoe UI" w:hAnsi="Segoe UI"/>
          <w:color w:val="1E293B"/>
          <w:sz w:val="20"/>
        </w:rPr>
        <w:t>Multi-stage Dockerfile based on python:3.11-slim, compiling required native libraries and pre-building indices during image construction.</w:t>
      </w:r>
    </w:p>
    <w:p>
      <w:pPr>
        <w:pStyle w:val="ListBullet"/>
        <w:spacing w:after="80" w:line="276" w:lineRule="auto"/>
      </w:pPr>
      <w:r>
        <w:rPr>
          <w:rFonts w:ascii="Segoe UI" w:hAnsi="Segoe UI"/>
          <w:b/>
          <w:color w:val="0B1B33"/>
          <w:sz w:val="20"/>
        </w:rPr>
        <w:t xml:space="preserve">• Render Web Service: </w:t>
      </w:r>
      <w:r>
        <w:rPr>
          <w:rFonts w:ascii="Segoe UI" w:hAnsi="Segoe UI"/>
          <w:color w:val="1E293B"/>
          <w:sz w:val="20"/>
        </w:rPr>
        <w:t>Configured with render.yaml for automated web service deployment. Simply add GEMINI_API_KEY as an environment secret.</w:t>
      </w:r>
    </w:p>
    <w:p>
      <w:pPr>
        <w:pStyle w:val="ListBullet"/>
        <w:spacing w:after="80" w:line="276" w:lineRule="auto"/>
      </w:pPr>
      <w:r>
        <w:rPr>
          <w:rFonts w:ascii="Segoe UI" w:hAnsi="Segoe UI"/>
          <w:b/>
          <w:color w:val="0B1B33"/>
          <w:sz w:val="20"/>
        </w:rPr>
        <w:t xml:space="preserve">• Hugging Face Spaces: </w:t>
      </w:r>
      <w:r>
        <w:rPr>
          <w:rFonts w:ascii="Segoe UI" w:hAnsi="Segoe UI"/>
          <w:color w:val="1E293B"/>
          <w:sz w:val="20"/>
        </w:rPr>
        <w:t>Can be hosted as a Docker Space on Hugging Face Spaces on port 8000.</w:t>
      </w:r>
    </w:p>
    <w:p>
      <w:pPr>
        <w:pStyle w:val="ListBullet"/>
        <w:spacing w:after="80" w:line="276" w:lineRule="auto"/>
      </w:pPr>
      <w:r>
        <w:rPr>
          <w:rFonts w:ascii="Segoe UI" w:hAnsi="Segoe UI"/>
          <w:b/>
          <w:color w:val="0B1B33"/>
          <w:sz w:val="20"/>
        </w:rPr>
        <w:t xml:space="preserve">• Instant Cold Starts: </w:t>
      </w:r>
      <w:r>
        <w:rPr>
          <w:rFonts w:ascii="Segoe UI" w:hAnsi="Segoe UI"/>
          <w:color w:val="1E293B"/>
          <w:sz w:val="20"/>
        </w:rPr>
        <w:t>By committing prebuilt index_store/ binary artifacts, cloud containers start up within 2 to 3 seconds without incurring cold-start indexing overhead.</w:t>
      </w:r>
    </w:p>
    <w:p>
      <w:pPr>
        <w:keepNext/>
        <w:spacing w:before="320" w:after="120"/>
      </w:pPr>
      <w:r>
        <w:rPr>
          <w:rFonts w:ascii="Georgia" w:hAnsi="Georgia"/>
          <w:b/>
          <w:color w:val="0B1B33"/>
          <w:sz w:val="34"/>
        </w:rPr>
        <w:t>7. Compliance &amp; Conclusion</w:t>
      </w:r>
    </w:p>
    <w:p>
      <w:pPr>
        <w:spacing w:after="120" w:line="276" w:lineRule="auto"/>
      </w:pPr>
      <w:r>
        <w:rPr>
          <w:rFonts w:ascii="Segoe UI" w:hAnsi="Segoe UI"/>
          <w:color w:val="1E293B"/>
          <w:sz w:val="21"/>
        </w:rPr>
        <w:t>PolicyLens establishes that production insurtech RAG applications do not require trillion-parameter opaque pipelines to be accurate. By pairing structure-aware PDF chunking with hybrid RRF retrieval, cross-encoder reranking, and a strict two-layer refusal gate, the system eliminates hallucinations, safeguards policyholders against misleading coverage interpretations, and equips first-time users like Ravi with actionable legal and regulatory insight at the moments they need it most.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