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2"/>
          <w:szCs w:val="32"/>
        </w:rPr>
        <w:t xml:space="preserve">CognitiveOC: Design, Implementation, and Independent</w:t>
      </w:r>
    </w:p>
    <w:p>
      <w:pPr>
        <w:spacing w:after="300"/>
        <w:jc w:val="center"/>
      </w:pPr>
      <w:r>
        <w:rPr>
          <w:b/>
          <w:bCs/>
          <w:sz w:val="32"/>
          <w:szCs w:val="32"/>
        </w:rPr>
        <w:t xml:space="preserve">Verification of a Local-First Cognitive Assistant Platform</w:t>
      </w:r>
    </w:p>
    <w:p>
      <w:pPr>
        <w:spacing w:after="400"/>
        <w:jc w:val="center"/>
      </w:pPr>
      <w:r>
        <w:rPr>
          <w:i/>
          <w:iCs/>
          <w:sz w:val="22"/>
          <w:szCs w:val="22"/>
        </w:rPr>
        <w:t xml:space="preserve">Technical Report — v1.0.0</w:t>
      </w:r>
    </w:p>
    <w:p>
      <w:pPr>
        <w:pStyle w:val="Heading1"/>
        <w:spacing w:after="200" w:before="400"/>
      </w:pPr>
      <w:r>
        <w:t xml:space="preserve">Abstract</w:t>
      </w:r>
    </w:p>
    <w:p>
      <w:pPr>
        <w:spacing w:after="200"/>
        <w:jc w:val="left"/>
      </w:pPr>
      <w:r>
        <w:t xml:space="preserve">This report describes CognitiveOC, a local-first cognitive assistant platform, and the process used to build and independently verify it. The system combines memory, retrieval-augmented generation, a knowledge graph, and reasoning with six additional runtime subsystems added incrementally over the course of development: self-consistency checking, single-shot reflection, persistent goal tracking with deterministic planning, a memory-admission gate, a learning layer built on that gate, and a read-only replay-and-adaptation layer. Rather than treating implementation and verification as a single step, this project separated them deliberately: every non-trivial change was delivered as a standalone, hash-identified patch and independently applied, tested, and — where feasible — stress-tested against inputs the implementer had not anticipated, before being accepted into the verified history. This report documents the architecture, the six subsystems, the verification methodology itself, and the honest limitations of the current system, including a documented instance in which an entire implementation pass was lost to session-boundary failure and had to be rebuilt from a confirmed baseline — a result that shaped the rest of the verification process described here.</w:t>
      </w:r>
    </w:p>
    <w:p>
      <w:pPr>
        <w:pStyle w:val="Heading1"/>
        <w:spacing w:after="200" w:before="400"/>
      </w:pPr>
      <w:r>
        <w:t xml:space="preserve">1. Introduction</w:t>
      </w:r>
    </w:p>
    <w:p>
      <w:pPr>
        <w:spacing w:after="200"/>
        <w:jc w:val="left"/>
      </w:pPr>
      <w:r>
        <w:t xml:space="preserve">General-purpose language model products already provide memory, retrieval-augmented generation, agentic tool use, and various forms of deep or extended reasoning as standard, shipped features. Any project in this space that wants to claim a genuine contribution has to be precise about what that contribution actually is, since most individual capabilities — persistent memory, retrieval over documents, structured knowledge storage — already exist in mature form across multiple production systems. This report makes no claim that CognitiveOC introduces a fundamentally new capability at the level of an individual feature.</w:t>
      </w:r>
    </w:p>
    <w:p>
      <w:pPr>
        <w:spacing w:after="200"/>
        <w:jc w:val="left"/>
      </w:pPr>
      <w:r>
        <w:t xml:space="preserve">The contribution this report documents is narrower and, we argue, more defensible: (1) an integration of several cognitively-motivated runtime behaviors — answer-level self-consistency, single-pass reflective revision, gated memory admission, goal-aware planning, and a conservative first step toward behavioral adaptation — into one coherent request lifecycle, built for a fully local, single-node deployment; and (2) a development and verification methodology that treats every implementation claim as unverified until an independent, artifact-based check confirms it, which in practice caught multiple real discrepancies between reported and actual system state over the course of the project, including one case where reported work did not exist in any recoverable form.</w:t>
      </w:r>
    </w:p>
    <w:p>
      <w:pPr>
        <w:spacing w:after="200"/>
        <w:jc w:val="left"/>
      </w:pPr>
      <w:r>
        <w:t xml:space="preserve">Section 2 situates this work relative to existing systems and research. Section 3 describes the overall architecture. Section 4 documents each of the six added subsystems. Section 5 describes the verification methodology in detail, since it is a central part of this report's contribution rather than incidental process. Section 6 reports results. Section 7 states limitations plainly. Section 8 concludes.</w:t>
      </w:r>
    </w:p>
    <w:p>
      <w:pPr>
        <w:pStyle w:val="Heading1"/>
        <w:spacing w:after="200" w:before="400"/>
      </w:pPr>
      <w:r>
        <w:t xml:space="preserve">2. Background and Related Work</w:t>
      </w:r>
    </w:p>
    <w:p>
      <w:pPr>
        <w:spacing w:after="200"/>
        <w:jc w:val="left"/>
      </w:pPr>
      <w:r>
        <w:t xml:space="preserve">Persistent conversational memory, retrieval-augmented generation, and agentic multi-step tool use are documented, shipped features of the major general-purpose assistants as of 2026, including background memory consolidation processes, first-party memory tools for agents, and long-horizon autonomous task execution. None of these are claimed as novel by this report; where CognitiveOC implements comparable behavior, it does so as a smaller-scale, single-node analogue of patterns already established elsewhere.</w:t>
      </w:r>
    </w:p>
    <w:p>
      <w:pPr>
        <w:spacing w:after="200"/>
        <w:jc w:val="left"/>
      </w:pPr>
      <w:r>
        <w:t xml:space="preserve">The idea of treating cognition as a structured runtime with distinct memory, planning, and reasoning components rather than a single monolithic process has a long history in classical cognitive architectures such as SOAR and ACT-R, which modeled working memory, production rules, and goal stacks explicitly. CognitiveOC's goal engine and planning module are a contemporary, LLM-integrated instance of the same underlying idea — explicit, inspectable goal state rather than goal-following behavior implicit in a prompt.</w:t>
      </w:r>
    </w:p>
    <w:p>
      <w:pPr>
        <w:spacing w:after="200"/>
        <w:jc w:val="left"/>
      </w:pPr>
      <w:r>
        <w:t xml:space="preserve">Self-consistency as a technique — sampling multiple reasoning paths and checking agreement — is established in the language-model literature, as is reflective self-critique and revision. CognitiveOC's contribution in these two areas is not the underlying technique but a specific implementation choice: because the current reasoning layer does not yet support genuinely independent stochastic reasoning paths, self-consistency here is implemented via evidence perturbation across a single reasoner rather than resampling, and this report treats that as a documented limitation (Section 7) rather than presenting it as equivalent to the literature's original formulation.</w:t>
      </w:r>
    </w:p>
    <w:p>
      <w:pPr>
        <w:pStyle w:val="Heading1"/>
        <w:spacing w:after="200" w:before="400"/>
      </w:pPr>
      <w:r>
        <w:t xml:space="preserve">3. System Architecture</w:t>
      </w:r>
    </w:p>
    <w:p>
      <w:pPr>
        <w:spacing w:after="200"/>
        <w:jc w:val="left"/>
      </w:pPr>
      <w:r>
        <w:t xml:space="preserve">CognitiveOC runs as a single-process, local-first system built around a central request-handling engine. A request passes through input guardrails, intent routing, memory recall, retrieval, knowledge-graph lookup, and reasoning, before generation produces a draft response. The subsystems described in Section 4 are inserted into this lifecycle at specific points: self-consistency and reflection run after reasoning and before the response is finalized; memory admission gates every write that would otherwise follow generation; goal commands short-circuit the entire pipeline before reasoning begins when a request is a goal-management command; and replay and adaptation observe the completed request without altering it.</w:t>
      </w:r>
    </w:p>
    <w:p>
      <w:pPr>
        <w:spacing w:after="200"/>
        <w:jc w:val="left"/>
      </w:pPr>
      <w:r>
        <w:t xml:space="preserve">Persistence is SQLite-backed throughout — memory, the knowledge graph, and goal state are each their own store, with the goal store specifically using declared schema constraints (non-empty titles, a closed set of valid statuses, foreign-key-checked parent references, and a uniqueness constraint on sibling titles) enforced at the database layer rather than solely in application code.</w:t>
      </w:r>
    </w:p>
    <w:p>
      <w:pPr>
        <w:spacing w:after="200"/>
        <w:jc w:val="left"/>
      </w:pPr>
      <w:r>
        <w:t xml:space="preserve">An earlier iteration of this project introduced a fully typed, versioned inter-module contract layer intended to replace ad hoc dictionary passing between subsystems. That work was lost when the development sandbox it existed in was recycled between sessions without being exported to persistent storage, and was not rebuilt in the verified history this report describes. The system as verified and tagged v1.0.0 uses the original dictionary-based module interfaces; a typed contract layer remains a documented item of future work (Section 7), not a shipped feature.</w:t>
      </w:r>
    </w:p>
    <w:p>
      <w:pPr>
        <w:pStyle w:val="Heading1"/>
        <w:spacing w:after="200" w:before="400"/>
      </w:pPr>
      <w:r>
        <w:t xml:space="preserve">4. Runtime Subsystems</w:t>
      </w:r>
    </w:p>
    <w:p>
      <w:pPr>
        <w:pStyle w:val="Heading2"/>
        <w:spacing w:after="150" w:before="300"/>
      </w:pPr>
      <w:r>
        <w:t xml:space="preserve">4.1 Self-Consistency</w:t>
      </w:r>
    </w:p>
    <w:p>
      <w:pPr>
        <w:spacing w:after="200"/>
        <w:jc w:val="left"/>
      </w:pPr>
      <w:r>
        <w:t xml:space="preserve">The self-consistency module runs the reasoning step multiple times over evidence-perturbed variants of the same query — reordered, trimmed, and rotated evidence sets — and compares the resulting attempts. An early version compared attempts by reasoning-trace similarity, which was found during testing to reward attempts with similar-looking reasoning steps even when they reached different final answers. The current version normalizes each attempt to a claim (subject, predicate, and value), so that paraphrased answers collapse to the same claim while genuine numeric or factual conflicts remain distinct, and classifies each comparison as strong agreement, superficial agreement, false agreement, or clear disagreement.</w:t>
      </w:r>
    </w:p>
    <w:p>
      <w:pPr>
        <w:pStyle w:val="Heading2"/>
        <w:spacing w:after="150" w:before="300"/>
      </w:pPr>
      <w:r>
        <w:t xml:space="preserve">4.2 Reflection</w:t>
      </w:r>
    </w:p>
    <w:p>
      <w:pPr>
        <w:spacing w:after="200"/>
        <w:jc w:val="left"/>
      </w:pPr>
      <w:r>
        <w:t xml:space="preserve">Reflection is a single, deterministic post-generation check: the draft answer is compared against the same evidence the reasoner used, looking for direct contradictions (including negated forms — is/is not, are/are not, was/was not, were/were not, and their contractions), evidence the query asks about but the draft omits, and specific factual claims unsupported by any evidence. If a problem is found, the reasoner is asked exactly once for a revised answer; there is no retry loop. The outcome is recorded as a structured revised/reason pair rather than silently altering the response.</w:t>
      </w:r>
    </w:p>
    <w:p>
      <w:pPr>
        <w:pStyle w:val="Heading2"/>
        <w:spacing w:after="150" w:before="300"/>
      </w:pPr>
      <w:r>
        <w:t xml:space="preserve">4.3 Goal Tracking and Goal-Aware Planning</w:t>
      </w:r>
    </w:p>
    <w:p>
      <w:pPr>
        <w:spacing w:after="200"/>
        <w:jc w:val="left"/>
      </w:pPr>
      <w:r>
        <w:t xml:space="preserve">Goals are persistent, session-scoped records with a small state machine (active, paused, completed) manipulated through explicit short-circuit commands that bypass the reasoning pipeline entirely. A separate, deterministic planning module computes which goal a given turn should focus on, using an explicit ordering (active before paused before completed, higher priority first, earliest creation time as a tiebreaker, goal identifier as a final deterministic tiebreaker) and explicit dependency handling: a goal whose parent is not completed is blocked, and cyclic parent references — including a goal listed as its own ancestor, directly or indirectly — are detected and blocked rather than causing unbounded recursion.</w:t>
      </w:r>
    </w:p>
    <w:p>
      <w:pPr>
        <w:pStyle w:val="Heading2"/>
        <w:spacing w:after="150" w:before="300"/>
      </w:pPr>
      <w:r>
        <w:t xml:space="preserve">4.4 Memory Admission</w:t>
      </w:r>
    </w:p>
    <w:p>
      <w:pPr>
        <w:spacing w:after="200"/>
        <w:jc w:val="left"/>
      </w:pPr>
      <w:r>
        <w:t xml:space="preserve">Rather than writing every candidate memory and filtering later, CognitiveOC gates writes before they happen. A deterministic, five-stage decision process rejects empty or low-value content and near-duplicates, while explicitly admitting corrections and reinforcement of important facts that would otherwise be rejected as duplicates. Importance is computed from a weighted combination of an optional caller-supplied hint, the memory's declared kind, lexical markers associated with durable preferences or deadlines, and content length.</w:t>
      </w:r>
    </w:p>
    <w:p>
      <w:pPr>
        <w:pStyle w:val="Heading2"/>
        <w:spacing w:after="150" w:before="300"/>
      </w:pPr>
      <w:r>
        <w:t xml:space="preserve">4.5 Learning</w:t>
      </w:r>
    </w:p>
    <w:p>
      <w:pPr>
        <w:spacing w:after="200"/>
        <w:jc w:val="left"/>
      </w:pPr>
      <w:r>
        <w:t xml:space="preserve">The learning layer adds no new write path. It fires on exactly two conditions — a reflection-triggered revision, or a self-consistency result of strong agreement above a confidence threshold — and in both cases writes through the existing memory-admission gate rather than around it, so a rejecting admission decision suppresses the write regardless of which trigger fired, including when both fire on the same request.</w:t>
      </w:r>
    </w:p>
    <w:p>
      <w:pPr>
        <w:pStyle w:val="Heading2"/>
        <w:spacing w:after="150" w:before="300"/>
      </w:pPr>
      <w:r>
        <w:t xml:space="preserve">4.6 Replay and Adaptation</w:t>
      </w:r>
    </w:p>
    <w:p>
      <w:pPr>
        <w:spacing w:after="200"/>
        <w:jc w:val="left"/>
      </w:pPr>
      <w:r>
        <w:t xml:space="preserve">Replay accumulates a structured, read-only trace of each request — which planning decision was made, whether reflection revised the draft and why, whether a learning write occurred, and what memory-admission events fired — without altering behavior or persisting anything beyond the trace itself. Adaptation, in its current first version, is a pure function over that trace that classifies the request (stable, reflection-triggered revision, learning signal, admission rejection, warning, or error) for observability purposes only. It does not yet adjust retrieval, prompting, thresholds, or any model weights; it labels what happened rather than acting on the label. This scope was a deliberate choice, discussed further in Section 7.</w:t>
      </w:r>
    </w:p>
    <w:p>
      <w:pPr>
        <w:pStyle w:val="Heading1"/>
        <w:spacing w:after="200" w:before="400"/>
      </w:pPr>
      <w:r>
        <w:t xml:space="preserve">5. Verification Methodology</w:t>
      </w:r>
    </w:p>
    <w:p>
      <w:pPr>
        <w:spacing w:after="200"/>
        <w:jc w:val="left"/>
      </w:pPr>
      <w:r>
        <w:t xml:space="preserve">The organizing principle of this project's development process, adopted partway through and applied consistently afterward, was that no implementation claim — a test count, a lint result, a described behavior — was treated as true until it was independently reproduced from an artifact the reviewer could inspect directly. This was not a formality. Applied consistently, it surfaced a specific set of real discrepancies over the course of the project:</w:t>
      </w:r>
    </w:p>
    <w:p>
      <w:pPr>
        <w:pStyle w:val="ListParagraph"/>
        <w:numPr>
          <w:ilvl w:val="0"/>
          <w:numId w:val="1"/>
        </w:numPr>
        <w:spacing w:after="100"/>
      </w:pPr>
      <w:r>
        <w:t xml:space="preserve">A reported ruff lint result of zero findings was later found to be checking a much narrower rule set than the one the project intended to enforce, because the configuration file was missing a required rule-selection directive; this was only discovered by deliberately planting known violations and confirming the linter failed to catch them.</w:t>
      </w:r>
    </w:p>
    <w:p>
      <w:pPr>
        <w:pStyle w:val="ListParagraph"/>
        <w:numPr>
          <w:ilvl w:val="0"/>
          <w:numId w:val="1"/>
        </w:numPr>
        <w:spacing w:after="100"/>
      </w:pPr>
      <w:r>
        <w:t xml:space="preserve">A reported set of passing tests for one milestone could not be reproduced because the delivered patch, on inspection, did not contain the new source files it claimed to add — only modifications to existing files that imported the missing modules.</w:t>
      </w:r>
    </w:p>
    <w:p>
      <w:pPr>
        <w:pStyle w:val="ListParagraph"/>
        <w:numPr>
          <w:ilvl w:val="0"/>
          <w:numId w:val="1"/>
        </w:numPr>
        <w:spacing w:after="100"/>
      </w:pPr>
      <w:r>
        <w:t xml:space="preserve">An entire implementation pass — a first version of persistent goal tracking and self-consistency — was reported complete with passing tests, and was later found to be completely unrecoverable: the development sandbox that held it had been recycled between sessions, and no copy existed anywhere the developer controlled. The project's response was to require every subsequent milestone to end with an artifact exported to storage outside the implementation sandbox before being reported as done, and to independently re-verify each historical milestone individually rather than only the combined final state.</w:t>
      </w:r>
    </w:p>
    <w:p>
      <w:pPr>
        <w:spacing w:after="200"/>
        <w:jc w:val="left"/>
      </w:pPr>
      <w:r>
        <w:t xml:space="preserve">Independent verification in this project specifically meant: applying a delivered patch to a freshly extracted, previously confirmed baseline rather than trusting a working directory's state; running the full test suite, linter, and type checker directly rather than reading reported output; and, for subsystems with non-trivial decision logic, constructing new test inputs not present in the implementer's own test fixtures to check whether the described behavior generalized. This last step specifically surfaced real, narrow defects that passing test suites alone did not catch — for example, a negation-contradiction check that correctly handled singular subjects but silently missed plural ones due to a hardcoded regular expression, and a duplicate-detection constraint that behaved correctly for sibling records but not for unrelated top-level records, due to standard SQL NULL-equality semantics.</w:t>
      </w:r>
    </w:p>
    <w:p>
      <w:pPr>
        <w:spacing w:after="200"/>
        <w:jc w:val="left"/>
      </w:pPr>
      <w:r>
        <w:t xml:space="preserve">Cross-verification between independently delivered artifacts was also used where possible: a full repository archive and a standalone patch for the same milestone were checked against each other by extracting both and diffing every file that mattered, rather than assuming a hosted checksum was sufficient.</w:t>
      </w:r>
    </w:p>
    <w:p>
      <w:pPr>
        <w:pStyle w:val="Heading1"/>
        <w:spacing w:after="200" w:before="400"/>
      </w:pPr>
      <w:r>
        <w:t xml:space="preserve">6. Results</w:t>
      </w:r>
    </w:p>
    <w:p>
      <w:pPr>
        <w:spacing w:after="200"/>
        <w:jc w:val="left"/>
      </w:pPr>
      <w:r>
        <w:t xml:space="preserve">As of the v1.0.0 tag, the verified commit history consists of six commits, each independently confirmed rather than only verified as part of the combined final tree: a goal-aware planning milestone, a repository-wide lint-configuration cleanup, the learning layer, the replay layer, and the adaptation layer, built on top of the pre-existing baseline. The full suite passes 89 tests; the repository-wide linter and static type checker both report a clean result under the project's own enforced rule configuration, independently reproduced from a fresh archive extraction rather than accepted from a prior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00"/>
        <w:gridCol w:w="3060"/>
      </w:tblGrid>
      <w:tr>
        <w:tc>
          <w:tcPr>
            <w:tcW w:type="dxa" w:w="6300"/>
            <w:shd w:fill="D9D9D9" w:val="clear"/>
          </w:tcPr>
          <w:p>
            <w:r>
              <w:rPr>
                <w:b/>
                <w:bCs/>
              </w:rPr>
              <w:t xml:space="preserve">Verification target</w:t>
            </w:r>
          </w:p>
        </w:tc>
        <w:tc>
          <w:tcPr>
            <w:tcW w:type="dxa" w:w="3060"/>
            <w:shd w:fill="D9D9D9" w:val="clear"/>
          </w:tcPr>
          <w:p>
            <w:r>
              <w:rPr>
                <w:b/>
                <w:bCs/>
              </w:rPr>
              <w:t xml:space="preserve">Independently reproduced result</w:t>
            </w:r>
          </w:p>
        </w:tc>
      </w:tr>
      <w:tr>
        <w:tc>
          <w:tcPr>
            <w:tcW w:type="dxa" w:w="6300"/>
          </w:tcPr>
          <w:p>
            <w:r>
              <w:rPr>
                <w:b w:val="false"/>
                <w:bCs w:val="false"/>
              </w:rPr>
              <w:t xml:space="preserve">Full test suite (89 tests)</w:t>
            </w:r>
          </w:p>
        </w:tc>
        <w:tc>
          <w:tcPr>
            <w:tcW w:type="dxa" w:w="3060"/>
          </w:tcPr>
          <w:p>
            <w:r>
              <w:rPr>
                <w:b w:val="false"/>
                <w:bCs w:val="false"/>
              </w:rPr>
              <w:t xml:space="preserve">89 passed, reproduced from a clean archive extraction</w:t>
            </w:r>
          </w:p>
        </w:tc>
      </w:tr>
      <w:tr>
        <w:tc>
          <w:tcPr>
            <w:tcW w:type="dxa" w:w="6300"/>
          </w:tcPr>
          <w:p>
            <w:r>
              <w:rPr>
                <w:b w:val="false"/>
                <w:bCs w:val="false"/>
              </w:rPr>
              <w:t xml:space="preserve">Repository-wide lint (ruff)</w:t>
            </w:r>
          </w:p>
        </w:tc>
        <w:tc>
          <w:tcPr>
            <w:tcW w:type="dxa" w:w="3060"/>
          </w:tcPr>
          <w:p>
            <w:r>
              <w:rPr>
                <w:b w:val="false"/>
                <w:bCs w:val="false"/>
              </w:rPr>
              <w:t xml:space="preserve">Clean, under the project's enforced rule set (E, F, I, UP, FURB, BLE, PERF)</w:t>
            </w:r>
          </w:p>
        </w:tc>
      </w:tr>
      <w:tr>
        <w:tc>
          <w:tcPr>
            <w:tcW w:type="dxa" w:w="6300"/>
          </w:tcPr>
          <w:p>
            <w:r>
              <w:rPr>
                <w:b w:val="false"/>
                <w:bCs w:val="false"/>
              </w:rPr>
              <w:t xml:space="preserve">Static type check (mypy)</w:t>
            </w:r>
          </w:p>
        </w:tc>
        <w:tc>
          <w:tcPr>
            <w:tcW w:type="dxa" w:w="3060"/>
          </w:tcPr>
          <w:p>
            <w:r>
              <w:rPr>
                <w:b w:val="false"/>
                <w:bCs w:val="false"/>
              </w:rPr>
              <w:t xml:space="preserve">Clean, 32 source files</w:t>
            </w:r>
          </w:p>
        </w:tc>
      </w:tr>
      <w:tr>
        <w:tc>
          <w:tcPr>
            <w:tcW w:type="dxa" w:w="6300"/>
          </w:tcPr>
          <w:p>
            <w:r>
              <w:rPr>
                <w:b w:val="false"/>
                <w:bCs w:val="false"/>
              </w:rPr>
              <w:t xml:space="preserve">Adaptation write-safety</w:t>
            </w:r>
          </w:p>
        </w:tc>
        <w:tc>
          <w:tcPr>
            <w:tcW w:type="dxa" w:w="3060"/>
          </w:tcPr>
          <w:p>
            <w:r>
              <w:rPr>
                <w:b w:val="false"/>
                <w:bCs w:val="false"/>
              </w:rPr>
              <w:t xml:space="preserve">Confirmed no memory, retrieval, or response mutation under adversarial input combining all triggers simultaneously</w:t>
            </w:r>
          </w:p>
        </w:tc>
      </w:tr>
      <w:tr>
        <w:tc>
          <w:tcPr>
            <w:tcW w:type="dxa" w:w="6300"/>
          </w:tcPr>
          <w:p>
            <w:r>
              <w:rPr>
                <w:b w:val="false"/>
                <w:bCs w:val="false"/>
              </w:rPr>
              <w:t xml:space="preserve">Learning trigger boundary</w:t>
            </w:r>
          </w:p>
        </w:tc>
        <w:tc>
          <w:tcPr>
            <w:tcW w:type="dxa" w:w="3060"/>
          </w:tcPr>
          <w:p>
            <w:r>
              <w:rPr>
                <w:b w:val="false"/>
                <w:bCs w:val="false"/>
              </w:rPr>
              <w:t xml:space="preserve">Confirmed strict, not inclusive, confidence threshold behavior at the exact boundary value</w:t>
            </w:r>
          </w:p>
        </w:tc>
      </w:tr>
      <w:tr>
        <w:tc>
          <w:tcPr>
            <w:tcW w:type="dxa" w:w="6300"/>
          </w:tcPr>
          <w:p>
            <w:r>
              <w:rPr>
                <w:b w:val="false"/>
                <w:bCs w:val="false"/>
              </w:rPr>
              <w:t xml:space="preserve">Goal dependency cycles</w:t>
            </w:r>
          </w:p>
        </w:tc>
        <w:tc>
          <w:tcPr>
            <w:tcW w:type="dxa" w:w="3060"/>
          </w:tcPr>
          <w:p>
            <w:r>
              <w:rPr>
                <w:b w:val="false"/>
                <w:bCs w:val="false"/>
              </w:rPr>
              <w:t xml:space="preserve">Confirmed direct and indirect cycles are detected and blocked rather than causing unbounded recursion</w:t>
            </w:r>
          </w:p>
        </w:tc>
      </w:tr>
    </w:tbl>
    <w:p>
      <w:pPr>
        <w:pStyle w:val="Heading1"/>
        <w:spacing w:after="200" w:before="400"/>
      </w:pPr>
      <w:r>
        <w:t xml:space="preserve">7. Limitations and Future Work</w:t>
      </w:r>
    </w:p>
    <w:p>
      <w:pPr>
        <w:pStyle w:val="ListParagraph"/>
        <w:numPr>
          <w:ilvl w:val="0"/>
          <w:numId w:val="1"/>
        </w:numPr>
        <w:spacing w:after="100"/>
      </w:pPr>
      <w:r>
        <w:t xml:space="preserve">Self-consistency currently perturbs evidence around a single reasoning implementation rather than sampling genuinely independent reasoning paths, because the underlying reasoner does not yet support stochastic resampling or an alternative verification path; this is a materially weaker guarantee than the technique's original formulation and is stated as such rather than presented as equivalent.</w:t>
      </w:r>
    </w:p>
    <w:p>
      <w:pPr>
        <w:pStyle w:val="ListParagraph"/>
        <w:numPr>
          <w:ilvl w:val="0"/>
          <w:numId w:val="1"/>
        </w:numPr>
        <w:spacing w:after="100"/>
      </w:pPr>
      <w:r>
        <w:t xml:space="preserve">Adaptation v1 is intentionally an observability layer, not a behavior-changing one. It establishes the data (replay traces) that a future, behavior-changing adaptation layer would need, but does not itself close the loop from observed outcome to changed future behavior.</w:t>
      </w:r>
    </w:p>
    <w:p>
      <w:pPr>
        <w:pStyle w:val="ListParagraph"/>
        <w:numPr>
          <w:ilvl w:val="0"/>
          <w:numId w:val="1"/>
        </w:numPr>
        <w:spacing w:after="100"/>
      </w:pPr>
      <w:r>
        <w:t xml:space="preserve">The typed, versioned inter-module contract layer designed earlier in the project was lost to the sandbox-recycling incident described in Section 5 and has not been rebuilt; current inter-module interfaces remain dictionary-based.</w:t>
      </w:r>
    </w:p>
    <w:p>
      <w:pPr>
        <w:pStyle w:val="ListParagraph"/>
        <w:numPr>
          <w:ilvl w:val="0"/>
          <w:numId w:val="1"/>
        </w:numPr>
        <w:spacing w:after="100"/>
      </w:pPr>
      <w:r>
        <w:t xml:space="preserve">The system's guide and onboarding documentation had fallen out of date relative to the six subsystems described in this report and required a dedicated update pass, itself only caught because the documentation was checked directly against the current codebase rather than assumed current.</w:t>
      </w:r>
    </w:p>
    <w:p>
      <w:pPr>
        <w:pStyle w:val="ListParagraph"/>
        <w:numPr>
          <w:ilvl w:val="0"/>
          <w:numId w:val="1"/>
        </w:numPr>
        <w:spacing w:after="100"/>
      </w:pPr>
      <w:r>
        <w:t xml:space="preserve">A from-scratch model-pretraining pipeline exists in the codebase but has not produced a trained model; a separate, smaller-scope LoRA fine-tuning path over an existing open-weight model is a more tractable near-term path to a working generation backend and is documented as a planned addition rather than a completed one.</w:t>
      </w:r>
    </w:p>
    <w:p>
      <w:pPr>
        <w:pStyle w:val="Heading1"/>
        <w:spacing w:after="200" w:before="400"/>
      </w:pPr>
      <w:r>
        <w:t xml:space="preserve">8. Conclusion</w:t>
      </w:r>
    </w:p>
    <w:p>
      <w:pPr>
        <w:spacing w:after="200"/>
        <w:jc w:val="left"/>
      </w:pPr>
      <w:r>
        <w:t xml:space="preserve">CognitiveOC is not presented in this report as introducing new capabilities at the level of individual techniques; self-consistency checking, reflective revision, gated memory writes, and goal-directed planning all have precedent elsewhere. What this report documents instead is a specific integration of those behaviors into one local-first runtime, and — as a central rather than incidental part of the project — a verification discipline under which every implementation claim was treated as unconfirmed until independently reproduced from an inspectable artifact. That discipline caught real, specific errors that a less adversarial review process would plausibly have missed, including a complete loss of unrecovered work partway through the project. The resulting v1.0.0 state reflects six independently verified milestones rather than a single trusted final report, which is the property this project considers most worth documenting.</w:t>
      </w:r>
    </w:p>
    <w:p>
      <w:pPr>
        <w:pStyle w:val="Heading1"/>
        <w:spacing w:after="200" w:before="400"/>
      </w:pPr>
      <w:r>
        <w:t xml:space="preserve">References</w:t>
      </w:r>
    </w:p>
    <w:p>
      <w:pPr>
        <w:spacing w:after="200"/>
        <w:jc w:val="left"/>
      </w:pPr>
      <w:r>
        <w:t xml:space="preserve">Newell, A., &amp; Simon, H. A. (1972). Human Problem Solving. Prentice-Hall. (SOAR architecture lineage.)</w:t>
      </w:r>
    </w:p>
    <w:p>
      <w:pPr>
        <w:spacing w:after="200"/>
        <w:jc w:val="left"/>
      </w:pPr>
      <w:r>
        <w:t xml:space="preserve">Anderson, J. R. (1996). ACT: A simple theory of complex cognition. American Psychologist, 51(4), 355–365.</w:t>
      </w:r>
    </w:p>
    <w:p>
      <w:pPr>
        <w:spacing w:after="200"/>
        <w:jc w:val="left"/>
      </w:pPr>
      <w:r>
        <w:t xml:space="preserve">Wang, X., et al. (2022). Self-Consistency Improves Chain of Thought Reasoning in Language Models. arXiv:2203.11171.</w:t>
      </w:r>
    </w:p>
    <w:p>
      <w:pPr>
        <w:spacing w:after="200"/>
        <w:jc w:val="left"/>
      </w:pPr>
      <w:r>
        <w:t xml:space="preserve">Shinn, N., et al. (2023). Reflexion: Language Agents with Verbal Reinforcement Learning. arXiv:2303.11366.</w:t>
      </w:r>
    </w:p>
    <w:p>
      <w:pPr>
        <w:spacing w:after="200"/>
        <w:jc w:val="left"/>
      </w:pPr>
      <w:r>
        <w:t xml:space="preserve">Bai, Y., et al. (2022). Constitutional AI: Harmlessness from AI Feedback. Anthropic. arXiv:2212.08073.</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2026-08-16T15:42:39.729Z</dcterms:created>
  <dcterms:modified xsi:type="dcterms:W3CDTF">2026-08-16T15:42:39.742Z</dcterms:modified>
</cp:coreProperties>
</file>

<file path=docProps/custom.xml><?xml version="1.0" encoding="utf-8"?>
<Properties xmlns="http://schemas.openxmlformats.org/officeDocument/2006/custom-properties" xmlns:vt="http://schemas.openxmlformats.org/officeDocument/2006/docPropsVTypes"/>
</file>