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7 references coded [ 0.29%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universal aspiration for freedom and dignity contends with new obstacles.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[ 1.26%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Among these civil liberties, recognized internationally as “fundamental freedoms,” the ability to seek, receive and impart information and ideas through any medium and regardless of frontiers has never been more relevant~</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child pornography, inciting imminent violence, or organizing an act of terrorism have no place in any society, and thus, they have no place on the Internet~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states act as responsible parties in cyberspace—whether configuring networks in ways that will spare others disruption, or inhibiting criminals from using the Internet to operate from safe havens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States know that networked infrastructure must be protected, and they take measures to secure it from disruption and sabotage~</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In other spheres of international relations, shared understandings about acceptable behavior have enhanced stability and provided a basis for international action when corrective measures are required</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we must advance the common interest by supporting the soundest technical standards and governance structures, rather than those that will simply enhance national prestige or political control~</w:t>
      </w:r>
    </w:p>
    <w:p>
      <w:pPr>
        <w:pStyle w:val="TextBody"/>
        <w:bidi w:val="0"/>
        <w:spacing w:before="113" w:after="113"/>
        <w:ind w:left="113" w:right="113" w:hanging="0"/>
        <w:jc w:val="left"/>
        <w:rPr>
          <w:highlight w:val="lightGray"/>
        </w:rPr>
      </w:pPr>
      <w:r>
        <w:rPr>
          <w:highlight w:val="lightGray"/>
        </w:rPr>
        <w:t>Reference 8 - 0.19%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