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11 references coded [ 0.52%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universal aspiration for freedom and dignity contends with new obstacles.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Most nations are parties to international agreements that recognize this commonality. And nations that embrace these values for their citizens are ultimately more successful—and friendly to the United States—than those that do not.</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9 references coded [ 1.26%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Among these civil liberties, recognized internationally as “fundamental freedoms,” the ability to seek, receive and impart information and ideas through any medium and regardless of frontiers has never been more relevant~</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child pornography, inciting imminent violence, or organizing an act of terrorism have no place in any society, and thus, they have no place on the Internet~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states act as responsible parties in cyberspace—whether configuring networks in ways that will spare others disruption, or inhibiting criminals from using the Internet to operate from safe havens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States know that networked infrastructure must be protected, and they take measures to secure it from disruption and sabotage~</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In other spheres of international relations, shared understandings about acceptable behavior have enhanced stability and provided a basis for international action when corrective measures are required</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we must advance the common interest by supporting the soundest technical standards and governance structures, rather than those that will simply enhance national prestige or political control~</w:t>
      </w:r>
    </w:p>
    <w:p>
      <w:pPr>
        <w:pStyle w:val="TextBody"/>
        <w:bidi w:val="0"/>
        <w:spacing w:before="113" w:after="113"/>
        <w:ind w:left="113" w:right="113" w:hanging="0"/>
        <w:jc w:val="left"/>
        <w:rPr>
          <w:highlight w:val="lightGray"/>
        </w:rPr>
      </w:pPr>
      <w:r>
        <w:rPr>
          <w:highlight w:val="lightGray"/>
        </w:rPr>
        <w:t>Reference 8 - 0.19%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2 references coded [ 0.41%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As the world’s two largest emitters, the United States and China reached a landmark agreement to take significant action to reduce carbon pollution. The substantial contribution we have pledged to the Green Climate Fund will help the most vulnerable developing nations deal with climate change, reduce their carbon pollution, and invest in clean energy. More than 100 countries have also joined with us to reduce greenhouse gases under the Montreal Protocol—the same agreement the world used successfully to phase out ozone-depleting chemicals.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Recognizing that no society will succeed if it does not draw on the potential of all its people, we are pressing for the political and economic participation of women and girls—who are too often denied their inalienable rights and face substantial barriers to opportunity in too many places.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For much of the world, America’s liberties are inspirational, and the United States will always stand with those who seek freedom. We will remain a beacon of liberty and opportunity around the world.</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 reference coded [ 0.16%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Increased public affirmation by the United States and other governments will </w:t>
        <w:br/>
        <w:t xml:space="preserve">state behavior and thus contribute to greater predictability and stability in cyberspace. </w:t>
        <w:br/>
        <w:t>lead to accepted expectations of</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