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This effort should seek—in continued collaboration with the private sector—to improve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International norms are critical to establishing a secure and thriving digital infrastructure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9 references coded [ 0.50%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fundamental connection between our national security, our national competitiveness, resilience, and moral example.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Our national security depends upon America’s ability to leverage our unique national attributes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From Latin America to Africa to the Pacific, new and emerging powers hold out opportunities for partnership, even as a handful of states endanger regional and global security by flouting international norms.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They share common values and a common commitment to international norms that recognize both the rights and responsibilities of all sovereign nations. America’s national security depends on these vibrant alliances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We are strengthening international norms to isolate governments that flout them and to 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America will not impose any system of government on another country, but our long-term security and prosperity depends on our steady support for universal values, which sets us apart from our enemies, adversarial governments, and many potential competitors for influence.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Strengthening International Norms Against Corruption: We are working within the broader international system, including the U.N., G-20, Organization for Economic Cooperation and Development (OECD), and the international financial institutions, to promote the recognition that pervasive corruption is a violation of basic human rights and a severe impediment to development and global security.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[ 0.96%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This future promises not just greater prosperity and more reliable networks, but enhanced international security and a more sustainable peace~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builds understanding, clarifies norms of behavior, and enhances national and international security</w:t>
      </w:r>
    </w:p>
    <w:p>
      <w:pPr>
        <w:pStyle w:val="TextBody"/>
        <w:bidi w:val="0"/>
        <w:spacing w:before="113" w:after="113"/>
        <w:ind w:left="113" w:right="113" w:hanging="0"/>
        <w:jc w:val="left"/>
        <w:rPr>
          <w:highlight w:val="lightGray"/>
        </w:rPr>
      </w:pPr>
      <w:r>
        <w:rPr>
          <w:highlight w:val="lightGray"/>
        </w:rPr>
        <w:t>Reference 4 - 0.34% Coverage</w:t>
      </w:r>
    </w:p>
    <w:p>
      <w:pPr>
        <w:pStyle w:val="TextBody"/>
        <w:bidi w:val="0"/>
        <w:spacing w:before="0" w:after="0"/>
        <w:jc w:val="left"/>
        <w:rPr/>
      </w:pPr>
      <w:r>
        <w:rPr/>
        <w:t xml:space="preserve">Our Goal </w:t>
        <w:br/>
        <w:t>The United States will work internationally to promote an open, interoperable, secure, and reliable information and communications infrastructure that supports international trade and commerce, strengthens international security, and fosters free expression and innovation~ To achieve that goal, we will build and sustain an environment in which norms of responsible behavior guide states’ actions, sustain partnerships, and support the rule of law in cyberspace~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internationally agreed norms of state behavior;</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Stability Through Norms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These events have not been matched by clearly agreed-upon norms for acceptable state behavior in cyberspace~</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Adherence to such norms brings predictability to state conduct, helping prevent the misunderstandings that could lead to conflict~</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Because strong cybersecurity is critical to national and economic security in the broadest sense, we will: • Promote cyberspace cooperation, particularly on norms of behavior for states and cybersecurity, bilaterally and in a range of multilateral organizations and multinational partnerships.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America’s enduring effort to advance common interests without resort to arms is a hallmark of its stewardship of the international system.</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[ 0.57%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This 2015 National Military Strategy addresses the need to counter revisionist states that are challenging international norms</w:t>
      </w:r>
    </w:p>
    <w:p>
      <w:pPr>
        <w:pStyle w:val="TextBody"/>
        <w:bidi w:val="0"/>
        <w:spacing w:before="113" w:after="113"/>
        <w:ind w:left="113" w:right="113" w:hanging="0"/>
        <w:jc w:val="left"/>
        <w:rPr>
          <w:highlight w:val="lightGray"/>
        </w:rPr>
      </w:pPr>
      <w:r>
        <w:rPr>
          <w:highlight w:val="lightGray"/>
        </w:rPr>
        <w:t>Reference 2 - 0.42% Coverage</w:t>
      </w:r>
    </w:p>
    <w:p>
      <w:pPr>
        <w:pStyle w:val="TextBody"/>
        <w:bidi w:val="0"/>
        <w:spacing w:before="0" w:after="0"/>
        <w:jc w:val="left"/>
        <w:rPr/>
      </w:pPr>
      <w:r>
        <w:rPr/>
        <w:t>Russia’s military actions are undermining regional security directly and through proxy forces. These actions violate numerous agreements that Russia has signed in which it committed to act in accordance with international norms, including the UN Charter, Helsinki Accords, Russia-NATO Founding Act, Budapest Memorandum, and the Intermediate-Range Nuclear Forces Treaty.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6 references coded [ 0.71%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Russia’s violation of Ukraine’s sovereignty and territorial integrity—as well as its belligerent stance toward other neighboring countries—endangers international norms that have largely been taken for granted since the end of the Cold War.</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Drawing on the voluntary cybersecurity framework, 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Many of the threats to our security in recent years arose from efforts by authoritarian states to oppose democratic forces—from the crisis caused by Russian aggression in Ukraine to the rise of ISIL within the Syrian civil war.</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For the sake of our security and our leadership in the world, it is essential we hold ourselves to the highest possible standard, even as we do what is necessary to secure our people.</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We will lead by example in fulfilling our responsibilities within this architecture, demonstrating to the world it is possible to protect security consistent with robust values.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