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9 references coded [ 0.50%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fundamental connection between our national security, our national competitiveness, resilience, and moral example.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From Latin America to Africa to the Pacific, new and emerging powers hold out opportunities for partnership, even as 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They share common values and a common commitment to international norms that recognize both the rights and responsibilities of all sovereign nations. America’s national security depends on these vibrant alliances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[ 0.96%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future promises not just greater prosperity and more reliable networks, but enhanced international security and a more sustainable peace~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builds understanding, clarifies norms of behavior, and enhances national and international security</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These events have not been matched by clearly agreed-upon norms for acceptable state behavior in cyberspace~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Adherence to such norms brings predictability to state conduct, helping prevent the misunderstandings that could lead to conflict~</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Because strong cybersecurity is critical to national and economic security in the broadest sense, we will: • Promote cyberspace cooperation, particularly on norms of behavior for states and cybersecurity, bilaterally and in a range of multilateral organizations and multinational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