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[ 0.27%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give us the credibility to stand up to tyranny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[ 0.25%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Leadership is how we exercise the full spectrum of power to defend our national interests and advance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[ 0.96%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will continue, in these and other fora, to consolidate regional and international consensus on key cyberspace activities, including norms~ We will also look to fora that enable multi-stakeholder collaboration and consensus building, to 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For over a decade the United States has helped bridge that gap, 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Reference 4 - 0.32% Coverage</w:t>
      </w:r>
    </w:p>
    <w:p>
      <w:pPr>
        <w:pStyle w:val="TextBody"/>
        <w:bidi w:val="0"/>
        <w:spacing w:before="0" w:after="0"/>
        <w:jc w:val="left"/>
        <w:rPr/>
      </w:pPr>
      <w:r>
        <w:rPr/>
        <w:t>The United States will be a tireless advocate of fundamental freedoms of speech and association through cyberspace; will work to empower civil society actors, human rights advocates, and journalists in their use of digital media; and will work to encourage governments to address real cyberspace threats, rather than impose upon companies responsibilities of inappropriately limiting either freedom of expression or the free flow of information~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Most importantly, it is an invitation to other states and peoples to join us in realizing this vision of prosperity, security, and openness in our networked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